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0" w:line="256" w:lineRule="auto"/>
        <w:jc w:val="both"/>
        <w:rPr>
          <w:rFonts w:ascii="Times New Roman" w:hAnsi="Times New Roman" w:eastAsia="等线" w:cs="Arial"/>
          <w:b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>3GPP</w:t>
      </w:r>
      <w:r>
        <w:rPr>
          <w:rFonts w:hint="eastAsia" w:ascii="Times New Roman" w:hAnsi="Times New Roman" w:eastAsia="等线" w:cs="Arial"/>
          <w:b/>
          <w:sz w:val="24"/>
          <w:szCs w:val="24"/>
          <w:lang w:eastAsia="zh-CN" w:bidi="ar"/>
        </w:rPr>
        <w:t xml:space="preserve"> </w:t>
      </w:r>
      <w:r>
        <w:rPr>
          <w:rFonts w:ascii="Times New Roman" w:hAnsi="Times New Roman" w:eastAsia="等线" w:cs="Times New Roman"/>
          <w:b/>
          <w:sz w:val="24"/>
          <w:szCs w:val="24"/>
          <w:lang w:eastAsia="zh-CN" w:bidi="ar"/>
        </w:rPr>
        <w:t>TSG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 RAN</w:t>
      </w:r>
      <w:r>
        <w:rPr>
          <w:rFonts w:hint="eastAsia" w:ascii="Times New Roman" w:hAnsi="Times New Roman" w:eastAsia="等线" w:cs="Arial"/>
          <w:b/>
          <w:sz w:val="24"/>
          <w:szCs w:val="24"/>
          <w:lang w:eastAsia="zh-CN" w:bidi="ar"/>
        </w:rPr>
        <w:t xml:space="preserve"> </w:t>
      </w:r>
      <w:r>
        <w:rPr>
          <w:rFonts w:ascii="Times New Roman" w:hAnsi="Times New Roman" w:eastAsia="等线" w:cs="Times New Roman"/>
          <w:b/>
          <w:sz w:val="24"/>
          <w:szCs w:val="24"/>
          <w:lang w:eastAsia="zh-CN" w:bidi="ar"/>
        </w:rPr>
        <w:t>WG1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 Meeting #1</w:t>
      </w:r>
      <w:r>
        <w:rPr>
          <w:rFonts w:hint="eastAsia" w:ascii="Times New Roman" w:hAnsi="Times New Roman" w:cs="Arial"/>
          <w:b/>
          <w:sz w:val="24"/>
          <w:szCs w:val="24"/>
          <w:lang w:eastAsia="zh-CN" w:bidi="ar"/>
        </w:rPr>
        <w:t>20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                     </w:t>
      </w:r>
      <w:r>
        <w:rPr>
          <w:rFonts w:hint="eastAsia" w:ascii="Times New Roman" w:hAnsi="Times New Roman" w:eastAsia="Arial" w:cs="Arial"/>
          <w:b/>
          <w:sz w:val="24"/>
          <w:szCs w:val="24"/>
          <w:lang w:eastAsia="zh-CN" w:bidi="ar"/>
        </w:rPr>
        <w:t xml:space="preserve">  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        </w:t>
      </w:r>
      <w:r>
        <w:rPr>
          <w:rFonts w:hint="eastAsia" w:ascii="Times New Roman" w:hAnsi="Times New Roman" w:eastAsia="等线" w:cs="Arial"/>
          <w:b/>
          <w:sz w:val="24"/>
          <w:szCs w:val="24"/>
          <w:lang w:eastAsia="zh-CN" w:bidi="ar"/>
        </w:rPr>
        <w:t xml:space="preserve">                  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ab/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>R1-2500541</w:t>
      </w:r>
    </w:p>
    <w:p>
      <w:pPr>
        <w:spacing w:before="240" w:after="240" w:line="256" w:lineRule="auto"/>
        <w:jc w:val="both"/>
        <w:rPr>
          <w:rFonts w:ascii="Times New Roman" w:hAnsi="Times New Roman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24"/>
          <w:szCs w:val="24"/>
          <w:lang w:eastAsia="zh-CN" w:bidi="ar"/>
        </w:rPr>
        <w:t xml:space="preserve">Athens, </w:t>
      </w:r>
      <w:r>
        <w:rPr>
          <w:rFonts w:hint="eastAsia" w:ascii="Times New Roman" w:hAnsi="Times New Roman" w:cs="Arial"/>
          <w:b/>
          <w:sz w:val="24"/>
          <w:szCs w:val="24"/>
          <w:lang w:eastAsia="zh-CN" w:bidi="ar"/>
        </w:rPr>
        <w:t>Greece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, </w:t>
      </w:r>
      <w:r>
        <w:rPr>
          <w:rFonts w:hint="eastAsia" w:ascii="Times New Roman" w:hAnsi="Times New Roman" w:eastAsia="等线" w:cs="Times New Roman"/>
          <w:b/>
          <w:sz w:val="24"/>
          <w:szCs w:val="24"/>
          <w:lang w:eastAsia="zh-CN" w:bidi="ar"/>
        </w:rPr>
        <w:t>17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 </w:t>
      </w:r>
      <w:r>
        <w:rPr>
          <w:rFonts w:hint="eastAsia" w:ascii="Times New Roman" w:hAnsi="Times New Roman" w:eastAsia="等线" w:cs="Times New Roman"/>
          <w:b/>
          <w:sz w:val="24"/>
          <w:szCs w:val="24"/>
          <w:lang w:eastAsia="zh-CN" w:bidi="ar"/>
        </w:rPr>
        <w:t>Feb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 </w:t>
      </w:r>
      <w:r>
        <w:rPr>
          <w:rFonts w:ascii="Times New Roman" w:hAnsi="Times New Roman" w:eastAsia="Arial" w:cs="Times New Roman"/>
          <w:b/>
          <w:sz w:val="24"/>
          <w:szCs w:val="24"/>
          <w:lang w:eastAsia="zh-CN" w:bidi="ar"/>
        </w:rPr>
        <w:t xml:space="preserve">– </w:t>
      </w:r>
      <w:r>
        <w:rPr>
          <w:rFonts w:hint="eastAsia" w:ascii="Times New Roman" w:hAnsi="Times New Roman" w:eastAsia="等线" w:cs="Times New Roman"/>
          <w:b/>
          <w:sz w:val="24"/>
          <w:szCs w:val="24"/>
          <w:lang w:eastAsia="zh-CN" w:bidi="ar"/>
        </w:rPr>
        <w:t>21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 </w:t>
      </w:r>
      <w:r>
        <w:rPr>
          <w:rFonts w:hint="eastAsia" w:ascii="Times New Roman" w:hAnsi="Times New Roman" w:eastAsia="等线" w:cs="Times New Roman"/>
          <w:b/>
          <w:sz w:val="24"/>
          <w:szCs w:val="24"/>
          <w:lang w:eastAsia="zh-CN" w:bidi="ar"/>
        </w:rPr>
        <w:t>Feb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>, 202</w:t>
      </w:r>
      <w:r>
        <w:rPr>
          <w:rFonts w:hint="eastAsia" w:ascii="Times New Roman" w:hAnsi="Times New Roman" w:cs="Arial"/>
          <w:b/>
          <w:sz w:val="24"/>
          <w:szCs w:val="24"/>
          <w:lang w:eastAsia="zh-CN" w:bidi="ar"/>
        </w:rPr>
        <w:t>5</w:t>
      </w:r>
    </w:p>
    <w:p>
      <w:pPr>
        <w:spacing w:before="240" w:after="240" w:line="256" w:lineRule="auto"/>
        <w:jc w:val="both"/>
        <w:rPr>
          <w:rFonts w:ascii="Times New Roman" w:hAnsi="Times New Roman" w:cs="Arial"/>
          <w:b/>
          <w:sz w:val="24"/>
          <w:szCs w:val="24"/>
        </w:rPr>
      </w:pP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Source:           </w:t>
      </w:r>
      <w:r>
        <w:rPr>
          <w:rFonts w:hint="eastAsia" w:ascii="Times New Roman" w:hAnsi="Times New Roman" w:cs="Arial"/>
          <w:b/>
          <w:sz w:val="24"/>
          <w:szCs w:val="24"/>
          <w:lang w:eastAsia="zh-CN" w:bidi="ar"/>
        </w:rPr>
        <w:t xml:space="preserve">BUPT, </w:t>
      </w:r>
      <w:r>
        <w:rPr>
          <w:rFonts w:ascii="Times New Roman" w:hAnsi="Times New Roman" w:cs="Arial"/>
          <w:b/>
          <w:sz w:val="24"/>
          <w:szCs w:val="24"/>
          <w:lang w:eastAsia="zh-CN"/>
        </w:rPr>
        <w:t>Spark NZ</w:t>
      </w:r>
      <w:r>
        <w:rPr>
          <w:rFonts w:hint="eastAsia" w:ascii="Times New Roman" w:hAnsi="Times New Roman" w:cs="Arial"/>
          <w:b/>
          <w:sz w:val="24"/>
          <w:szCs w:val="24"/>
          <w:lang w:eastAsia="zh-CN"/>
        </w:rPr>
        <w:t xml:space="preserve"> Ltd</w:t>
      </w:r>
    </w:p>
    <w:p>
      <w:pPr>
        <w:spacing w:before="240" w:after="240" w:line="256" w:lineRule="auto"/>
        <w:rPr>
          <w:rFonts w:ascii="Times New Roman" w:hAnsi="Times New Roman" w:eastAsia="等线" w:cs="Arial"/>
          <w:b/>
          <w:sz w:val="24"/>
          <w:szCs w:val="24"/>
        </w:rPr>
      </w:pP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Title: </w:t>
      </w:r>
      <w:r>
        <w:rPr>
          <w:rFonts w:ascii="Times New Roman" w:hAnsi="Times New Roman" w:eastAsia="Arial" w:cs="Arial"/>
          <w:b/>
          <w:lang w:eastAsia="zh-CN" w:bidi="ar"/>
        </w:rPr>
        <w:t xml:space="preserve">             </w:t>
      </w:r>
      <w:r>
        <w:rPr>
          <w:rFonts w:ascii="Times New Roman" w:hAnsi="Times New Roman" w:eastAsia="等线" w:cs="Times New Roman"/>
          <w:b/>
          <w:sz w:val="24"/>
          <w:szCs w:val="24"/>
          <w:lang w:eastAsia="zh-CN" w:bidi="ar"/>
        </w:rPr>
        <w:t>Discussion on channel model validation of TR38.901 for 7-24</w:t>
      </w:r>
      <w:r>
        <w:rPr>
          <w:rFonts w:hint="eastAsia" w:ascii="Times New Roman" w:hAnsi="Times New Roman" w:eastAsia="等线" w:cs="Times New Roman"/>
          <w:b/>
          <w:sz w:val="24"/>
          <w:szCs w:val="24"/>
          <w:lang w:eastAsia="zh-CN" w:bidi="ar"/>
        </w:rPr>
        <w:t xml:space="preserve"> </w:t>
      </w:r>
      <w:r>
        <w:rPr>
          <w:rFonts w:ascii="Times New Roman" w:hAnsi="Times New Roman" w:eastAsia="等线" w:cs="Times New Roman"/>
          <w:b/>
          <w:sz w:val="24"/>
          <w:szCs w:val="24"/>
          <w:lang w:eastAsia="zh-CN" w:bidi="ar"/>
        </w:rPr>
        <w:t>GHz</w:t>
      </w:r>
    </w:p>
    <w:p>
      <w:pPr>
        <w:spacing w:before="240" w:after="240" w:line="256" w:lineRule="auto"/>
        <w:jc w:val="both"/>
        <w:rPr>
          <w:rFonts w:ascii="Times New Roman" w:hAnsi="Times New Roman" w:eastAsia="等线" w:cs="Arial"/>
          <w:b/>
          <w:sz w:val="24"/>
          <w:szCs w:val="24"/>
        </w:rPr>
      </w:pP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Agenda item:    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ab/>
      </w:r>
      <w:r>
        <w:rPr>
          <w:rFonts w:ascii="Times New Roman" w:hAnsi="Times New Roman" w:eastAsia="等线" w:cs="Times New Roman"/>
          <w:b/>
          <w:sz w:val="24"/>
          <w:szCs w:val="24"/>
          <w:lang w:eastAsia="zh-CN" w:bidi="ar"/>
        </w:rPr>
        <w:t>9.8.1</w:t>
      </w:r>
    </w:p>
    <w:p>
      <w:pPr>
        <w:spacing w:before="240" w:after="240" w:line="256" w:lineRule="auto"/>
        <w:ind w:right="-440"/>
        <w:jc w:val="both"/>
        <w:rPr>
          <w:rFonts w:ascii="Times New Roman" w:hAnsi="Times New Roman" w:eastAsia="Arial" w:cs="Arial"/>
          <w:b/>
          <w:sz w:val="24"/>
          <w:szCs w:val="24"/>
        </w:rPr>
      </w:pP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 xml:space="preserve">Document for:  </w:t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ab/>
      </w:r>
      <w:r>
        <w:rPr>
          <w:rFonts w:ascii="Times New Roman" w:hAnsi="Times New Roman" w:eastAsia="Arial" w:cs="Arial"/>
          <w:b/>
          <w:sz w:val="24"/>
          <w:szCs w:val="24"/>
          <w:lang w:eastAsia="zh-CN" w:bidi="ar"/>
        </w:rPr>
        <w:t>Discussion and Decision</w:t>
      </w:r>
    </w:p>
    <w:p>
      <w:pPr>
        <w:pBdr>
          <w:bottom w:val="single" w:color="auto" w:sz="4" w:space="1"/>
        </w:pBdr>
        <w:spacing w:after="0"/>
        <w:ind w:firstLine="320"/>
        <w:rPr>
          <w:rFonts w:ascii="Times New Roman" w:hAnsi="Times New Roman"/>
          <w:b/>
          <w:kern w:val="2"/>
          <w:sz w:val="16"/>
          <w:szCs w:val="16"/>
          <w:lang w:eastAsia="zh-CN"/>
        </w:rPr>
      </w:pPr>
    </w:p>
    <w:p>
      <w:pPr>
        <w:spacing w:after="0"/>
        <w:ind w:firstLine="480"/>
        <w:jc w:val="both"/>
        <w:rPr>
          <w:rFonts w:ascii="Times New Roman" w:hAnsi="Times New Roman"/>
          <w:b/>
          <w:sz w:val="24"/>
          <w:szCs w:val="24"/>
        </w:rPr>
      </w:pPr>
    </w:p>
    <w:p>
      <w:pPr>
        <w:pStyle w:val="2"/>
        <w:numPr>
          <w:ilvl w:val="0"/>
          <w:numId w:val="2"/>
        </w:numPr>
        <w:adjustRightInd w:val="0"/>
        <w:snapToGrid w:val="0"/>
        <w:spacing w:after="180" w:line="240" w:lineRule="auto"/>
        <w:ind w:left="0" w:firstLine="561"/>
        <w:jc w:val="both"/>
        <w:rPr>
          <w:rFonts w:ascii="Times New Roman" w:hAnsi="Times New Roman" w:eastAsia="宋体" w:cs="Times New Roman"/>
          <w:b/>
          <w:sz w:val="28"/>
          <w:szCs w:val="20"/>
          <w:lang w:eastAsia="zh-CN"/>
        </w:rPr>
      </w:pPr>
      <w:bookmarkStart w:id="0" w:name="_heading=h.gjdgxs" w:colFirst="0" w:colLast="0"/>
      <w:bookmarkEnd w:id="0"/>
      <w:r>
        <w:rPr>
          <w:rFonts w:ascii="Times New Roman" w:hAnsi="Times New Roman" w:eastAsia="宋体" w:cs="Times New Roman"/>
          <w:b/>
          <w:sz w:val="28"/>
          <w:szCs w:val="20"/>
          <w:lang w:eastAsia="zh-CN"/>
        </w:rPr>
        <w:t>Introduction</w:t>
      </w:r>
    </w:p>
    <w:p>
      <w:pPr>
        <w:adjustRightInd w:val="0"/>
        <w:snapToGrid w:val="0"/>
        <w:spacing w:before="180" w:after="120"/>
        <w:jc w:val="both"/>
        <w:rPr>
          <w:rFonts w:ascii="Times New Roman" w:hAnsi="Times New Roman" w:eastAsia="宋体" w:cs="Times New Roman"/>
          <w:sz w:val="20"/>
          <w:szCs w:val="20"/>
          <w:lang w:eastAsia="zh-CN"/>
        </w:rPr>
      </w:pP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In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RAN1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>#1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19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, a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summary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on channel modelling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validation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for 7-24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GHz was approved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instrText xml:space="preserve"> REF _Ref158132683 \n \h  \* MERGEFORMAT </w:instrTex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fldChar w:fldCharType="separate"/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>[1]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>: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c>
          <w:tcPr>
            <w:tcW w:w="9621" w:type="dxa"/>
          </w:tcPr>
          <w:p>
            <w:pPr>
              <w:pStyle w:val="7"/>
              <w:rPr>
                <w:rFonts w:eastAsia="等线"/>
                <w:b/>
                <w:bCs/>
                <w:sz w:val="20"/>
                <w:lang w:eastAsia="zh-CN"/>
              </w:rPr>
            </w:pPr>
          </w:p>
          <w:p>
            <w:pPr>
              <w:pStyle w:val="7"/>
              <w:rPr>
                <w:rFonts w:eastAsia="等线"/>
                <w:b/>
                <w:bCs/>
                <w:sz w:val="20"/>
                <w:lang w:eastAsia="zh-CN"/>
              </w:rPr>
            </w:pPr>
            <w:r>
              <w:rPr>
                <w:rFonts w:eastAsia="等线"/>
                <w:b/>
                <w:bCs/>
                <w:sz w:val="20"/>
                <w:lang w:eastAsia="zh-CN"/>
              </w:rPr>
              <w:t>Agreement</w:t>
            </w:r>
          </w:p>
          <w:p>
            <w:pPr>
              <w:pStyle w:val="7"/>
              <w:numPr>
                <w:ilvl w:val="0"/>
                <w:numId w:val="3"/>
              </w:numPr>
              <w:rPr>
                <w:rFonts w:eastAsia="等线"/>
                <w:sz w:val="20"/>
                <w:lang w:eastAsia="zh-CN"/>
              </w:rPr>
            </w:pPr>
            <w:r>
              <w:rPr>
                <w:rFonts w:eastAsia="等线"/>
                <w:sz w:val="20"/>
                <w:lang w:eastAsia="zh-CN"/>
              </w:rPr>
              <w:t>Study further on the need for introduction of intra-cluster power profile.</w:t>
            </w:r>
          </w:p>
          <w:p>
            <w:pPr>
              <w:pStyle w:val="7"/>
              <w:numPr>
                <w:ilvl w:val="1"/>
                <w:numId w:val="3"/>
              </w:numPr>
              <w:rPr>
                <w:rFonts w:eastAsia="等线"/>
                <w:sz w:val="20"/>
                <w:lang w:eastAsia="zh-CN"/>
              </w:rPr>
            </w:pPr>
            <w:r>
              <w:rPr>
                <w:rFonts w:eastAsia="等线"/>
                <w:sz w:val="20"/>
                <w:lang w:eastAsia="zh-CN"/>
              </w:rPr>
              <w:t>Potential options for introduction of intra-cluster power profile:</w:t>
            </w:r>
          </w:p>
          <w:p>
            <w:pPr>
              <w:pStyle w:val="7"/>
              <w:numPr>
                <w:ilvl w:val="2"/>
                <w:numId w:val="3"/>
              </w:numPr>
              <w:rPr>
                <w:rFonts w:eastAsia="等线"/>
                <w:sz w:val="20"/>
                <w:lang w:eastAsia="zh-CN"/>
              </w:rPr>
            </w:pPr>
            <w:r>
              <w:rPr>
                <w:rFonts w:eastAsia="等线"/>
                <w:sz w:val="20"/>
                <w:lang w:eastAsia="zh-CN"/>
              </w:rPr>
              <w:t>Introduce unequal power per ray within a cluster and change the unequal angle offset to equal angle offset among rays within a cluster to maintain the same PAS characteristic as in TR 38.901 (example in R1-2409724)</w:t>
            </w:r>
          </w:p>
          <w:p>
            <w:pPr>
              <w:pStyle w:val="7"/>
              <w:numPr>
                <w:ilvl w:val="2"/>
                <w:numId w:val="3"/>
              </w:numPr>
              <w:rPr>
                <w:rFonts w:eastAsia="等线"/>
                <w:sz w:val="20"/>
                <w:lang w:eastAsia="zh-CN"/>
              </w:rPr>
            </w:pPr>
            <w:r>
              <w:rPr>
                <w:rFonts w:eastAsia="等线"/>
                <w:sz w:val="20"/>
                <w:lang w:eastAsia="zh-CN"/>
              </w:rPr>
              <w:t>Power scaling within a cluster based on DS associated with the cluster (example in R1-2410213)</w:t>
            </w:r>
          </w:p>
          <w:p>
            <w:pPr>
              <w:pStyle w:val="24"/>
              <w:numPr>
                <w:ilvl w:val="0"/>
                <w:numId w:val="0"/>
              </w:numPr>
              <w:ind w:left="720"/>
              <w:rPr>
                <w:rFonts w:eastAsiaTheme="minorEastAsia"/>
              </w:rPr>
            </w:pPr>
          </w:p>
        </w:tc>
      </w:tr>
    </w:tbl>
    <w:p>
      <w:pPr>
        <w:adjustRightInd w:val="0"/>
        <w:spacing w:after="120"/>
        <w:jc w:val="both"/>
        <w:rPr>
          <w:rFonts w:ascii="Times New Roman" w:hAnsi="Times New Roman" w:eastAsia="宋体" w:cs="Times New Roman"/>
          <w:sz w:val="20"/>
          <w:szCs w:val="20"/>
          <w:lang w:eastAsia="zh-CN"/>
        </w:rPr>
      </w:pPr>
    </w:p>
    <w:p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new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mid-band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is a key candidate band for future mobile communication systems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[2]</w:t>
      </w:r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等线" w:cs="Times New Roman"/>
          <w:sz w:val="20"/>
          <w:szCs w:val="20"/>
          <w:lang w:val="en-GB" w:eastAsia="zh-CN"/>
        </w:rPr>
        <w:t xml:space="preserve">The </w:t>
      </w:r>
      <w:r>
        <w:rPr>
          <w:rFonts w:ascii="Times New Roman" w:hAnsi="Times New Roman" w:eastAsia="等线" w:cs="Times New Roman"/>
          <w:sz w:val="20"/>
          <w:szCs w:val="20"/>
          <w:lang w:val="en-GB" w:eastAsia="zh-CN"/>
        </w:rPr>
        <w:t>intra-cluster power profile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is one of the key factors affecting the accuracy of the model.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In this contribution,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we provide our views on the validation and the details for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Rel-19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>channel modeling enhancements for 7-24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>GHz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.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>Key consideration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 is the modification of the cluster structure and the performance of the channel parameters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>.</w:t>
      </w:r>
    </w:p>
    <w:p>
      <w:pPr>
        <w:pStyle w:val="2"/>
        <w:numPr>
          <w:ilvl w:val="0"/>
          <w:numId w:val="2"/>
        </w:numPr>
        <w:adjustRightInd w:val="0"/>
        <w:snapToGrid w:val="0"/>
        <w:spacing w:after="180" w:line="240" w:lineRule="auto"/>
        <w:ind w:left="0" w:firstLine="0"/>
        <w:jc w:val="both"/>
        <w:rPr>
          <w:rFonts w:ascii="Times New Roman" w:hAnsi="Times New Roman" w:eastAsia="宋体" w:cs="Times New Roman"/>
          <w:b/>
          <w:sz w:val="28"/>
          <w:szCs w:val="20"/>
          <w:lang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0"/>
          <w:lang w:eastAsia="zh-CN"/>
        </w:rPr>
        <w:t>Cluster Structure</w:t>
      </w:r>
    </w:p>
    <w:p>
      <w:pPr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2.1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The </w:t>
      </w:r>
      <w:bookmarkStart w:id="1" w:name="_Hlk187915216"/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ay offset angles</w:t>
      </w:r>
      <w:bookmarkEnd w:id="1"/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within a cluster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 based on the 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intra-cluster power profile</w:t>
      </w:r>
    </w:p>
    <w:p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In existing channel models, the power angular spectrum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(PAS)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is assumed to obey a Laplace distribution. The intra-cluster rays approximate the Laplace angular power distribution by utilizing equal power per multipath but unequal angular distances. However,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the results of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measurements at 7-24 GHz indicate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that there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is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a dominant ray within the cluster that contains most of the cluster power, as shown in Fig. 1. This phenomenon does not match the multipath power equality of existing channel models.</w:t>
      </w:r>
    </w:p>
    <w:p>
      <w:pPr>
        <w:pStyle w:val="10"/>
        <w:spacing w:line="11" w:lineRule="atLeast"/>
        <w:jc w:val="center"/>
        <w:rPr>
          <w:rFonts w:ascii="Times New Roman" w:hAnsi="Times New Roman" w:cs="Times New Roman"/>
          <w:sz w:val="20"/>
          <w:szCs w:val="18"/>
        </w:rPr>
      </w:pPr>
      <w:r>
        <w:drawing>
          <wp:inline distT="0" distB="0" distL="0" distR="0">
            <wp:extent cx="4172585" cy="1737360"/>
            <wp:effectExtent l="0" t="0" r="0" b="0"/>
            <wp:docPr id="18982459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245958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487"/>
                    <a:stretch>
                      <a:fillRect/>
                    </a:stretch>
                  </pic:blipFill>
                  <pic:spPr>
                    <a:xfrm>
                      <a:off x="0" y="0"/>
                      <a:ext cx="4175217" cy="1738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Fig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ure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1: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The </w:t>
      </w:r>
      <w:r>
        <w:rPr>
          <w:rFonts w:ascii="Times New Roman" w:hAnsi="Times New Roman" w:cs="Times New Roman"/>
          <w:sz w:val="20"/>
          <w:szCs w:val="18"/>
          <w:lang w:eastAsia="zh-CN"/>
        </w:rPr>
        <w:t>intra-cluster power distribution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in the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3GPP model and measurement.</w:t>
      </w:r>
    </w:p>
    <w:p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Therefore, we introduce the intra-cluster power factor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(ICP)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to characterize this phenomenon. That is, the intra-cluster power is modeled as</w:t>
      </w:r>
    </w:p>
    <w:p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p</m:t>
              </m: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m</m:t>
              </m: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ub>
          </m:sSub>
          <m:r>
            <m:rPr/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p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I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I+1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P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 xml:space="preserve">,             </m:t>
                  </m:r>
                  <m:sSub>
                    <m:sSubPr>
                      <m:ctrlPr>
                        <w:rPr>
                          <w:rFonts w:ascii="Cambria Math" w:hAnsi="Cambria Math" w:eastAsia="宋体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α</m:t>
                      </m:r>
                      <m:ctrlPr>
                        <w:rPr>
                          <w:rFonts w:ascii="Cambria Math" w:hAnsi="Cambria Math" w:eastAsia="宋体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</m:t>
                      </m:r>
                      <m:ctrlPr>
                        <w:rPr>
                          <w:rFonts w:ascii="Cambria Math" w:hAnsi="Cambria Math" w:eastAsia="宋体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min⁡</m:t>
                  </m:r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(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b/>
                          <w:bCs/>
                          <w:iCs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A</m:t>
                      </m:r>
                      <m:ctrlPr>
                        <w:rPr>
                          <w:rFonts w:ascii="Cambria Math" w:hAnsi="Cambria Math" w:cs="Times New Roman"/>
                          <w:b/>
                          <w:bCs/>
                          <w:iCs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</m:d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)</m:t>
                  </m: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p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1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I+1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kern w:val="2"/>
                              <w:sz w:val="20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kern w:val="2"/>
                              <w:sz w:val="20"/>
                              <w:szCs w:val="18"/>
                              <w:lang w:eastAsia="zh-CN"/>
                            </w:rPr>
                            <m:t>P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kern w:val="2"/>
                              <w:sz w:val="20"/>
                              <w:szCs w:val="18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kern w:val="2"/>
                              <w:sz w:val="20"/>
                              <w:szCs w:val="18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kern w:val="2"/>
                              <w:sz w:val="20"/>
                              <w:szCs w:val="18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M−1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 xml:space="preserve">,             </m:t>
                  </m:r>
                  <m:sSub>
                    <m:sSubPr>
                      <m:ctrlPr>
                        <w:rPr>
                          <w:rFonts w:ascii="Cambria Math" w:hAnsi="Cambria Math" w:eastAsia="宋体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α</m:t>
                      </m:r>
                      <m:ctrlPr>
                        <w:rPr>
                          <w:rFonts w:ascii="Cambria Math" w:hAnsi="Cambria Math" w:eastAsia="宋体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</m:t>
                      </m:r>
                      <m:ctrlPr>
                        <w:rPr>
                          <w:rFonts w:ascii="Cambria Math" w:hAnsi="Cambria Math" w:eastAsia="宋体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min⁡</m:t>
                  </m:r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(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b/>
                          <w:bCs/>
                          <w:iCs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A</m:t>
                      </m:r>
                      <m:ctrlPr>
                        <w:rPr>
                          <w:rFonts w:ascii="Cambria Math" w:hAnsi="Cambria Math" w:cs="Times New Roman"/>
                          <w:b/>
                          <w:bCs/>
                          <w:iCs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</m:d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)</m:t>
                  </m: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e>
              </m:eqAr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e>
          </m:d>
          <m:r>
            <m:rPr/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 xml:space="preserve">        </m:t>
          </m:r>
        </m:oMath>
      </m:oMathPara>
    </w:p>
    <w:p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b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p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e>
          <m:sub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m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ub>
        </m:sSub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represents the power of the </w:t>
      </w:r>
      <m:oMath>
        <m:sSup>
          <m:sSup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p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m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e>
          <m:sup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tℎ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up>
        </m:sSup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ray. </w:t>
      </w:r>
      <m:oMath>
        <m:sSub>
          <m:sSub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b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P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e>
          <m:sub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n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ub>
        </m:sSub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represents the </w:t>
      </w:r>
      <m:oMath>
        <m:sSup>
          <m:sSup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p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n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e>
          <m:sup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tℎ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up>
        </m:sSup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cluster power.  </w:t>
      </w:r>
      <m:oMath>
        <m:sSub>
          <m:sSubPr>
            <m:ctrlPr>
              <w:rPr>
                <w:rFonts w:ascii="Cambria Math" w:hAnsi="Cambria Math" w:eastAsia="宋体" w:cs="Times New Roman"/>
                <w:i/>
                <w:kern w:val="2"/>
                <w:sz w:val="20"/>
                <w:szCs w:val="18"/>
                <w:lang w:eastAsia="zh-CN"/>
              </w:rPr>
            </m:ctrlPr>
          </m:sSub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α</m:t>
            </m:r>
            <m:ctrlPr>
              <w:rPr>
                <w:rFonts w:ascii="Cambria Math" w:hAnsi="Cambria Math" w:eastAsia="宋体" w:cs="Times New Roman"/>
                <w:i/>
                <w:kern w:val="2"/>
                <w:sz w:val="20"/>
                <w:szCs w:val="18"/>
                <w:lang w:eastAsia="zh-CN"/>
              </w:rPr>
            </m:ctrlPr>
          </m:e>
          <m:sub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m</m:t>
            </m:r>
            <m:ctrlPr>
              <w:rPr>
                <w:rFonts w:ascii="Cambria Math" w:hAnsi="Cambria Math" w:eastAsia="宋体" w:cs="Times New Roman"/>
                <w:i/>
                <w:kern w:val="2"/>
                <w:sz w:val="20"/>
                <w:szCs w:val="18"/>
                <w:lang w:eastAsia="zh-CN"/>
              </w:rPr>
            </m:ctrlPr>
          </m:sub>
        </m:sSub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is the </w:t>
      </w:r>
      <m:oMath>
        <m:sSup>
          <m:sSup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p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m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e>
          <m:sup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tℎ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up>
        </m:sSup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ray offset angle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and </w:t>
      </w:r>
      <m:oMath>
        <m:r>
          <m:rPr>
            <m:sty m:val="b"/>
          </m:rPr>
          <w:rPr>
            <w:rFonts w:ascii="Cambria Math" w:hAnsi="Cambria Math" w:cs="Times New Roman"/>
            <w:kern w:val="2"/>
            <w:sz w:val="20"/>
            <w:szCs w:val="18"/>
            <w:lang w:eastAsia="zh-CN"/>
          </w:rPr>
          <m:t>A</m:t>
        </m:r>
      </m:oMath>
      <w:r>
        <w:rPr>
          <w:rFonts w:hint="eastAsia" w:ascii="Times New Roman" w:hAnsi="Times New Roman" w:cs="Times New Roman"/>
          <w:b/>
          <w:bCs/>
          <w:iCs/>
          <w:kern w:val="2"/>
          <w:sz w:val="20"/>
          <w:szCs w:val="18"/>
          <w:lang w:eastAsia="zh-CN"/>
        </w:rPr>
        <w:t xml:space="preserve"> </w:t>
      </w:r>
      <w:r>
        <w:rPr>
          <w:rFonts w:hint="eastAsia" w:ascii="Times New Roman" w:hAnsi="Times New Roman" w:cs="Times New Roman"/>
          <w:iCs/>
          <w:kern w:val="2"/>
          <w:sz w:val="20"/>
          <w:szCs w:val="18"/>
          <w:lang w:eastAsia="zh-CN"/>
        </w:rPr>
        <w:t xml:space="preserve">is the set of the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ray offset angle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s. </w:t>
      </w:r>
      <m:oMath>
        <m:r>
          <m:rPr/>
          <w:rPr>
            <w:rFonts w:ascii="Cambria Math" w:hAnsi="Cambria Math" w:cs="Times New Roman"/>
            <w:kern w:val="2"/>
            <w:sz w:val="20"/>
            <w:szCs w:val="18"/>
            <w:lang w:eastAsia="zh-CN"/>
          </w:rPr>
          <m:t>I</m:t>
        </m:r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and </w:t>
      </w:r>
      <m:oMath>
        <m:r>
          <m:rPr/>
          <w:rPr>
            <w:rFonts w:ascii="Cambria Math" w:hAnsi="Cambria Math" w:cs="Times New Roman"/>
            <w:kern w:val="2"/>
            <w:sz w:val="20"/>
            <w:szCs w:val="18"/>
            <w:lang w:eastAsia="zh-CN"/>
          </w:rPr>
          <m:t>M</m:t>
        </m:r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represent the ICP and ray number, respectively. </w:t>
      </w:r>
    </w:p>
    <w:p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As the power percentage of the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ray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changes, the angular spacing of the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ray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needs to change in order to ensure the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s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ampling theorem for PAS. The PAS obeys the Laplace variation, so its CDF is expressed as</w:t>
      </w:r>
    </w:p>
    <w:p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Para>
        <m:oMath>
          <m:r>
            <m:rPr/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dPr>
            <m:e>
              <m:r>
                <m:rPr/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θ</m:t>
              </m: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e>
          </m:d>
          <m:r>
            <m:rPr/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1</m:t>
                      </m: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2</m:t>
                      </m: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den>
                  </m:f>
                  <m:func>
                    <m:funcP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exp</m:t>
                      </m: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kern w:val="2"/>
                              <w:sz w:val="20"/>
                              <w:szCs w:val="18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kern w:val="2"/>
                                  <w:sz w:val="20"/>
                                  <w:szCs w:val="18"/>
                                  <w:lang w:eastAsia="zh-CN"/>
                                </w:rPr>
                              </m:ctrlPr>
                            </m:fPr>
                            <m:num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radPr>
                                <m:deg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deg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e>
                              </m:rad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  <m:t>θ−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kern w:val="2"/>
                                          <w:sz w:val="20"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 w:cs="Times New Roman"/>
                                          <w:kern w:val="2"/>
                                          <w:sz w:val="20"/>
                                          <w:szCs w:val="18"/>
                                          <w:lang w:eastAsia="zh-CN"/>
                                        </w:rPr>
                                        <m:t>θ</m:t>
                                      </m: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kern w:val="2"/>
                                          <w:sz w:val="20"/>
                                          <w:szCs w:val="18"/>
                                          <w:lang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ascii="Cambria Math" w:hAnsi="Cambria Math" w:cs="Times New Roman"/>
                                          <w:kern w:val="2"/>
                                          <w:sz w:val="20"/>
                                          <w:szCs w:val="18"/>
                                          <w:lang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kern w:val="2"/>
                                          <w:sz w:val="20"/>
                                          <w:szCs w:val="18"/>
                                          <w:lang w:eastAsia="zh-CN"/>
                                        </w:rPr>
                                      </m:ctrlPr>
                                    </m:sub>
                                  </m:sSub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 w:cs="Times New Roman"/>
                                  <w:i/>
                                  <w:kern w:val="2"/>
                                  <w:sz w:val="20"/>
                                  <w:szCs w:val="18"/>
                                  <w:lang w:eastAsia="zh-CN"/>
                                </w:rPr>
                              </m:ctrlP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  <m:t>σ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  <m:t>ASA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 w:cs="Times New Roman"/>
                                  <w:i/>
                                  <w:kern w:val="2"/>
                                  <w:sz w:val="20"/>
                                  <w:szCs w:val="18"/>
                                  <w:lang w:eastAsia="zh-CN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 w:cs="Times New Roman"/>
                              <w:i/>
                              <w:kern w:val="2"/>
                              <w:sz w:val="20"/>
                              <w:szCs w:val="18"/>
                              <w:lang w:eastAsia="zh-CN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</m:func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,              θ&lt;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θ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0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e>
                <m:e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1−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1</m:t>
                      </m: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2</m:t>
                      </m: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den>
                  </m:f>
                  <m:func>
                    <m:funcP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exp</m:t>
                      </m: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kern w:val="2"/>
                              <w:sz w:val="20"/>
                              <w:szCs w:val="18"/>
                              <w:lang w:eastAsia="zh-CN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kern w:val="2"/>
                              <w:sz w:val="20"/>
                              <w:szCs w:val="18"/>
                              <w:lang w:eastAsia="zh-CN"/>
                            </w:rPr>
                            <m:t>−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kern w:val="2"/>
                                  <w:sz w:val="20"/>
                                  <w:szCs w:val="18"/>
                                  <w:lang w:eastAsia="zh-CN"/>
                                </w:rPr>
                              </m:ctrlPr>
                            </m:fPr>
                            <m:num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radPr>
                                <m:deg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deg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e>
                              </m:rad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  <m:t>θ−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kern w:val="2"/>
                                          <w:sz w:val="20"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 w:cs="Times New Roman"/>
                                          <w:kern w:val="2"/>
                                          <w:sz w:val="20"/>
                                          <w:szCs w:val="18"/>
                                          <w:lang w:eastAsia="zh-CN"/>
                                        </w:rPr>
                                        <m:t>θ</m:t>
                                      </m: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kern w:val="2"/>
                                          <w:sz w:val="20"/>
                                          <w:szCs w:val="18"/>
                                          <w:lang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ascii="Cambria Math" w:hAnsi="Cambria Math" w:cs="Times New Roman"/>
                                          <w:kern w:val="2"/>
                                          <w:sz w:val="20"/>
                                          <w:szCs w:val="18"/>
                                          <w:lang w:eastAsia="zh-CN"/>
                                        </w:rPr>
                                        <m:t>0</m:t>
                                      </m: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kern w:val="2"/>
                                          <w:sz w:val="20"/>
                                          <w:szCs w:val="18"/>
                                          <w:lang w:eastAsia="zh-CN"/>
                                        </w:rPr>
                                      </m:ctrlPr>
                                    </m:sub>
                                  </m:sSub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 w:cs="Times New Roman"/>
                                  <w:i/>
                                  <w:kern w:val="2"/>
                                  <w:sz w:val="20"/>
                                  <w:szCs w:val="18"/>
                                  <w:lang w:eastAsia="zh-CN"/>
                                </w:rPr>
                              </m:ctrlP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  <m:t>σ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  <m:t>ASA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kern w:val="2"/>
                                      <w:sz w:val="20"/>
                                      <w:szCs w:val="18"/>
                                      <w:lang w:eastAsia="zh-CN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 w:cs="Times New Roman"/>
                                  <w:i/>
                                  <w:kern w:val="2"/>
                                  <w:sz w:val="20"/>
                                  <w:szCs w:val="18"/>
                                  <w:lang w:eastAsia="zh-CN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 w:cs="Times New Roman"/>
                              <w:i/>
                              <w:kern w:val="2"/>
                              <w:sz w:val="20"/>
                              <w:szCs w:val="18"/>
                              <w:lang w:eastAsia="zh-CN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</m:func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,          θ≥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θ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0</m:t>
                      </m: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e>
              </m:eqAr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e>
          </m:d>
        </m:oMath>
      </m:oMathPara>
    </w:p>
    <w:p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where </w:t>
      </w:r>
      <m:oMath>
        <m:r>
          <m:rPr/>
          <w:rPr>
            <w:rFonts w:ascii="Cambria Math" w:hAnsi="Cambria Math" w:cs="Times New Roman"/>
            <w:kern w:val="2"/>
            <w:sz w:val="20"/>
            <w:szCs w:val="18"/>
            <w:lang w:eastAsia="zh-CN"/>
          </w:rPr>
          <m:t>θ</m:t>
        </m:r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b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θ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e>
          <m:sub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0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ub>
        </m:sSub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represent the ray angle and the cluster angle, respectively. </w:t>
      </w:r>
      <m:oMath>
        <m:sSub>
          <m:sSub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b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σ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e>
          <m:sub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ASA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ub>
        </m:sSub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represents the cluster angle spread.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We assume that the clusters angle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is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p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0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e>
          <m:sup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°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up>
        </m:sSup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and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the cluster angle spread is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p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1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e>
          <m:sup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°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up>
        </m:sSup>
      </m:oMath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.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The CDF formula of PAS was utilized to divide the power of 1 dominant ray and 19 remaining rays.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The corresponding ray angles are calculated from the inverse function of </w:t>
      </w:r>
      <m:oMath>
        <m:r>
          <m:rPr/>
          <w:rPr>
            <w:rFonts w:ascii="Cambria Math" w:hAnsi="Cambria Math" w:cs="Times New Roman"/>
            <w:kern w:val="2"/>
            <w:sz w:val="20"/>
            <w:szCs w:val="18"/>
            <w:lang w:eastAsia="zh-CN"/>
          </w:rPr>
          <m:t>F</m:t>
        </m:r>
        <m:d>
          <m:d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dPr>
          <m:e>
            <m:r>
              <m:rPr/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θ</m:t>
            </m: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e>
        </m:d>
      </m:oMath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, expressed as</w:t>
      </w:r>
    </w:p>
    <w:p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θ</m:t>
              </m: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m</m:t>
              </m: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ub>
          </m:sSub>
          <m:r>
            <m:rPr/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pPr>
            <m:e>
              <m:r>
                <m:rPr/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F</m:t>
              </m: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e>
            <m:sup>
              <m:r>
                <m:rPr/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−1</m:t>
              </m: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up>
          </m:sSup>
          <m:d>
            <m:d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fPr>
                <m:num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m−0.5</m:t>
                  </m: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num>
                <m:den>
                  <m:r>
                    <m:rPr/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M</m:t>
                  </m: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den>
              </m:f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e>
          </m:d>
          <m:r>
            <m:rPr/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.</m:t>
          </m:r>
        </m:oMath>
      </m:oMathPara>
    </w:p>
    <w:p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Fig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.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2 illustrates the PAS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using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the average distribution of power and after the introduction of ICP. The results indicate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that the introduction of ICP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with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chang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ing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the power and the angular distance of the rays still makes the PAS obey the Laplace distribution.</w:t>
      </w:r>
    </w:p>
    <w:p>
      <w:pPr>
        <w:jc w:val="center"/>
      </w:pPr>
      <w:r>
        <w:drawing>
          <wp:inline distT="0" distB="0" distL="0" distR="0">
            <wp:extent cx="2933700" cy="2200275"/>
            <wp:effectExtent l="0" t="0" r="0" b="9525"/>
            <wp:docPr id="64250620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506206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5312" cy="220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934970" cy="2200910"/>
            <wp:effectExtent l="0" t="0" r="0" b="8890"/>
            <wp:docPr id="14899954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995414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9855" cy="2212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400" w:firstLineChars="1200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(a)                                                                                       (b)</w:t>
      </w:r>
    </w:p>
    <w:p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Fig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ure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2: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T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he PAS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using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the average distribution of power and after the introduction of ICP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.</w:t>
      </w:r>
    </w:p>
    <w:p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The updated Ray offset angles within a cluster are shown in Table 1.</w:t>
      </w:r>
    </w:p>
    <w:p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Table 1: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Ray offset angles within a cluster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.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3400"/>
      </w:tblGrid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2"/>
                <w:sz w:val="20"/>
                <w:szCs w:val="18"/>
                <w:lang w:val="en-US" w:eastAsia="zh-CN"/>
              </w:rPr>
              <w:t xml:space="preserve">Ray number </w:t>
            </w:r>
            <m:oMath>
              <m:r>
                <m:rPr>
                  <m:sty m:val="bi"/>
                </m:rPr>
                <w:rPr>
                  <w:rFonts w:ascii="Cambria Math" w:hAnsi="Cambria Math" w:eastAsia="宋体" w:cs="Times New Roman"/>
                  <w:kern w:val="2"/>
                  <w:sz w:val="20"/>
                  <w:szCs w:val="18"/>
                  <w:lang w:val="en-NZ" w:eastAsia="zh-CN"/>
                </w:rPr>
                <m:t>m</m:t>
              </m:r>
            </m:oMath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2"/>
                <w:sz w:val="20"/>
                <w:szCs w:val="18"/>
                <w:lang w:val="en-US" w:eastAsia="zh-CN"/>
              </w:rPr>
              <w:t xml:space="preserve">Basis vector of offset angles 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b/>
                      <w:bCs/>
                      <w:i/>
                      <w:kern w:val="2"/>
                      <w:sz w:val="20"/>
                      <w:szCs w:val="18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eastAsia="宋体" w:cs="Times New Roman"/>
                      <w:kern w:val="2"/>
                      <w:sz w:val="20"/>
                      <w:szCs w:val="18"/>
                      <w:lang w:val="en-US" w:eastAsia="zh-CN"/>
                    </w:rPr>
                    <m:t>α</m:t>
                  </m:r>
                  <m:ctrlPr>
                    <w:rPr>
                      <w:rFonts w:ascii="Cambria Math" w:hAnsi="Cambria Math" w:eastAsia="宋体" w:cs="Times New Roman"/>
                      <w:b/>
                      <w:bCs/>
                      <w:i/>
                      <w:kern w:val="2"/>
                      <w:sz w:val="20"/>
                      <w:szCs w:val="18"/>
                      <w:lang w:val="en-US" w:eastAsia="zh-CN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eastAsia="宋体" w:cs="Times New Roman"/>
                      <w:kern w:val="2"/>
                      <w:sz w:val="20"/>
                      <w:szCs w:val="18"/>
                      <w:lang w:val="en-US" w:eastAsia="zh-CN"/>
                    </w:rPr>
                    <m:t>m</m:t>
                  </m:r>
                  <m:ctrlPr>
                    <w:rPr>
                      <w:rFonts w:ascii="Cambria Math" w:hAnsi="Cambria Math" w:eastAsia="宋体" w:cs="Times New Roman"/>
                      <w:b/>
                      <w:bCs/>
                      <w:i/>
                      <w:kern w:val="2"/>
                      <w:sz w:val="20"/>
                      <w:szCs w:val="18"/>
                      <w:lang w:val="en-US" w:eastAsia="zh-CN"/>
                    </w:rPr>
                  </m:ctrlPr>
                </m:sub>
              </m:sSub>
            </m:oMath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1,2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-0.0901, -0.3611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3,4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m:oMath>
              <m:r>
                <m:rPr/>
                <w:rPr>
                  <w:rFonts w:ascii="Cambria Math" w:hAnsi="Cambria Math" w:eastAsia="宋体" w:cs="Times New Roman"/>
                  <w:kern w:val="2"/>
                  <w:sz w:val="20"/>
                  <w:szCs w:val="18"/>
                  <w:lang w:val="en-NZ" w:eastAsia="zh-C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0.2729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5,6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m:oMath>
              <m:r>
                <m:rPr/>
                <w:rPr>
                  <w:rFonts w:ascii="Cambria Math" w:hAnsi="Cambria Math" w:eastAsia="宋体" w:cs="Times New Roman"/>
                  <w:kern w:val="2"/>
                  <w:sz w:val="20"/>
                  <w:szCs w:val="18"/>
                  <w:lang w:val="en-NZ" w:eastAsia="zh-C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0.3614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7,8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m:oMath>
              <m:r>
                <m:rPr/>
                <w:rPr>
                  <w:rFonts w:ascii="Cambria Math" w:hAnsi="Cambria Math" w:eastAsia="宋体" w:cs="Times New Roman"/>
                  <w:kern w:val="2"/>
                  <w:sz w:val="20"/>
                  <w:szCs w:val="18"/>
                  <w:lang w:val="en-NZ" w:eastAsia="zh-C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0.4626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9,10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m:oMath>
              <m:r>
                <m:rPr/>
                <w:rPr>
                  <w:rFonts w:ascii="Cambria Math" w:hAnsi="Cambria Math" w:eastAsia="宋体" w:cs="Times New Roman"/>
                  <w:kern w:val="2"/>
                  <w:sz w:val="20"/>
                  <w:szCs w:val="18"/>
                  <w:lang w:val="en-NZ" w:eastAsia="zh-C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05808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11,12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m:oMath>
              <m:r>
                <m:rPr/>
                <w:rPr>
                  <w:rFonts w:ascii="Cambria Math" w:hAnsi="Cambria Math" w:eastAsia="宋体" w:cs="Times New Roman"/>
                  <w:kern w:val="2"/>
                  <w:sz w:val="20"/>
                  <w:szCs w:val="18"/>
                  <w:lang w:val="en-NZ" w:eastAsia="zh-C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0.7227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13,14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m:oMath>
              <m:r>
                <m:rPr/>
                <w:rPr>
                  <w:rFonts w:ascii="Cambria Math" w:hAnsi="Cambria Math" w:eastAsia="宋体" w:cs="Times New Roman"/>
                  <w:kern w:val="2"/>
                  <w:sz w:val="20"/>
                  <w:szCs w:val="18"/>
                  <w:lang w:val="en-NZ" w:eastAsia="zh-C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0.9004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15,16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m:oMath>
              <m:r>
                <m:rPr/>
                <w:rPr>
                  <w:rFonts w:ascii="Cambria Math" w:hAnsi="Cambria Math" w:eastAsia="宋体" w:cs="Times New Roman"/>
                  <w:kern w:val="2"/>
                  <w:sz w:val="20"/>
                  <w:szCs w:val="18"/>
                  <w:lang w:val="en-NZ" w:eastAsia="zh-C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1.1383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17,18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m:oMath>
              <m:r>
                <m:rPr/>
                <w:rPr>
                  <w:rFonts w:ascii="Cambria Math" w:hAnsi="Cambria Math" w:eastAsia="宋体" w:cs="Times New Roman"/>
                  <w:kern w:val="2"/>
                  <w:sz w:val="20"/>
                  <w:szCs w:val="18"/>
                  <w:lang w:val="en-NZ" w:eastAsia="zh-C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1.4995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19,20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m:oMath>
              <m:r>
                <m:rPr/>
                <w:rPr>
                  <w:rFonts w:ascii="Cambria Math" w:hAnsi="Cambria Math" w:eastAsia="宋体" w:cs="Times New Roman"/>
                  <w:kern w:val="2"/>
                  <w:sz w:val="20"/>
                  <w:szCs w:val="18"/>
                  <w:lang w:val="en-NZ" w:eastAsia="zh-C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2.2763</w:t>
            </w:r>
          </w:p>
        </w:tc>
      </w:tr>
    </w:tbl>
    <w:p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</w:p>
    <w:p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eastAsia="zh-CN"/>
        </w:rPr>
        <w:t>IC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P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uses delay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spread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and normalized cluster delay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(obtained by</w:t>
      </w:r>
      <w:r>
        <w:rPr>
          <w:rFonts w:ascii="Times New Roman" w:hAnsi="Times New Roman" w:cs="Times New Roman"/>
          <w:sz w:val="20"/>
          <w:szCs w:val="20"/>
          <w:u w:val="single"/>
          <w:lang w:eastAsia="zh-CN"/>
        </w:rPr>
        <w:t xml:space="preserve"> Step 5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)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to change the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ray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power in the channel coefficients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7.5-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22</w:t>
      </w:r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The </w:t>
      </w:r>
      <w:r>
        <w:rPr>
          <w:rFonts w:ascii="Times New Roman" w:hAnsi="Times New Roman" w:cs="Times New Roman"/>
          <w:sz w:val="20"/>
          <w:szCs w:val="20"/>
          <w:lang w:eastAsia="zh-CN"/>
        </w:rPr>
        <w:t>performance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of ICP is </w:t>
      </w:r>
      <w:r>
        <w:rPr>
          <w:rFonts w:ascii="Times New Roman" w:hAnsi="Times New Roman" w:cs="Times New Roman"/>
          <w:sz w:val="20"/>
          <w:szCs w:val="20"/>
          <w:lang w:eastAsia="zh-CN"/>
        </w:rPr>
        <w:t>verified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in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UMa scenario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s </w:t>
      </w:r>
      <w:r>
        <w:rPr>
          <w:rFonts w:ascii="Times New Roman" w:hAnsi="Times New Roman" w:cs="Times New Roman"/>
          <w:sz w:val="20"/>
          <w:szCs w:val="20"/>
          <w:lang w:eastAsia="zh-CN"/>
        </w:rPr>
        <w:t>us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ing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eastAsia="zh-CN"/>
        </w:rPr>
        <w:t>Gini index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. We simulate the channel sparsity based on the 3GPP </w:t>
      </w:r>
      <w:r>
        <w:rPr>
          <w:rFonts w:ascii="Times New Roman" w:hAnsi="Times New Roman" w:cs="Times New Roman"/>
          <w:sz w:val="20"/>
          <w:szCs w:val="20"/>
          <w:lang w:eastAsia="zh-CN"/>
        </w:rPr>
        <w:t>model framework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and compare the results from measurement, 3GPP model, and ICP model, as illustrated in Fig. 3.</w:t>
      </w:r>
    </w:p>
    <w:p>
      <w:pPr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drawing>
          <wp:inline distT="0" distB="0" distL="0" distR="0">
            <wp:extent cx="2705735" cy="2028825"/>
            <wp:effectExtent l="0" t="0" r="0" b="0"/>
            <wp:docPr id="74710154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101540" name="图片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2379" cy="204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  <w:lang w:eastAsia="zh-CN"/>
        </w:rPr>
        <w:drawing>
          <wp:inline distT="0" distB="0" distL="0" distR="0">
            <wp:extent cx="2713355" cy="2034540"/>
            <wp:effectExtent l="0" t="0" r="0" b="3810"/>
            <wp:docPr id="160744180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441801" name="图片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3882" cy="204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60" w:line="240" w:lineRule="auto"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hint="eastAsia" w:ascii="Times New Roman" w:hAnsi="Times New Roman" w:cs="Times New Roman"/>
          <w:sz w:val="20"/>
          <w:szCs w:val="20"/>
          <w:lang w:eastAsia="zh-CN"/>
        </w:rPr>
        <w:t>(a)                                                                  (b)</w:t>
      </w:r>
    </w:p>
    <w:p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hint="eastAsia" w:ascii="Times New Roman" w:hAnsi="Times New Roman" w:cs="Times New Roman"/>
          <w:kern w:val="2"/>
          <w:sz w:val="20"/>
          <w:szCs w:val="20"/>
          <w:lang w:eastAsia="zh-CN"/>
        </w:rPr>
        <w:t>Figure</w:t>
      </w:r>
      <w:r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0"/>
          <w:szCs w:val="20"/>
          <w:lang w:eastAsia="zh-CN"/>
        </w:rPr>
        <w:t>3</w:t>
      </w:r>
      <w:r>
        <w:rPr>
          <w:rFonts w:ascii="Times New Roman" w:hAnsi="Times New Roman" w:cs="Times New Roman"/>
          <w:kern w:val="2"/>
          <w:sz w:val="20"/>
          <w:szCs w:val="20"/>
          <w:lang w:eastAsia="zh-CN"/>
        </w:rPr>
        <w:t>. The CDF of Gini index generated by measured channels, by the 3GPP</w:t>
      </w:r>
      <w:r>
        <w:rPr>
          <w:rFonts w:hint="eastAsia" w:ascii="Times New Roman" w:hAnsi="Times New Roman" w:cs="Times New Roman"/>
          <w:kern w:val="2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kern w:val="2"/>
          <w:sz w:val="20"/>
          <w:szCs w:val="20"/>
          <w:lang w:eastAsia="zh-CN"/>
        </w:rPr>
        <w:t>channel model, and by the 3GPP model with proposed intra-cluster power</w:t>
      </w:r>
      <w:r>
        <w:rPr>
          <w:rFonts w:hint="eastAsia" w:ascii="Times New Roman" w:hAnsi="Times New Roman" w:cs="Times New Roman"/>
          <w:kern w:val="2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kern w:val="2"/>
          <w:sz w:val="20"/>
          <w:szCs w:val="20"/>
          <w:lang w:eastAsia="zh-CN"/>
        </w:rPr>
        <w:t>allocation model (modified model). (a) LoS scenario. (b) NLoS scenario.</w:t>
      </w:r>
    </w:p>
    <w:p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dashed lines in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Fig.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3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show that the Gini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index obtained from the 3GPP channel model is generally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smaller than the measurement results. Additionally, the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Gini index obtained from the 3GPP channel model cannot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reflect the sparsity differences between frequencies, especially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in NLoS condition.</w:t>
      </w:r>
    </w:p>
    <w:p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dotted lines in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Fig.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3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show that the Gini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index obtained by the modified 3GPP channel model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with IC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P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are closer to the measurement results. These results indicate that the modified 3GPP channel model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accurately characterizes the sparsity of mid-band MIMO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channels in the UMa scenario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.</w:t>
      </w:r>
    </w:p>
    <w:p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 1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eastAsia="zh-CN"/>
        </w:rPr>
        <w:t>T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he introduction of ICP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with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chang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ing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the power and the angular distance of the rays still makes the PAS obey the Laplace distribution</w:t>
      </w:r>
      <w:r>
        <w:rPr>
          <w:rFonts w:ascii="Times New Roman" w:hAnsi="Times New Roman" w:cs="Times New Roman"/>
          <w:sz w:val="20"/>
          <w:szCs w:val="20"/>
          <w:lang w:eastAsia="zh-CN"/>
        </w:rPr>
        <w:t>. When ICP is introduced into the 3GPP model, the level of sparsity is closer to the measured results.</w:t>
      </w:r>
    </w:p>
    <w:p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The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ICP model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should be introduced in TR38901, which changes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the angular spacing and power of the multipaths within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a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cluster to make the 3GPP model describe channel sparsity more accurately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.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The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ICP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can be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modeled as </w:t>
      </w:r>
      <m:oMath>
        <m:r>
          <m:rPr/>
          <w:rPr>
            <w:rFonts w:ascii="Cambria Math" w:hAnsi="Cambria Math" w:cs="Times New Roman"/>
            <w:sz w:val="20"/>
            <w:szCs w:val="20"/>
            <w:lang w:eastAsia="zh-CN"/>
          </w:rPr>
          <m:t>ICP=b∙</m:t>
        </m:r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pPr>
          <m:e>
            <m:r>
              <m:rPr/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10</m:t>
            </m: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e>
          <m:sup>
            <m:r>
              <m:rPr/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−a∙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τ</m:t>
                    </m: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num>
              <m:den>
                <m:r>
                  <m:rPr/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DS</m:t>
                </m: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den>
            </m:f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up>
        </m:sSup>
      </m:oMath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,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which is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related to cluster delay and delay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spread.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The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r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ay offset angles within a cluster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are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updated with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the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ICP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.</w:t>
      </w:r>
    </w:p>
    <w:p>
      <w:pPr>
        <w:rPr>
          <w:rFonts w:ascii="Times New Roman" w:hAnsi="Times New Roman" w:cs="Times New Roman"/>
          <w:sz w:val="20"/>
          <w:szCs w:val="20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H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u,s,n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ub>
            <m:sup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NLOS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up>
          </m:sSubSup>
          <m:d>
            <m:d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dPr>
            <m:e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t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d>
          <m:r>
            <m:rPr/>
            <w:rPr>
              <w:rFonts w:ascii="Cambria Math" w:hAnsi="Cambria Math" w:cs="Times New Roman"/>
              <w:sz w:val="20"/>
              <w:szCs w:val="20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radPr>
            <m:deg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ICP∙P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num>
                <m:den>
                  <m:r>
                    <m:rPr/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zh-CN"/>
                    </w:rPr>
                    <m:t>ICP+1</m:t>
                  </m: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den>
              </m:f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e>
          </m:rad>
          <m:sSup>
            <m:sSup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rx,u,θ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θ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n,1,ZOA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ϕ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n,1,AOA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rx,u,ϕ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θ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n,1,ZOA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ϕ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n,1,AOA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d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  <m:sup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T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up>
          </m:sSup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exp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Φ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θθ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func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uncPr>
                      <m:fNam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deg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κ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−1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rad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exp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Φ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θϕ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func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uncPr>
                      <m:fNam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deg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κ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−1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rad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exp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Φ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ϕθ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func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exp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Φ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ϕϕ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func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</m:mr>
              </m:m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d>
        </m:oMath>
      </m:oMathPara>
    </w:p>
    <w:p>
      <w:pPr>
        <w:rPr>
          <w:rFonts w:ascii="Times New Roman" w:hAnsi="Times New Roman" w:cs="Times New Roman"/>
          <w:sz w:val="20"/>
          <w:szCs w:val="20"/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F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tx,s,θ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θ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n,1,ZOD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ϕ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n,1,AOD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F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tx,s,ϕ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θ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n,1,ZOD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ϕ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n,1,AOD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</m:mr>
              </m:m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d>
          <m:func>
            <m:func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exp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j2π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rx,n,1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d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rx,u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λ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d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exp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j2π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tx,n,1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d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tx,s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λ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d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exp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j2π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rx,n,1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∙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v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</m:d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t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λ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d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func>
        </m:oMath>
      </m:oMathPara>
    </w:p>
    <w:p>
      <w:pPr>
        <w:rPr>
          <w:rFonts w:ascii="Times New Roman" w:hAnsi="Times New Roman" w:cs="Times New Roman"/>
          <w:sz w:val="20"/>
          <w:szCs w:val="20"/>
          <w:lang w:eastAsia="zh-CN"/>
        </w:rPr>
      </w:pPr>
      <m:oMathPara>
        <m:oMath>
          <m:r>
            <m:rPr/>
            <w:rPr>
              <w:rFonts w:ascii="Cambria Math" w:hAnsi="Cambria Math" w:cs="Times New Roman"/>
              <w:sz w:val="20"/>
              <w:szCs w:val="20"/>
              <w:lang w:eastAsia="zh-CN"/>
            </w:rPr>
            <m:t>+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radPr>
            <m:deg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P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ICP+1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M−1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den>
              </m:f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e>
          </m:rad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naryPr>
            <m:sub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m=2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ub>
            <m:sup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M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rx,u,θ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θ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n,m,ZOA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ϕ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n,m,AOA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rx,u,ϕ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θ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n,m,ZOA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ϕ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n,m,AOA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  <m:sup>
                  <m:r>
                    <m:rPr/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T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mPr>
                    <m:m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exp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Φ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θθ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func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uncPr>
                          <m:fNam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radPr>
                              <m:deg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eg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κ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−1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ra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exp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Φ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θϕ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func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mr>
                    <m:m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uncPr>
                          <m:fNam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radPr>
                              <m:deg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eg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κ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−1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ra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exp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Φ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ϕθ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func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exp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Φ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ϕϕ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func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d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nary>
        </m:oMath>
      </m:oMathPara>
    </w:p>
    <w:p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F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tx,s,θ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θ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n,m,ZOD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ϕ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n,m,AOD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F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tx,s,ϕ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θ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n,m,ZOD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ϕ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n,m,AOD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mr>
            </m:m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e>
        </m:d>
        <m:func>
          <m:func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exp</m:t>
            </m: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rx,n,m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p>
                        </m:sSubSup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rx,u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λ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en>
                </m:f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e>
            </m:d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e>
        </m:func>
        <m:func>
          <m:func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exp</m:t>
            </m: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tx,n,m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p>
                        </m:sSubSup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tx,s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λ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en>
                </m:f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e>
            </m:d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e>
        </m:func>
        <m:func>
          <m:func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exp</m:t>
            </m: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rx,n,m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p>
                        </m:sSubSup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∙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v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t</m:t>
                    </m: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λ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en>
                </m:f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e>
            </m:d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e>
        </m:func>
      </m:oMath>
      <w:r>
        <w:rPr>
          <w:rFonts w:hint="eastAsia" w:ascii="Times New Roman" w:hAnsi="Times New Roman" w:cs="Times New Roman"/>
          <w:sz w:val="20"/>
          <w:szCs w:val="20"/>
          <w:lang w:eastAsia="zh-CN"/>
        </w:rPr>
        <w:t>(7.5-22)</w:t>
      </w:r>
    </w:p>
    <w:p>
      <w:pPr>
        <w:jc w:val="both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</w:p>
    <w:p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</w:p>
    <w:p>
      <w:pPr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.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Verification of channel characteristics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 based on simulation</w:t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order to investigate the effect of varying the angular spacing and power of the intra-cluster rays on the channel characteristics, we carry out simulation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based on the 3GPP channel modeling framework. The parameters of the simulation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are shown in Table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</w:p>
    <w:p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Table 2: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S</w:t>
      </w:r>
      <w:r>
        <w:rPr>
          <w:rFonts w:ascii="Times New Roman" w:hAnsi="Times New Roman" w:cs="Times New Roman"/>
          <w:sz w:val="20"/>
          <w:szCs w:val="20"/>
        </w:rPr>
        <w:t>imulation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parameters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3400"/>
      </w:tblGrid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  <w:lang w:val="en-NZ" w:eastAsia="zh-CN"/>
              </w:rPr>
              <w:t>Parameter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18"/>
                <w:lang w:val="en-US" w:eastAsia="zh-CN"/>
              </w:rPr>
              <w:t>Type/Value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C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 xml:space="preserve">arrier </w:t>
            </w: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F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requency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13 GHz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RF bandwidth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400 MHz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Scenarios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UMa, NLoS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Sample Number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500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Tx antenna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O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mnidirectional antenna</w:t>
            </w:r>
          </w:p>
        </w:tc>
      </w:tr>
      <w:tr>
        <w:trPr>
          <w:jc w:val="center"/>
        </w:trPr>
        <w:tc>
          <w:tcPr>
            <w:tcW w:w="255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Rx antenna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O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val="en-NZ" w:eastAsia="zh-CN"/>
              </w:rPr>
              <w:t>mnidirectional antenna</w:t>
            </w:r>
          </w:p>
        </w:tc>
      </w:tr>
    </w:tbl>
    <w:p>
      <w:pPr>
        <w:rPr>
          <w:rFonts w:ascii="Times New Roman" w:hAnsi="Times New Roman" w:cs="Times New Roman"/>
          <w:sz w:val="20"/>
          <w:szCs w:val="20"/>
          <w:lang w:eastAsia="zh-CN"/>
        </w:rPr>
      </w:pPr>
    </w:p>
    <w:p>
      <w:pPr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>
        <w:drawing>
          <wp:inline distT="0" distB="0" distL="0" distR="0">
            <wp:extent cx="4127500" cy="3109595"/>
            <wp:effectExtent l="0" t="0" r="6350" b="0"/>
            <wp:docPr id="34813400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34001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5188" cy="3115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Fig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ure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4: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The channel coefficients follow a Gaussian distribution after the introduction of ICP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.</w:t>
      </w:r>
    </w:p>
    <w:p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drawing>
          <wp:inline distT="0" distB="0" distL="0" distR="0">
            <wp:extent cx="2519680" cy="1889125"/>
            <wp:effectExtent l="0" t="0" r="0" b="0"/>
            <wp:docPr id="122258887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588878" name="图片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88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519680" cy="1889125"/>
            <wp:effectExtent l="0" t="0" r="0" b="0"/>
            <wp:docPr id="134061000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610008" name="图片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88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Fig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ure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5: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Comparison of CDFs for the K-S test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.</w:t>
      </w:r>
    </w:p>
    <w:p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simulation results demonstrate that the channel coefficients still obey a Gaussian distribution when the introduction of ICP changes the angular distance and power of the rays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with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in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a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cluster, as shown in Fig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. 4 and Fig. 5</w:t>
      </w:r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The </w:t>
      </w:r>
      <w:r>
        <w:rPr>
          <w:rFonts w:ascii="Times New Roman" w:hAnsi="Times New Roman" w:cs="Times New Roman"/>
          <w:sz w:val="20"/>
          <w:szCs w:val="20"/>
          <w:lang w:eastAsia="zh-CN"/>
        </w:rPr>
        <w:t>KS statistics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(D)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are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both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less than 0.0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3.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This also demonstrates that improving the intra-cluster power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profile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does not change the original channel model framework, but only enhances the accuracy of the channel model in characterizing sparsity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.</w:t>
      </w:r>
    </w:p>
    <w:p>
      <w:pPr>
        <w:rPr>
          <w:rFonts w:ascii="Times New Roman" w:hAnsi="Times New Roman" w:cs="Times New Roman"/>
          <w:sz w:val="20"/>
          <w:szCs w:val="20"/>
          <w:lang w:eastAsia="zh-CN"/>
        </w:rPr>
      </w:pPr>
    </w:p>
    <w:p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eastAsia="zh-CN"/>
        </w:rPr>
        <w:t>2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The modification of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the intra-cluster power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profile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does not change the original channel model framework, but only enhances the accuracy of the channel model in characterizing sparsity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. T</w:t>
      </w:r>
      <w:r>
        <w:rPr>
          <w:rFonts w:ascii="Times New Roman" w:hAnsi="Times New Roman" w:cs="Times New Roman"/>
          <w:sz w:val="20"/>
          <w:szCs w:val="20"/>
          <w:lang w:eastAsia="zh-CN"/>
        </w:rPr>
        <w:t>he channel coefficients still obey a Gaussian distribution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when the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angular distance and power of the rays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with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in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a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cluster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are changed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.</w:t>
      </w:r>
    </w:p>
    <w:p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>
      <w:pPr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.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Impact of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the 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ICP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model 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on system performance</w:t>
      </w:r>
    </w:p>
    <w:p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eastAsia="zh-CN"/>
        </w:rPr>
        <w:t>modification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of </w:t>
      </w:r>
      <w:r>
        <w:rPr>
          <w:rFonts w:ascii="Times New Roman" w:hAnsi="Times New Roman" w:cs="Times New Roman"/>
          <w:sz w:val="20"/>
          <w:szCs w:val="20"/>
          <w:lang w:eastAsia="zh-CN"/>
        </w:rPr>
        <w:t>the cluster structure ha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s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an impact on the system performance such as channel capacity, channel sparsity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(Gini index)</w:t>
      </w:r>
      <w:r>
        <w:rPr>
          <w:rFonts w:ascii="Times New Roman" w:hAnsi="Times New Roman" w:cs="Times New Roman"/>
          <w:sz w:val="20"/>
          <w:szCs w:val="20"/>
          <w:lang w:eastAsia="zh-CN"/>
        </w:rPr>
        <w:t>.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This work simulates the Gini index and channel capacity of the 3GPP model with and without ICP based on the measurement setup.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From Fig. 6 (a), i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t is found that the Gini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index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is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closer to the measurements when the cluster contains a dominant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ray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within cluster. Similarly, the results of channel capacity are shown in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Fig. 6 (b)</w:t>
      </w:r>
      <w:r>
        <w:rPr>
          <w:rFonts w:ascii="Times New Roman" w:hAnsi="Times New Roman" w:cs="Times New Roman"/>
          <w:sz w:val="20"/>
          <w:szCs w:val="20"/>
          <w:lang w:eastAsia="zh-CN"/>
        </w:rPr>
        <w:t>. The results show that the channel capacity simulated with the ICP model is closer to the measured channel capacity.</w:t>
      </w:r>
    </w:p>
    <w:p>
      <w:pPr>
        <w:snapToGrid w:val="0"/>
        <w:spacing w:before="120" w:after="120" w:line="240" w:lineRule="auto"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>
        <w:drawing>
          <wp:inline distT="0" distB="0" distL="0" distR="0">
            <wp:extent cx="2519680" cy="1736090"/>
            <wp:effectExtent l="0" t="0" r="0" b="0"/>
            <wp:docPr id="12795981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598113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10" r="796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736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858135" cy="1737995"/>
            <wp:effectExtent l="0" t="0" r="0" b="0"/>
            <wp:docPr id="98110205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102051" name="图片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9436" cy="1751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27"/>
        <w:tblW w:w="0" w:type="auto"/>
        <w:tblInd w:w="2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9"/>
        <w:gridCol w:w="4542"/>
      </w:tblGrid>
      <w:tr>
        <w:trPr>
          <w:trHeight w:val="27" w:hRule="atLeast"/>
        </w:trPr>
        <w:tc>
          <w:tcPr>
            <w:tcW w:w="4539" w:type="dxa"/>
          </w:tcPr>
          <w:p>
            <w:pPr>
              <w:widowControl w:val="0"/>
              <w:snapToGrid w:val="0"/>
              <w:spacing w:after="120"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eastAsia="zh-CN"/>
              </w:rPr>
              <w:t>(a) Gini index</w:t>
            </w:r>
          </w:p>
        </w:tc>
        <w:tc>
          <w:tcPr>
            <w:tcW w:w="4542" w:type="dxa"/>
          </w:tcPr>
          <w:p>
            <w:pPr>
              <w:widowControl w:val="0"/>
              <w:snapToGrid w:val="0"/>
              <w:spacing w:after="120"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eastAsia="zh-CN"/>
              </w:rPr>
              <w:t xml:space="preserve">  (</w:t>
            </w: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eastAsia="zh-CN"/>
              </w:rPr>
              <w:t>b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18"/>
                <w:lang w:eastAsia="zh-CN"/>
              </w:rPr>
              <w:t xml:space="preserve">) </w:t>
            </w: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18"/>
                <w:lang w:eastAsia="zh-CN"/>
              </w:rPr>
              <w:t>Capacity</w:t>
            </w:r>
          </w:p>
        </w:tc>
      </w:tr>
    </w:tbl>
    <w:p>
      <w:pPr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Fig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ure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6: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The Gini index and capacity of measurements and simulations. The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simulations are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conducted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in the LOS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condition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of UMa scenario at 13 GHz utilizing a 128-array element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TX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antenna and a 64-array element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RX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antenna.</w:t>
      </w:r>
    </w:p>
    <w:p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eastAsia="zh-CN"/>
        </w:rPr>
        <w:t>3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hint="eastAsia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The measured cluster structure does not match that of TR38901.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The c</w:t>
      </w:r>
      <w:r>
        <w:rPr>
          <w:rFonts w:ascii="Times New Roman" w:hAnsi="Times New Roman" w:cs="Times New Roman"/>
          <w:sz w:val="20"/>
          <w:szCs w:val="20"/>
        </w:rPr>
        <w:t>luster structure has an impact on system performance, such as channel capacity and sparsity. The performance of the system with the improved cluster structure better matches the measured channel.</w:t>
      </w:r>
    </w:p>
    <w:p>
      <w:pPr>
        <w:jc w:val="both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</w:p>
    <w:p>
      <w:pPr>
        <w:snapToGrid w:val="0"/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>
      <w:pPr>
        <w:pStyle w:val="2"/>
        <w:numPr>
          <w:ilvl w:val="0"/>
          <w:numId w:val="2"/>
        </w:numPr>
        <w:adjustRightInd w:val="0"/>
        <w:snapToGrid w:val="0"/>
        <w:spacing w:before="120" w:after="120" w:line="240" w:lineRule="auto"/>
        <w:ind w:left="0" w:firstLine="0"/>
        <w:jc w:val="both"/>
        <w:rPr>
          <w:rFonts w:ascii="Times New Roman" w:hAnsi="Times New Roman" w:eastAsia="宋体" w:cs="Times New Roman"/>
          <w:b/>
          <w:sz w:val="28"/>
          <w:szCs w:val="20"/>
          <w:lang w:eastAsia="zh-CN"/>
        </w:rPr>
      </w:pPr>
      <w:r>
        <w:rPr>
          <w:rFonts w:ascii="Times New Roman" w:hAnsi="Times New Roman" w:eastAsia="宋体" w:cs="Times New Roman"/>
          <w:b/>
          <w:sz w:val="28"/>
          <w:szCs w:val="20"/>
          <w:lang w:eastAsia="zh-CN"/>
        </w:rPr>
        <w:t>Conclusion</w:t>
      </w:r>
    </w:p>
    <w:p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/>
        </w:rPr>
        <w:t xml:space="preserve">In this contribution, we provide our views on the validation and the details for Rel-19 channel modeling enhancements for 7-24 GHz.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>Key consideration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 is the modification of the cluster structure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>.</w:t>
      </w:r>
      <w:r>
        <w:rPr>
          <w:rFonts w:ascii="Times New Roman" w:hAnsi="Times New Roman" w:eastAsia="Times New Roman" w:cs="Times New Roman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GB" w:eastAsia="zh-CN"/>
        </w:rPr>
        <w:t>The observation and p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roposals </w:t>
      </w:r>
      <w:r>
        <w:rPr>
          <w:rFonts w:ascii="Times New Roman" w:hAnsi="Times New Roman" w:eastAsia="Times New Roman" w:cs="Times New Roman"/>
          <w:sz w:val="20"/>
          <w:szCs w:val="20"/>
          <w:lang w:val="en-GB"/>
        </w:rPr>
        <w:t>are as follows</w:t>
      </w:r>
      <w:r>
        <w:rPr>
          <w:rFonts w:hint="eastAsia" w:ascii="Times New Roman" w:hAnsi="Times New Roman" w:cs="Times New Roman"/>
          <w:sz w:val="20"/>
          <w:szCs w:val="20"/>
          <w:lang w:val="en-GB" w:eastAsia="zh-CN"/>
        </w:rPr>
        <w:t>:</w:t>
      </w:r>
    </w:p>
    <w:p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 1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eastAsia="zh-CN"/>
        </w:rPr>
        <w:t>T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he introduction of ICP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with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chang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ing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the power and the angular distance of the rays still makes the PAS obey the Laplace distribution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When ICP is introduced into the 3GPP model, the level of sparsity is closer to the measured results.</w:t>
      </w:r>
    </w:p>
    <w:p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eastAsia="zh-CN"/>
        </w:rPr>
        <w:t>2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The modification of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the intra-cluster power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profile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does not change the original channel model framework, but only enhances the accuracy of the channel model in characterizing sparsity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. T</w:t>
      </w:r>
      <w:r>
        <w:rPr>
          <w:rFonts w:ascii="Times New Roman" w:hAnsi="Times New Roman" w:cs="Times New Roman"/>
          <w:sz w:val="20"/>
          <w:szCs w:val="20"/>
          <w:lang w:eastAsia="zh-CN"/>
        </w:rPr>
        <w:t>he channel coefficients still obey a Gaussian distribution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when the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angular distance and power of the rays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with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in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a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cluster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 are changed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.</w:t>
      </w:r>
    </w:p>
    <w:p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eastAsia="zh-CN"/>
        </w:rPr>
        <w:t>3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hint="eastAsia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The measured cluster structure does not match that of TR38901. 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The c</w:t>
      </w:r>
      <w:r>
        <w:rPr>
          <w:rFonts w:ascii="Times New Roman" w:hAnsi="Times New Roman" w:cs="Times New Roman"/>
          <w:sz w:val="20"/>
          <w:szCs w:val="20"/>
        </w:rPr>
        <w:t>luster structure has an impact on system performance, such as channel capacity and sparsity. The performance of the system with the improved cluster structure better matches the measured channel.</w:t>
      </w:r>
    </w:p>
    <w:p>
      <w:pPr>
        <w:spacing w:before="120" w:after="120" w:line="240" w:lineRule="auto"/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The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ICP model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should be introduced in TR38901, which changes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the angular spacing and power of the multipaths within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a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cluster to make the 3GPP model describe channel sparsity more accurately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.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The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ICP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can be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modeled as </w:t>
      </w:r>
      <m:oMath>
        <m:r>
          <m:rPr/>
          <w:rPr>
            <w:rFonts w:ascii="Cambria Math" w:hAnsi="Cambria Math" w:cs="Times New Roman"/>
            <w:sz w:val="20"/>
            <w:szCs w:val="20"/>
            <w:lang w:eastAsia="zh-CN"/>
          </w:rPr>
          <m:t>ICP=b∙</m:t>
        </m:r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pPr>
          <m:e>
            <m:r>
              <m:rPr/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10</m:t>
            </m: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e>
          <m:sup>
            <m:r>
              <m:rPr/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−a∙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τ</m:t>
                    </m: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num>
              <m:den>
                <m:r>
                  <m:rPr/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DS</m:t>
                </m: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den>
            </m:f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up>
        </m:sSup>
      </m:oMath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,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which is 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related to cluster delay and delay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spread.</w:t>
      </w:r>
      <w:r>
        <w:rPr>
          <w:rFonts w:ascii="Times New Roman" w:hAnsi="Times New Roman" w:eastAsia="宋体" w:cs="Times New Roman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The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r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ay offset angles within a cluster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 are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updated with 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 xml:space="preserve">the 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>ICP</w:t>
      </w:r>
      <w:r>
        <w:rPr>
          <w:rFonts w:hint="eastAsia" w:ascii="Times New Roman" w:hAnsi="Times New Roman" w:cs="Times New Roman"/>
          <w:kern w:val="2"/>
          <w:sz w:val="20"/>
          <w:szCs w:val="18"/>
          <w:lang w:eastAsia="zh-CN"/>
        </w:rPr>
        <w:t>.</w:t>
      </w:r>
    </w:p>
    <w:p>
      <w:pPr>
        <w:rPr>
          <w:rFonts w:ascii="Times New Roman" w:hAnsi="Times New Roman" w:cs="Times New Roman"/>
          <w:sz w:val="20"/>
          <w:szCs w:val="20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H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u,s,n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ub>
            <m:sup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NLOS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up>
          </m:sSubSup>
          <m:d>
            <m:d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dPr>
            <m:e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t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d>
          <m:r>
            <m:rPr/>
            <w:rPr>
              <w:rFonts w:ascii="Cambria Math" w:hAnsi="Cambria Math" w:cs="Times New Roman"/>
              <w:sz w:val="20"/>
              <w:szCs w:val="20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radPr>
            <m:deg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ICP∙P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num>
                <m:den>
                  <m:r>
                    <m:rPr/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zh-CN"/>
                    </w:rPr>
                    <m:t>ICP+1</m:t>
                  </m: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den>
              </m:f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e>
          </m:rad>
          <m:sSup>
            <m:sSup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rx,u,θ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θ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n,1,ZOA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ϕ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n,1,AOA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rx,u,ϕ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θ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n,1,ZOA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ϕ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n,1,AOA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d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  <m:sup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T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up>
          </m:sSup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exp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Φ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θθ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func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uncPr>
                      <m:fNam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deg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κ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−1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rad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exp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Φ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θϕ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func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uncPr>
                      <m:fNam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deg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κ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−1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rad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exp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Φ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ϕθ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func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exp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j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Φ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n,1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ϕϕ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func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</m:mr>
              </m:m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d>
        </m:oMath>
      </m:oMathPara>
    </w:p>
    <w:p>
      <w:pPr>
        <w:rPr>
          <w:rFonts w:ascii="Times New Roman" w:hAnsi="Times New Roman" w:cs="Times New Roman"/>
          <w:sz w:val="20"/>
          <w:szCs w:val="20"/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F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tx,s,θ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θ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n,1,ZOD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ϕ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n,1,AOD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F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tx,s,ϕ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θ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n,1,ZOD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ϕ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n,1,AOD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e>
                </m:mr>
              </m:m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d>
          <m:func>
            <m:func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exp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j2π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rx,n,1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d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rx,u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λ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d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exp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j2π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tx,n,1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d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tx,s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λ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d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exp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j2π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eastAsia="zh-CN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rx,n,1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∙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m:rPr/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v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</m:d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t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λ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d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func>
        </m:oMath>
      </m:oMathPara>
    </w:p>
    <w:p>
      <w:pPr>
        <w:rPr>
          <w:rFonts w:ascii="Times New Roman" w:hAnsi="Times New Roman" w:cs="Times New Roman"/>
          <w:sz w:val="20"/>
          <w:szCs w:val="20"/>
          <w:lang w:eastAsia="zh-CN"/>
        </w:rPr>
      </w:pPr>
      <m:oMathPara>
        <m:oMath>
          <m:r>
            <m:rPr/>
            <w:rPr>
              <w:rFonts w:ascii="Cambria Math" w:hAnsi="Cambria Math" w:cs="Times New Roman"/>
              <w:sz w:val="20"/>
              <w:szCs w:val="20"/>
              <w:lang w:eastAsia="zh-CN"/>
            </w:rPr>
            <m:t>+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radPr>
            <m:deg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P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ICP+1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lang w:eastAsia="zh-CN"/>
                        </w:rPr>
                        <m:t>M−1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  <w:lang w:eastAsia="zh-CN"/>
                    </w:rPr>
                  </m:ctrlPr>
                </m:den>
              </m:f>
              <m:ctrlPr>
                <w:rPr>
                  <w:rFonts w:ascii="Cambria Math" w:hAnsi="Cambria Math" w:cs="Times New Roman"/>
                  <w:i/>
                  <w:color w:val="FF0000"/>
                  <w:sz w:val="20"/>
                  <w:szCs w:val="20"/>
                  <w:lang w:eastAsia="zh-CN"/>
                </w:rPr>
              </m:ctrlPr>
            </m:e>
          </m:rad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naryPr>
            <m:sub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m=2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ub>
            <m:sup>
              <m:r>
                <m:rPr/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M</m:t>
              </m: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rx,u,θ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θ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n,m,ZOA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ϕ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n,m,AOA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rx,u,ϕ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θ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n,m,ZOA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ϕ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n,m,AOA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  <m:sup>
                  <m:r>
                    <m:rPr/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T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mPr>
                    <m:m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exp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Φ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θθ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func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uncPr>
                          <m:fNam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radPr>
                              <m:deg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eg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κ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−1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ra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exp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Φ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θϕ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func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mr>
                    <m:m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uncPr>
                          <m:fNam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radPr>
                              <m:deg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eg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κ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−1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ra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exp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Φ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ϕθ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func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exp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Φ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n,m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/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ϕϕ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func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d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e>
          </m:nary>
        </m:oMath>
      </m:oMathPara>
    </w:p>
    <w:p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F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tx,s,θ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θ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n,m,ZOD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ϕ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n,m,AOD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F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tx,s,ϕ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θ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n,m,ZOD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ϕ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eastAsia="zh-CN"/>
                            </w:rPr>
                            <m:t>n,m,AOD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e>
              </m:mr>
            </m:m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e>
        </m:d>
        <m:func>
          <m:func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exp</m:t>
            </m: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rx,n,m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p>
                        </m:sSubSup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rx,u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λ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en>
                </m:f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e>
            </m:d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e>
        </m:func>
        <m:func>
          <m:func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exp</m:t>
            </m: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tx,n,m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p>
                        </m:sSubSup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tx,s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λ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en>
                </m:f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e>
            </m:d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e>
        </m:func>
        <m:func>
          <m:func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exp</m:t>
            </m: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rx,n,m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sup>
                        </m:sSubSup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∙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eastAsia="zh-CN"/>
                              </w:rPr>
                              <m:t>v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 w:cs="Times New Roman"/>
                        <w:sz w:val="20"/>
                        <w:szCs w:val="20"/>
                        <w:lang w:eastAsia="zh-CN"/>
                      </w:rPr>
                      <m:t>t</m:t>
                    </m: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λ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en>
                </m:f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e>
            </m:d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e>
        </m:func>
      </m:oMath>
      <w:r>
        <w:rPr>
          <w:rFonts w:hint="eastAsia" w:ascii="Times New Roman" w:hAnsi="Times New Roman" w:cs="Times New Roman"/>
          <w:sz w:val="20"/>
          <w:szCs w:val="20"/>
          <w:lang w:eastAsia="zh-CN"/>
        </w:rPr>
        <w:t>(7.5-22)</w:t>
      </w:r>
    </w:p>
    <w:p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>
      <w:pPr>
        <w:spacing w:before="120" w:after="120" w:line="240" w:lineRule="auto"/>
        <w:jc w:val="both"/>
        <w:rPr>
          <w:rFonts w:ascii="Times New Roman" w:hAnsi="Times New Roman" w:eastAsia="宋体" w:cs="Times New Roman"/>
          <w:sz w:val="16"/>
          <w:szCs w:val="16"/>
          <w:lang w:eastAsia="zh-CN"/>
        </w:rPr>
      </w:pPr>
    </w:p>
    <w:sdt>
      <w:sdtPr>
        <w:rPr>
          <w:rFonts w:ascii="Times New Roman" w:hAnsi="Times New Roman" w:eastAsiaTheme="minorEastAsia"/>
          <w:b/>
          <w:bCs/>
          <w:sz w:val="22"/>
          <w:szCs w:val="22"/>
        </w:rPr>
        <w:id w:val="-1"/>
      </w:sdtPr>
      <w:sdtEndPr>
        <w:rPr>
          <w:rFonts w:ascii="Times New Roman" w:hAnsi="Times New Roman" w:eastAsiaTheme="minorEastAsia"/>
          <w:b w:val="0"/>
          <w:bCs w:val="0"/>
          <w:sz w:val="22"/>
          <w:szCs w:val="22"/>
        </w:rPr>
      </w:sdtEndPr>
      <w:sdtContent>
        <w:p>
          <w:pPr>
            <w:pStyle w:val="2"/>
            <w:rPr>
              <w:rFonts w:ascii="Times New Roman" w:hAnsi="Times New Roman"/>
              <w:b/>
              <w:bCs/>
            </w:rPr>
          </w:pPr>
          <w:r>
            <w:rPr>
              <w:rFonts w:ascii="Times New Roman" w:hAnsi="Times New Roman"/>
              <w:b/>
              <w:bCs/>
            </w:rPr>
            <w:t>References</w:t>
          </w:r>
        </w:p>
        <w:sdt>
          <w:sdtPr>
            <w:rPr>
              <w:rFonts w:ascii="Times New Roman" w:hAnsi="Times New Roman" w:eastAsia="Times New Roman"/>
              <w:sz w:val="32"/>
              <w:szCs w:val="32"/>
            </w:rPr>
            <w:id w:val="-1"/>
          </w:sdtPr>
          <w:sdtEndPr>
            <w:rPr>
              <w:rFonts w:ascii="Times New Roman" w:hAnsi="Times New Roman" w:eastAsiaTheme="minorEastAsia"/>
              <w:sz w:val="22"/>
              <w:szCs w:val="22"/>
            </w:rPr>
          </w:sdtEndPr>
          <w:sdtContent>
            <w:p>
              <w:pPr>
                <w:rPr>
                  <w:rFonts w:ascii="Times New Roman" w:hAnsi="Times New Roman"/>
                </w:rPr>
              </w:pPr>
            </w:p>
            <w:sdt>
              <w:sdtPr>
                <w:rPr>
                  <w:rFonts w:ascii="Times New Roman" w:hAnsi="Times New Roman" w:eastAsia="Times New Roman" w:cs="Times New Roman"/>
                  <w:sz w:val="20"/>
                  <w:szCs w:val="20"/>
                </w:rPr>
                <w:id w:val="-1"/>
              </w:sdtPr>
              <w:sdtEndPr>
                <w:rPr>
                  <w:rFonts w:ascii="Times New Roman" w:hAnsi="Times New Roman" w:cs="Times New Roman" w:eastAsiaTheme="minorEastAsia"/>
                  <w:sz w:val="20"/>
                  <w:szCs w:val="20"/>
                </w:rPr>
              </w:sdtEndPr>
              <w:sdtContent>
                <w:p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[1]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R1-2407467, Summary #4 of discussions for Rel-19 7-24 GHz Channel Modeling Validation, RAN WG1 Meeting#11</w:t>
                  </w:r>
                  <w:r>
                    <w:rPr>
                      <w:rFonts w:hint="eastAsia" w:ascii="Times New Roman" w:hAnsi="Times New Roman" w:cs="Times New Roman"/>
                      <w:sz w:val="20"/>
                      <w:szCs w:val="20"/>
                      <w:lang w:eastAsia="zh-CN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, </w:t>
                  </w:r>
                  <w:r>
                    <w:rPr>
                      <w:rFonts w:hint="eastAsia" w:ascii="Times New Roman" w:hAnsi="Times New Roman" w:cs="Times New Roman"/>
                      <w:sz w:val="20"/>
                      <w:szCs w:val="20"/>
                      <w:lang w:eastAsia="zh-CN"/>
                    </w:rPr>
                    <w:t>19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th – 2</w:t>
                  </w:r>
                  <w:r>
                    <w:rPr>
                      <w:rFonts w:hint="eastAsia" w:ascii="Times New Roman" w:hAnsi="Times New Roman" w:cs="Times New Roman"/>
                      <w:sz w:val="20"/>
                      <w:szCs w:val="20"/>
                      <w:lang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th </w:t>
                  </w:r>
                  <w:r>
                    <w:rPr>
                      <w:rFonts w:hint="eastAsia" w:ascii="Times New Roman" w:hAnsi="Times New Roman" w:cs="Times New Roman"/>
                      <w:sz w:val="20"/>
                      <w:szCs w:val="20"/>
                      <w:lang w:eastAsia="zh-CN"/>
                    </w:rPr>
                    <w:t>August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, 2024.</w:t>
                  </w:r>
                </w:p>
                <w:p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[2]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J. Zhang, H. Miao, P. Tang 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zh-CN"/>
                    </w:rPr>
                    <w:t>et al.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, “New mid-band for 6G: Several considerations from channel propagation characteristics perspective,” IEEE Communications Magazine., Jun. 2024.</w:t>
                  </w:r>
                </w:p>
              </w:sdtContent>
            </w:sdt>
          </w:sdtContent>
        </w:sdt>
      </w:sdtContent>
    </w:sdt>
    <w:p>
      <w:pPr>
        <w:rPr>
          <w:lang w:eastAsia="zh-CN"/>
        </w:rPr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Apple Symbols">
    <w:panose1 w:val="02000000000000000000"/>
    <w:charset w:val="00"/>
    <w:family w:val="auto"/>
    <w:pitch w:val="default"/>
    <w:sig w:usb0="800000A3" w:usb1="08007BEB" w:usb2="01840034" w:usb3="0000A268" w:csb0="200001FB" w:csb1="DDFF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4B2E7B"/>
    <w:multiLevelType w:val="multilevel"/>
    <w:tmpl w:val="094B2E7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35B0ADB"/>
    <w:multiLevelType w:val="multilevel"/>
    <w:tmpl w:val="235B0ADB"/>
    <w:lvl w:ilvl="0" w:tentative="0">
      <w:start w:val="1"/>
      <w:numFmt w:val="bullet"/>
      <w:pStyle w:val="2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65D78CE"/>
    <w:multiLevelType w:val="multilevel"/>
    <w:tmpl w:val="265D78C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F13"/>
    <w:rsid w:val="000148B4"/>
    <w:rsid w:val="000203A1"/>
    <w:rsid w:val="000330A4"/>
    <w:rsid w:val="00033C6B"/>
    <w:rsid w:val="000638C6"/>
    <w:rsid w:val="00066332"/>
    <w:rsid w:val="0008096A"/>
    <w:rsid w:val="0008163E"/>
    <w:rsid w:val="00092573"/>
    <w:rsid w:val="000A3FB3"/>
    <w:rsid w:val="000B0EDC"/>
    <w:rsid w:val="00105ADE"/>
    <w:rsid w:val="00135D2F"/>
    <w:rsid w:val="00160EFE"/>
    <w:rsid w:val="00161906"/>
    <w:rsid w:val="00164A92"/>
    <w:rsid w:val="00184BB4"/>
    <w:rsid w:val="001A75A1"/>
    <w:rsid w:val="001B4F17"/>
    <w:rsid w:val="001C6B2D"/>
    <w:rsid w:val="001F5399"/>
    <w:rsid w:val="001F70D2"/>
    <w:rsid w:val="00236BA3"/>
    <w:rsid w:val="00241D78"/>
    <w:rsid w:val="00242F2A"/>
    <w:rsid w:val="00244769"/>
    <w:rsid w:val="002568CC"/>
    <w:rsid w:val="00270FD8"/>
    <w:rsid w:val="00273BCA"/>
    <w:rsid w:val="00275360"/>
    <w:rsid w:val="002809B2"/>
    <w:rsid w:val="002833C0"/>
    <w:rsid w:val="002B5DAA"/>
    <w:rsid w:val="002C444F"/>
    <w:rsid w:val="003276B4"/>
    <w:rsid w:val="00342CBB"/>
    <w:rsid w:val="00353565"/>
    <w:rsid w:val="003544C8"/>
    <w:rsid w:val="00355C0B"/>
    <w:rsid w:val="003571BF"/>
    <w:rsid w:val="00383A6A"/>
    <w:rsid w:val="00391E9D"/>
    <w:rsid w:val="003D6093"/>
    <w:rsid w:val="003E7A20"/>
    <w:rsid w:val="003F18F1"/>
    <w:rsid w:val="004075D4"/>
    <w:rsid w:val="00423B6F"/>
    <w:rsid w:val="00427D99"/>
    <w:rsid w:val="004314D6"/>
    <w:rsid w:val="00431A04"/>
    <w:rsid w:val="004357A7"/>
    <w:rsid w:val="00447050"/>
    <w:rsid w:val="004720C6"/>
    <w:rsid w:val="004747B7"/>
    <w:rsid w:val="0048543A"/>
    <w:rsid w:val="004A095B"/>
    <w:rsid w:val="004C1A13"/>
    <w:rsid w:val="004E54F4"/>
    <w:rsid w:val="005242B4"/>
    <w:rsid w:val="005407CF"/>
    <w:rsid w:val="00551ED7"/>
    <w:rsid w:val="00566936"/>
    <w:rsid w:val="00575A16"/>
    <w:rsid w:val="005945E0"/>
    <w:rsid w:val="005B473D"/>
    <w:rsid w:val="005D5624"/>
    <w:rsid w:val="006350FF"/>
    <w:rsid w:val="006413D5"/>
    <w:rsid w:val="00655AC8"/>
    <w:rsid w:val="00696524"/>
    <w:rsid w:val="006B3554"/>
    <w:rsid w:val="006B70CF"/>
    <w:rsid w:val="006D6A0F"/>
    <w:rsid w:val="006D7D7C"/>
    <w:rsid w:val="006E5C44"/>
    <w:rsid w:val="007557F8"/>
    <w:rsid w:val="00763860"/>
    <w:rsid w:val="007A7B7A"/>
    <w:rsid w:val="007C08A3"/>
    <w:rsid w:val="007C6A26"/>
    <w:rsid w:val="007D5192"/>
    <w:rsid w:val="00806F26"/>
    <w:rsid w:val="00834BD8"/>
    <w:rsid w:val="008426B1"/>
    <w:rsid w:val="008503A1"/>
    <w:rsid w:val="00861E3E"/>
    <w:rsid w:val="008669DD"/>
    <w:rsid w:val="00891F50"/>
    <w:rsid w:val="008A6F5C"/>
    <w:rsid w:val="008B2085"/>
    <w:rsid w:val="008B3795"/>
    <w:rsid w:val="008C6A1D"/>
    <w:rsid w:val="008D6BC1"/>
    <w:rsid w:val="00903794"/>
    <w:rsid w:val="0091539E"/>
    <w:rsid w:val="00921970"/>
    <w:rsid w:val="00931D83"/>
    <w:rsid w:val="00935A6F"/>
    <w:rsid w:val="00936F01"/>
    <w:rsid w:val="00944CE1"/>
    <w:rsid w:val="009473AE"/>
    <w:rsid w:val="00947D89"/>
    <w:rsid w:val="009523B1"/>
    <w:rsid w:val="00966B76"/>
    <w:rsid w:val="009764E5"/>
    <w:rsid w:val="00995085"/>
    <w:rsid w:val="00997016"/>
    <w:rsid w:val="009B2040"/>
    <w:rsid w:val="009B598D"/>
    <w:rsid w:val="009D6A80"/>
    <w:rsid w:val="009E3840"/>
    <w:rsid w:val="00A002B6"/>
    <w:rsid w:val="00A349BF"/>
    <w:rsid w:val="00A549E5"/>
    <w:rsid w:val="00A638ED"/>
    <w:rsid w:val="00A673D9"/>
    <w:rsid w:val="00A72B60"/>
    <w:rsid w:val="00A7415F"/>
    <w:rsid w:val="00A84F13"/>
    <w:rsid w:val="00AC3F1D"/>
    <w:rsid w:val="00AE357B"/>
    <w:rsid w:val="00AF3AE3"/>
    <w:rsid w:val="00B11C8A"/>
    <w:rsid w:val="00B25E24"/>
    <w:rsid w:val="00B26FB6"/>
    <w:rsid w:val="00B407CC"/>
    <w:rsid w:val="00B46587"/>
    <w:rsid w:val="00B7700F"/>
    <w:rsid w:val="00B94C82"/>
    <w:rsid w:val="00B96822"/>
    <w:rsid w:val="00BA3603"/>
    <w:rsid w:val="00BB50AC"/>
    <w:rsid w:val="00BC7B95"/>
    <w:rsid w:val="00BD0461"/>
    <w:rsid w:val="00BD179B"/>
    <w:rsid w:val="00BD2D47"/>
    <w:rsid w:val="00C04EAD"/>
    <w:rsid w:val="00C20349"/>
    <w:rsid w:val="00C30856"/>
    <w:rsid w:val="00C61112"/>
    <w:rsid w:val="00C83C87"/>
    <w:rsid w:val="00C853C1"/>
    <w:rsid w:val="00C938B6"/>
    <w:rsid w:val="00CA2B85"/>
    <w:rsid w:val="00CA4431"/>
    <w:rsid w:val="00CA4A70"/>
    <w:rsid w:val="00CB5ACD"/>
    <w:rsid w:val="00CC011C"/>
    <w:rsid w:val="00CC10E3"/>
    <w:rsid w:val="00CF2C92"/>
    <w:rsid w:val="00CF5B02"/>
    <w:rsid w:val="00D158BE"/>
    <w:rsid w:val="00D3770A"/>
    <w:rsid w:val="00D42A86"/>
    <w:rsid w:val="00D55219"/>
    <w:rsid w:val="00D56656"/>
    <w:rsid w:val="00D60D17"/>
    <w:rsid w:val="00D64D49"/>
    <w:rsid w:val="00D72235"/>
    <w:rsid w:val="00D75D78"/>
    <w:rsid w:val="00D83AFF"/>
    <w:rsid w:val="00D90D9C"/>
    <w:rsid w:val="00DD6B8F"/>
    <w:rsid w:val="00DE4A6C"/>
    <w:rsid w:val="00DE558F"/>
    <w:rsid w:val="00E769CE"/>
    <w:rsid w:val="00E83193"/>
    <w:rsid w:val="00E95ED8"/>
    <w:rsid w:val="00EA25D0"/>
    <w:rsid w:val="00F03CE1"/>
    <w:rsid w:val="00F133E2"/>
    <w:rsid w:val="00F20E19"/>
    <w:rsid w:val="00F23D7C"/>
    <w:rsid w:val="00F25505"/>
    <w:rsid w:val="00F25700"/>
    <w:rsid w:val="00F53545"/>
    <w:rsid w:val="00F6166C"/>
    <w:rsid w:val="00F85EFC"/>
    <w:rsid w:val="00FB0464"/>
    <w:rsid w:val="00FD6E0F"/>
    <w:rsid w:val="00FE302F"/>
    <w:rsid w:val="3FFEF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cs="Calibri" w:eastAsiaTheme="minorEastAsia"/>
      <w:kern w:val="0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240" w:after="0"/>
      <w:outlineLvl w:val="0"/>
    </w:pPr>
    <w:rPr>
      <w:rFonts w:eastAsia="Times New Roman"/>
      <w:sz w:val="32"/>
      <w:szCs w:val="32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autoRedefine/>
    <w:unhideWhenUsed/>
    <w:qFormat/>
    <w:uiPriority w:val="0"/>
    <w:pPr>
      <w:keepNext/>
      <w:spacing w:line="11" w:lineRule="atLeast"/>
      <w:jc w:val="center"/>
    </w:pPr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6">
    <w:name w:val="annotation text"/>
    <w:basedOn w:val="1"/>
    <w:link w:val="22"/>
    <w:autoRedefine/>
    <w:semiHidden/>
    <w:unhideWhenUsed/>
    <w:qFormat/>
    <w:uiPriority w:val="99"/>
  </w:style>
  <w:style w:type="paragraph" w:styleId="7">
    <w:name w:val="Body Text"/>
    <w:basedOn w:val="1"/>
    <w:link w:val="23"/>
    <w:autoRedefine/>
    <w:qFormat/>
    <w:uiPriority w:val="0"/>
    <w:pPr>
      <w:spacing w:after="120" w:line="240" w:lineRule="auto"/>
    </w:pPr>
    <w:rPr>
      <w:rFonts w:ascii="Times New Roman" w:hAnsi="Times New Roman" w:eastAsia="MS Gothic" w:cs="Times New Roman"/>
      <w:sz w:val="24"/>
      <w:szCs w:val="20"/>
      <w:lang w:val="en-GB" w:eastAsia="ja-JP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4"/>
      <w:szCs w:val="24"/>
      <w:lang w:eastAsia="zh-CN"/>
    </w:rPr>
  </w:style>
  <w:style w:type="paragraph" w:styleId="11">
    <w:name w:val="annotation subject"/>
    <w:basedOn w:val="6"/>
    <w:next w:val="6"/>
    <w:link w:val="31"/>
    <w:semiHidden/>
    <w:unhideWhenUsed/>
    <w:uiPriority w:val="99"/>
    <w:rPr>
      <w:b/>
      <w:bCs/>
    </w:rPr>
  </w:style>
  <w:style w:type="table" w:styleId="13">
    <w:name w:val="Table Grid"/>
    <w:basedOn w:val="12"/>
    <w:autoRedefine/>
    <w:qFormat/>
    <w:uiPriority w:val="39"/>
    <w:rPr>
      <w:rFonts w:ascii="Times New Roman" w:hAnsi="Times New Roman" w:eastAsia="宋体" w:cs="Times New Roman"/>
      <w:kern w:val="0"/>
      <w:sz w:val="20"/>
      <w:szCs w:val="20"/>
      <w:lang w:val="en-NZ" w:eastAsia="en-NZ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4"/>
    <w:autoRedefine/>
    <w:semiHidden/>
    <w:unhideWhenUsed/>
    <w:qFormat/>
    <w:uiPriority w:val="99"/>
    <w:rPr>
      <w:sz w:val="21"/>
      <w:szCs w:val="21"/>
    </w:rPr>
  </w:style>
  <w:style w:type="character" w:customStyle="1" w:styleId="17">
    <w:name w:val="标题 2 字符"/>
    <w:basedOn w:val="14"/>
    <w:link w:val="3"/>
    <w:qFormat/>
    <w:uiPriority w:val="9"/>
    <w:rPr>
      <w:rFonts w:ascii="Times New Roman" w:hAnsi="Times New Roman" w:eastAsia="宋体" w:cstheme="majorBidi"/>
      <w:b/>
      <w:bCs/>
      <w:sz w:val="32"/>
      <w:szCs w:val="32"/>
    </w:rPr>
  </w:style>
  <w:style w:type="character" w:customStyle="1" w:styleId="18">
    <w:name w:val="标题 3 字符"/>
    <w:basedOn w:val="14"/>
    <w:link w:val="4"/>
    <w:qFormat/>
    <w:uiPriority w:val="9"/>
    <w:rPr>
      <w:rFonts w:ascii="Times New Roman" w:hAnsi="Times New Roman" w:eastAsia="宋体"/>
      <w:b/>
      <w:bCs/>
      <w:sz w:val="28"/>
      <w:szCs w:val="32"/>
    </w:rPr>
  </w:style>
  <w:style w:type="character" w:customStyle="1" w:styleId="19">
    <w:name w:val="页眉 字符"/>
    <w:basedOn w:val="14"/>
    <w:link w:val="9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 w:eastAsia="en-US"/>
    </w:rPr>
  </w:style>
  <w:style w:type="character" w:customStyle="1" w:styleId="20">
    <w:name w:val="页脚 字符"/>
    <w:basedOn w:val="14"/>
    <w:link w:val="8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 w:eastAsia="en-US"/>
    </w:rPr>
  </w:style>
  <w:style w:type="character" w:customStyle="1" w:styleId="21">
    <w:name w:val="标题 1 字符"/>
    <w:basedOn w:val="14"/>
    <w:link w:val="2"/>
    <w:qFormat/>
    <w:uiPriority w:val="0"/>
    <w:rPr>
      <w:rFonts w:ascii="Calibri" w:hAnsi="Calibri" w:eastAsia="Times New Roman" w:cs="Calibri"/>
      <w:kern w:val="0"/>
      <w:sz w:val="32"/>
      <w:szCs w:val="32"/>
      <w:lang w:eastAsia="en-US"/>
    </w:rPr>
  </w:style>
  <w:style w:type="character" w:customStyle="1" w:styleId="22">
    <w:name w:val="批注文字 字符"/>
    <w:basedOn w:val="14"/>
    <w:link w:val="6"/>
    <w:semiHidden/>
    <w:qFormat/>
    <w:uiPriority w:val="99"/>
    <w:rPr>
      <w:rFonts w:ascii="Calibri" w:hAnsi="Calibri" w:cs="Calibri"/>
      <w:kern w:val="0"/>
      <w:sz w:val="22"/>
      <w:lang w:eastAsia="en-US"/>
    </w:rPr>
  </w:style>
  <w:style w:type="character" w:customStyle="1" w:styleId="23">
    <w:name w:val="正文文本 字符"/>
    <w:basedOn w:val="14"/>
    <w:link w:val="7"/>
    <w:qFormat/>
    <w:uiPriority w:val="0"/>
    <w:rPr>
      <w:rFonts w:ascii="Times New Roman" w:hAnsi="Times New Roman" w:eastAsia="MS Gothic" w:cs="Times New Roman"/>
      <w:kern w:val="0"/>
      <w:sz w:val="24"/>
      <w:szCs w:val="20"/>
      <w:lang w:val="en-GB" w:eastAsia="ja-JP"/>
    </w:rPr>
  </w:style>
  <w:style w:type="paragraph" w:styleId="24">
    <w:name w:val="List Paragraph"/>
    <w:basedOn w:val="1"/>
    <w:link w:val="25"/>
    <w:autoRedefine/>
    <w:qFormat/>
    <w:uiPriority w:val="34"/>
    <w:pPr>
      <w:numPr>
        <w:ilvl w:val="0"/>
        <w:numId w:val="1"/>
      </w:numPr>
      <w:suppressAutoHyphens/>
      <w:overflowPunct w:val="0"/>
      <w:spacing w:after="0" w:line="240" w:lineRule="auto"/>
    </w:pPr>
    <w:rPr>
      <w:rFonts w:ascii="Times New Roman" w:hAnsi="Times New Roman" w:eastAsia="等线" w:cs="Times New Roman"/>
      <w:sz w:val="20"/>
      <w:szCs w:val="20"/>
      <w:lang w:val="en-NZ" w:eastAsia="zh-CN"/>
    </w:rPr>
  </w:style>
  <w:style w:type="character" w:customStyle="1" w:styleId="25">
    <w:name w:val="列表段落 字符"/>
    <w:link w:val="24"/>
    <w:autoRedefine/>
    <w:qFormat/>
    <w:locked/>
    <w:uiPriority w:val="34"/>
    <w:rPr>
      <w:rFonts w:ascii="Times New Roman" w:hAnsi="Times New Roman" w:eastAsia="等线" w:cs="Times New Roman"/>
      <w:kern w:val="0"/>
      <w:sz w:val="20"/>
      <w:szCs w:val="20"/>
      <w:lang w:val="en-NZ"/>
    </w:rPr>
  </w:style>
  <w:style w:type="paragraph" w:customStyle="1" w:styleId="2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  <w14:ligatures w14:val="standardContextual"/>
    </w:rPr>
  </w:style>
  <w:style w:type="table" w:customStyle="1" w:styleId="27">
    <w:name w:val="网格型1"/>
    <w:basedOn w:val="12"/>
    <w:autoRedefine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网格型2"/>
    <w:basedOn w:val="12"/>
    <w:autoRedefine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Placeholder Text"/>
    <w:basedOn w:val="14"/>
    <w:autoRedefine/>
    <w:unhideWhenUsed/>
    <w:qFormat/>
    <w:uiPriority w:val="99"/>
    <w:rPr>
      <w:color w:val="666666"/>
    </w:rPr>
  </w:style>
  <w:style w:type="paragraph" w:customStyle="1" w:styleId="30">
    <w:name w:val="Revision"/>
    <w:hidden/>
    <w:unhideWhenUsed/>
    <w:uiPriority w:val="99"/>
    <w:rPr>
      <w:rFonts w:ascii="Calibri" w:hAnsi="Calibri" w:cs="Calibri" w:eastAsiaTheme="minorEastAsia"/>
      <w:kern w:val="0"/>
      <w:sz w:val="22"/>
      <w:szCs w:val="22"/>
      <w:lang w:val="en-US" w:eastAsia="en-US" w:bidi="ar-SA"/>
      <w14:ligatures w14:val="standardContextual"/>
    </w:rPr>
  </w:style>
  <w:style w:type="character" w:customStyle="1" w:styleId="31">
    <w:name w:val="批注主题 字符"/>
    <w:basedOn w:val="22"/>
    <w:link w:val="11"/>
    <w:semiHidden/>
    <w:uiPriority w:val="99"/>
    <w:rPr>
      <w:rFonts w:ascii="Calibri" w:hAnsi="Calibri" w:cs="Calibri"/>
      <w:b/>
      <w:bCs/>
      <w:kern w:val="0"/>
      <w:sz w:val="22"/>
      <w:lang w:eastAsia="en-US"/>
    </w:rPr>
  </w:style>
  <w:style w:type="paragraph" w:customStyle="1" w:styleId="32">
    <w:name w:val="TAC"/>
    <w:basedOn w:val="1"/>
    <w:link w:val="33"/>
    <w:uiPriority w:val="0"/>
    <w:pPr>
      <w:keepNext/>
      <w:keepLines/>
      <w:spacing w:after="0" w:line="240" w:lineRule="auto"/>
      <w:jc w:val="center"/>
    </w:pPr>
    <w:rPr>
      <w:rFonts w:ascii="Arial" w:hAnsi="Arial" w:eastAsia="Malgun Gothic" w:cs="Times New Roman"/>
      <w:sz w:val="18"/>
      <w:szCs w:val="20"/>
      <w:lang w:val="en-GB"/>
    </w:rPr>
  </w:style>
  <w:style w:type="character" w:customStyle="1" w:styleId="33">
    <w:name w:val="TAC Char"/>
    <w:link w:val="32"/>
    <w:uiPriority w:val="0"/>
    <w:rPr>
      <w:rFonts w:ascii="Arial" w:hAnsi="Arial" w:eastAsia="Malgun Gothic" w:cs="Times New Roman"/>
      <w:kern w:val="0"/>
      <w:sz w:val="18"/>
      <w:szCs w:val="20"/>
      <w:lang w:val="en-GB" w:eastAsia="en-US"/>
    </w:rPr>
  </w:style>
  <w:style w:type="character" w:customStyle="1" w:styleId="34">
    <w:name w:val="Unresolved Mention"/>
    <w:basedOn w:val="1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1914</Words>
  <Characters>10915</Characters>
  <Lines>90</Lines>
  <Paragraphs>25</Paragraphs>
  <TotalTime>225</TotalTime>
  <ScaleCrop>false</ScaleCrop>
  <LinksUpToDate>false</LinksUpToDate>
  <CharactersWithSpaces>12804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2025-02-05T19:11:00Z</dcterms:created>
  <dc:creator>西曼 刘</dc:creator>
  <cp:lastModifiedBy>BUPT</cp:lastModifiedBy>
  <dcterms:modified xsi:type="dcterms:W3CDTF">2025-02-07T10:11:21Z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5F4E2A9DAD5618CCC96BA56799EDC96C_42</vt:lpwstr>
  </property>
</Properties>
</file>