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6F492E73" w:rsidR="003A2C99" w:rsidRPr="00A632CA" w:rsidRDefault="003A2C99" w:rsidP="003A2C99">
      <w:pPr>
        <w:tabs>
          <w:tab w:val="left" w:pos="4590"/>
          <w:tab w:val="right" w:pos="10000"/>
        </w:tabs>
        <w:jc w:val="both"/>
        <w:rPr>
          <w:rFonts w:ascii="Arial" w:hAnsi="Arial" w:cs="Arial"/>
          <w:b/>
          <w:bCs/>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C72EC4">
        <w:rPr>
          <w:rFonts w:ascii="Arial" w:hAnsi="Arial" w:cs="Arial"/>
          <w:b/>
          <w:bCs/>
          <w:lang w:val="de-DE"/>
        </w:rPr>
        <w:t>7</w:t>
      </w:r>
      <w:r w:rsidRPr="001A3D5B">
        <w:rPr>
          <w:rFonts w:ascii="Arial" w:hAnsi="Arial" w:cs="Arial"/>
          <w:b/>
          <w:lang w:val="de-DE"/>
        </w:rPr>
        <w:tab/>
      </w:r>
      <w:r w:rsidRPr="001A3D5B">
        <w:rPr>
          <w:rFonts w:ascii="Arial" w:hAnsi="Arial" w:cs="Arial"/>
          <w:b/>
          <w:lang w:val="de-DE"/>
        </w:rPr>
        <w:tab/>
      </w:r>
      <w:r w:rsidR="00C72EC4">
        <w:rPr>
          <w:rFonts w:ascii="Helvetica Neue" w:hAnsi="Helvetica Neue"/>
          <w:b/>
          <w:bCs/>
          <w:color w:val="000000"/>
        </w:rPr>
        <w:t>R1-2404287</w:t>
      </w:r>
    </w:p>
    <w:p w14:paraId="6DD98A9C" w14:textId="29B5268B" w:rsidR="00C72EC4" w:rsidRDefault="00C72EC4" w:rsidP="00C72EC4">
      <w:pPr>
        <w:pStyle w:val="CRCoverPage"/>
        <w:outlineLvl w:val="0"/>
        <w:rPr>
          <w:rFonts w:cs="Arial"/>
          <w:bCs/>
          <w:sz w:val="22"/>
          <w:szCs w:val="22"/>
        </w:rPr>
      </w:pPr>
      <w:r w:rsidRPr="00E33E31">
        <w:rPr>
          <w:rFonts w:eastAsia="SimSun" w:cs="Arial"/>
          <w:b/>
          <w:bCs/>
          <w:sz w:val="24"/>
          <w:szCs w:val="24"/>
          <w:lang w:val="en-US" w:eastAsia="zh-CN"/>
        </w:rPr>
        <w:t xml:space="preserve">Fukuoka City, Fukuoka, Japan, May </w:t>
      </w:r>
      <w:r>
        <w:rPr>
          <w:rFonts w:eastAsia="SimSun" w:cs="Arial"/>
          <w:b/>
          <w:bCs/>
          <w:sz w:val="24"/>
          <w:szCs w:val="24"/>
          <w:lang w:val="en-US" w:eastAsia="zh-CN"/>
        </w:rPr>
        <w:t>20</w:t>
      </w:r>
      <w:r w:rsidRPr="00E33E31">
        <w:rPr>
          <w:rFonts w:eastAsia="SimSun" w:cs="Arial"/>
          <w:b/>
          <w:bCs/>
          <w:sz w:val="24"/>
          <w:szCs w:val="24"/>
          <w:vertAlign w:val="superscript"/>
          <w:lang w:val="en-US" w:eastAsia="zh-CN"/>
        </w:rPr>
        <w:t>th</w:t>
      </w:r>
      <w:r w:rsidRPr="00E33E31">
        <w:rPr>
          <w:rFonts w:eastAsia="SimSun" w:cs="Arial"/>
          <w:b/>
          <w:bCs/>
          <w:sz w:val="24"/>
          <w:szCs w:val="24"/>
          <w:lang w:val="en-US" w:eastAsia="zh-CN"/>
        </w:rPr>
        <w:t xml:space="preserve"> – 2</w:t>
      </w:r>
      <w:r>
        <w:rPr>
          <w:rFonts w:eastAsia="SimSun" w:cs="Arial"/>
          <w:b/>
          <w:bCs/>
          <w:sz w:val="24"/>
          <w:szCs w:val="24"/>
          <w:lang w:val="en-US" w:eastAsia="zh-CN"/>
        </w:rPr>
        <w:t>4</w:t>
      </w:r>
      <w:r w:rsidRPr="00E33E31">
        <w:rPr>
          <w:rFonts w:eastAsia="SimSun" w:cs="Arial"/>
          <w:b/>
          <w:bCs/>
          <w:sz w:val="24"/>
          <w:szCs w:val="24"/>
          <w:vertAlign w:val="superscript"/>
          <w:lang w:val="en-US" w:eastAsia="zh-CN"/>
        </w:rPr>
        <w:t>th</w:t>
      </w:r>
      <w:r w:rsidRPr="00E33E31">
        <w:rPr>
          <w:rFonts w:eastAsia="SimSun" w:cs="Arial"/>
          <w:b/>
          <w:bCs/>
          <w:sz w:val="24"/>
          <w:szCs w:val="24"/>
          <w:lang w:val="en-US" w:eastAsia="zh-CN"/>
        </w:rPr>
        <w:t>, 2024</w:t>
      </w:r>
    </w:p>
    <w:p w14:paraId="6DC78596" w14:textId="4DA77D54"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FD3415D"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C72EC4" w:rsidRPr="00C72EC4">
        <w:rPr>
          <w:rFonts w:ascii="Arial" w:hAnsi="Arial" w:cs="Arial"/>
          <w:b/>
        </w:rPr>
        <w:t>Frame structure and timing aspects for Ambient IoT</w:t>
      </w:r>
    </w:p>
    <w:p w14:paraId="7B288F5E" w14:textId="054A31F3"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A632CA">
        <w:rPr>
          <w:rFonts w:ascii="Arial" w:hAnsi="Arial" w:cs="Arial"/>
          <w:b/>
        </w:rPr>
        <w:t>4.</w:t>
      </w:r>
      <w:r w:rsidR="00A543EC">
        <w:rPr>
          <w:rFonts w:ascii="Arial" w:hAnsi="Arial" w:cs="Arial"/>
          <w:b/>
        </w:rPr>
        <w:t>2.</w:t>
      </w:r>
      <w:r w:rsidR="00A632CA">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580A3F6" w14:textId="698E92DF" w:rsidR="00A632CA" w:rsidRPr="0082450F" w:rsidRDefault="00A632CA" w:rsidP="0082450F">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Pr="00A632CA">
        <w:rPr>
          <w:rFonts w:ascii="Arial" w:hAnsi="Arial" w:cs="Arial"/>
          <w:sz w:val="20"/>
          <w:szCs w:val="20"/>
          <w:lang w:eastAsia="en-US"/>
        </w:rPr>
        <w:t xml:space="preserve">In </w:t>
      </w:r>
      <w:r>
        <w:rPr>
          <w:rFonts w:ascii="Arial" w:hAnsi="Arial" w:cs="Arial"/>
          <w:sz w:val="20"/>
          <w:szCs w:val="20"/>
          <w:lang w:eastAsia="en-US"/>
        </w:rPr>
        <w:t xml:space="preserve">the </w:t>
      </w:r>
      <w:r w:rsidRPr="00A632CA">
        <w:rPr>
          <w:rFonts w:ascii="Arial" w:hAnsi="Arial" w:cs="Arial"/>
          <w:sz w:val="20"/>
          <w:szCs w:val="20"/>
          <w:lang w:eastAsia="en-US"/>
        </w:rPr>
        <w:t xml:space="preserve">RAN1 </w:t>
      </w:r>
      <w:r>
        <w:rPr>
          <w:rFonts w:ascii="Arial" w:hAnsi="Arial" w:cs="Arial"/>
          <w:sz w:val="20"/>
          <w:szCs w:val="20"/>
          <w:lang w:eastAsia="en-US"/>
        </w:rPr>
        <w:t>116</w:t>
      </w:r>
      <w:r w:rsidR="00C72EC4">
        <w:rPr>
          <w:rFonts w:ascii="Arial" w:hAnsi="Arial" w:cs="Arial"/>
          <w:sz w:val="20"/>
          <w:szCs w:val="20"/>
          <w:lang w:eastAsia="en-US"/>
        </w:rPr>
        <w:t>bis</w:t>
      </w:r>
      <w:r>
        <w:rPr>
          <w:rFonts w:ascii="Arial" w:hAnsi="Arial" w:cs="Arial"/>
          <w:sz w:val="20"/>
          <w:szCs w:val="20"/>
          <w:lang w:eastAsia="en-US"/>
        </w:rPr>
        <w:t xml:space="preserve"> meeting, the following was agreed for frame structure, </w:t>
      </w:r>
      <w:r>
        <w:rPr>
          <w:rFonts w:ascii="Arial" w:hAnsi="Arial" w:cs="Arial"/>
          <w:sz w:val="20"/>
          <w:szCs w:val="20"/>
        </w:rPr>
        <w:t xml:space="preserve">random access and timing relation aspects [2]: </w:t>
      </w:r>
    </w:p>
    <w:p w14:paraId="5EED7E17" w14:textId="77777777" w:rsidR="00A632CA" w:rsidRDefault="00A632CA" w:rsidP="00A632CA">
      <w:pPr>
        <w:rPr>
          <w:rFonts w:ascii="Arial" w:hAnsi="Arial" w:cs="Arial"/>
          <w:sz w:val="20"/>
          <w:szCs w:val="20"/>
        </w:rPr>
      </w:pPr>
    </w:p>
    <w:p w14:paraId="3E5666D1" w14:textId="200A2704" w:rsidR="00A632CA" w:rsidRPr="0082450F" w:rsidRDefault="00A632CA" w:rsidP="00A632CA">
      <w:pPr>
        <w:rPr>
          <w:rFonts w:ascii="Arial" w:hAnsi="Arial" w:cs="Arial"/>
          <w:sz w:val="20"/>
          <w:szCs w:val="20"/>
          <w:lang w:eastAsia="en-US"/>
        </w:rPr>
      </w:pPr>
      <w:r>
        <w:rPr>
          <w:noProof/>
        </w:rPr>
        <mc:AlternateContent>
          <mc:Choice Requires="wps">
            <w:drawing>
              <wp:inline distT="0" distB="0" distL="0" distR="0" wp14:anchorId="4FE75FB2" wp14:editId="1C59746A">
                <wp:extent cx="6400800" cy="1755648"/>
                <wp:effectExtent l="0" t="0" r="12700" b="14605"/>
                <wp:docPr id="1904659201" name="Text Box 1904659201"/>
                <wp:cNvGraphicFramePr/>
                <a:graphic xmlns:a="http://schemas.openxmlformats.org/drawingml/2006/main">
                  <a:graphicData uri="http://schemas.microsoft.com/office/word/2010/wordprocessingShape">
                    <wps:wsp>
                      <wps:cNvSpPr txBox="1"/>
                      <wps:spPr>
                        <a:xfrm>
                          <a:off x="0" y="0"/>
                          <a:ext cx="6400800" cy="1755648"/>
                        </a:xfrm>
                        <a:prstGeom prst="rect">
                          <a:avLst/>
                        </a:prstGeom>
                        <a:solidFill>
                          <a:schemeClr val="lt1"/>
                        </a:solidFill>
                        <a:ln w="6350">
                          <a:solidFill>
                            <a:prstClr val="black"/>
                          </a:solidFill>
                        </a:ln>
                      </wps:spPr>
                      <wps:txbx>
                        <w:txbxContent>
                          <w:p w14:paraId="0280C025" w14:textId="77777777" w:rsidR="00C72EC4" w:rsidRPr="00C72EC4" w:rsidRDefault="00C72EC4" w:rsidP="00C72EC4">
                            <w:pPr>
                              <w:rPr>
                                <w:iCs/>
                                <w:sz w:val="20"/>
                                <w:szCs w:val="20"/>
                                <w:lang w:eastAsia="x-none"/>
                              </w:rPr>
                            </w:pPr>
                            <w:r w:rsidRPr="00C72EC4">
                              <w:rPr>
                                <w:iCs/>
                                <w:sz w:val="20"/>
                                <w:szCs w:val="20"/>
                                <w:highlight w:val="green"/>
                                <w:lang w:eastAsia="x-none"/>
                              </w:rPr>
                              <w:t>Agreement</w:t>
                            </w:r>
                          </w:p>
                          <w:p w14:paraId="20580211" w14:textId="77777777" w:rsidR="00C72EC4" w:rsidRPr="00C72EC4" w:rsidRDefault="00C72EC4" w:rsidP="00C72EC4">
                            <w:pPr>
                              <w:rPr>
                                <w:iCs/>
                                <w:sz w:val="20"/>
                                <w:szCs w:val="20"/>
                                <w:lang w:eastAsia="x-none"/>
                              </w:rPr>
                            </w:pPr>
                            <w:r w:rsidRPr="00C72EC4">
                              <w:rPr>
                                <w:iCs/>
                                <w:sz w:val="20"/>
                                <w:szCs w:val="20"/>
                                <w:lang w:eastAsia="x-none"/>
                              </w:rPr>
                              <w:t>For R2D transmission, if OFDM-based waveform is used, the start of R2D transmission from reader perspective is assumed to be aligned with the boundary of an NR OFDM symbol (including the CP) for in-band/guard-band operation.</w:t>
                            </w:r>
                          </w:p>
                          <w:p w14:paraId="665BE67B" w14:textId="77777777" w:rsidR="0082450F" w:rsidRDefault="0082450F" w:rsidP="00C72EC4">
                            <w:pPr>
                              <w:rPr>
                                <w:bCs/>
                                <w:sz w:val="20"/>
                                <w:szCs w:val="20"/>
                              </w:rPr>
                            </w:pPr>
                          </w:p>
                          <w:p w14:paraId="0D7B6252"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517795D7" w14:textId="77777777" w:rsidR="00C72EC4" w:rsidRPr="00C72EC4" w:rsidRDefault="00C72EC4" w:rsidP="00C72EC4">
                            <w:pPr>
                              <w:adjustRightInd w:val="0"/>
                              <w:snapToGrid w:val="0"/>
                              <w:rPr>
                                <w:bCs/>
                                <w:sz w:val="20"/>
                                <w:szCs w:val="20"/>
                              </w:rPr>
                            </w:pPr>
                            <w:r w:rsidRPr="00C72EC4">
                              <w:rPr>
                                <w:bCs/>
                                <w:sz w:val="20"/>
                                <w:szCs w:val="20"/>
                              </w:rPr>
                              <w:t xml:space="preserve">To determine or derive the end of PRDCH transmission, study at least following options:  </w:t>
                            </w:r>
                          </w:p>
                          <w:p w14:paraId="73BC3FD4"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 xml:space="preserve">ption 1: R2D postamble immediately follows the PRDCH to indicate the end of the PRDCH.       </w:t>
                            </w:r>
                          </w:p>
                          <w:p w14:paraId="17E9A958"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2: Based on R2D control information.</w:t>
                            </w:r>
                          </w:p>
                          <w:p w14:paraId="7A125C13" w14:textId="77777777" w:rsidR="00C72EC4" w:rsidRPr="00C72EC4" w:rsidRDefault="00C72EC4" w:rsidP="00C72EC4">
                            <w:pPr>
                              <w:widowControl w:val="0"/>
                              <w:tabs>
                                <w:tab w:val="left" w:pos="360"/>
                              </w:tabs>
                              <w:adjustRightInd w:val="0"/>
                              <w:snapToGrid w:val="0"/>
                              <w:rPr>
                                <w:b/>
                                <w:bCs/>
                                <w:sz w:val="20"/>
                                <w:szCs w:val="20"/>
                              </w:rPr>
                            </w:pPr>
                          </w:p>
                          <w:p w14:paraId="2D632D34"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50C9F7BC" w14:textId="77777777" w:rsidR="00C72EC4" w:rsidRPr="00C72EC4" w:rsidRDefault="00C72EC4" w:rsidP="00C72EC4">
                            <w:pPr>
                              <w:adjustRightInd w:val="0"/>
                              <w:snapToGrid w:val="0"/>
                              <w:rPr>
                                <w:bCs/>
                                <w:sz w:val="20"/>
                                <w:szCs w:val="20"/>
                              </w:rPr>
                            </w:pPr>
                            <w:r w:rsidRPr="00C72EC4">
                              <w:rPr>
                                <w:bCs/>
                                <w:sz w:val="20"/>
                                <w:szCs w:val="20"/>
                              </w:rPr>
                              <w:t xml:space="preserve">For the reader to acquire the end of PDRCH transmission, study at least following options:  </w:t>
                            </w:r>
                          </w:p>
                          <w:p w14:paraId="6F31CAF3"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1: D2R postamble immediately follows the PDRCH</w:t>
                            </w:r>
                          </w:p>
                          <w:p w14:paraId="6443BC71"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2: Based on control information</w:t>
                            </w:r>
                          </w:p>
                          <w:p w14:paraId="15A1381C" w14:textId="77777777" w:rsidR="00C72EC4" w:rsidRPr="00C72EC4" w:rsidRDefault="00C72EC4" w:rsidP="00C72EC4">
                            <w:pPr>
                              <w:rPr>
                                <w:iCs/>
                                <w:sz w:val="20"/>
                                <w:szCs w:val="20"/>
                                <w:lang w:eastAsia="x-none"/>
                              </w:rPr>
                            </w:pPr>
                          </w:p>
                          <w:p w14:paraId="64F243B7"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3D1CB080" w14:textId="77777777" w:rsidR="00C72EC4" w:rsidRPr="00C72EC4" w:rsidRDefault="00C72EC4" w:rsidP="00C72EC4">
                            <w:pPr>
                              <w:adjustRightInd w:val="0"/>
                              <w:snapToGrid w:val="0"/>
                              <w:rPr>
                                <w:rFonts w:eastAsia="SimSun"/>
                                <w:bCs/>
                                <w:sz w:val="20"/>
                                <w:szCs w:val="20"/>
                              </w:rPr>
                            </w:pPr>
                            <w:r w:rsidRPr="00C72EC4">
                              <w:rPr>
                                <w:rFonts w:eastAsia="SimSun"/>
                                <w:bCs/>
                                <w:sz w:val="20"/>
                                <w:szCs w:val="20"/>
                              </w:rPr>
                              <w:t xml:space="preserve">For D2R transmission, study the necessity of midamble at least for the purpose of performing timing/frequency tracking or channel estimation or interference estimation, considering at least the following: </w:t>
                            </w:r>
                          </w:p>
                          <w:p w14:paraId="10AC035B"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 xml:space="preserve">Modulation and Coding schemes, e.g., data modulation, line/channel coding </w:t>
                            </w:r>
                          </w:p>
                          <w:p w14:paraId="32098045"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R</w:t>
                            </w:r>
                            <w:r w:rsidRPr="00C72EC4">
                              <w:rPr>
                                <w:sz w:val="20"/>
                                <w:szCs w:val="20"/>
                              </w:rPr>
                              <w:t>eceiving methods, e.g., coherent or non-coherent</w:t>
                            </w:r>
                          </w:p>
                          <w:p w14:paraId="318A921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D2R transmission length/packet size</w:t>
                            </w:r>
                          </w:p>
                          <w:p w14:paraId="2C141B1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M</w:t>
                            </w:r>
                            <w:r w:rsidRPr="00C72EC4">
                              <w:rPr>
                                <w:sz w:val="20"/>
                                <w:szCs w:val="20"/>
                              </w:rPr>
                              <w:t>idamble overhead</w:t>
                            </w:r>
                          </w:p>
                          <w:p w14:paraId="1A60B9F8"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T</w:t>
                            </w:r>
                            <w:r w:rsidRPr="00C72EC4">
                              <w:rPr>
                                <w:sz w:val="20"/>
                                <w:szCs w:val="20"/>
                              </w:rPr>
                              <w:t>iming/frequency accuracy</w:t>
                            </w:r>
                          </w:p>
                          <w:p w14:paraId="0BCB2CC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Phase accuracy</w:t>
                            </w:r>
                          </w:p>
                          <w:p w14:paraId="4981A3F2" w14:textId="77777777" w:rsidR="00C72EC4" w:rsidRDefault="00C72EC4" w:rsidP="00C72EC4">
                            <w:pPr>
                              <w:rPr>
                                <w:bCs/>
                                <w:sz w:val="20"/>
                                <w:szCs w:val="20"/>
                              </w:rPr>
                            </w:pPr>
                          </w:p>
                          <w:p w14:paraId="0BDC349E"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19DB43E7" w14:textId="77777777" w:rsidR="00C72EC4" w:rsidRPr="00C72EC4" w:rsidRDefault="00C72EC4" w:rsidP="00C72EC4">
                            <w:pPr>
                              <w:adjustRightInd w:val="0"/>
                              <w:snapToGrid w:val="0"/>
                              <w:rPr>
                                <w:bCs/>
                                <w:sz w:val="20"/>
                                <w:szCs w:val="20"/>
                              </w:rPr>
                            </w:pPr>
                            <w:r w:rsidRPr="00C72EC4">
                              <w:rPr>
                                <w:bCs/>
                                <w:sz w:val="20"/>
                                <w:szCs w:val="20"/>
                              </w:rPr>
                              <w:t>RAN1 study the R2D transmission without midamble as the baseline if Manchester encoding is used.</w:t>
                            </w:r>
                          </w:p>
                          <w:p w14:paraId="4C01BD2A" w14:textId="5D7ACF36"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 xml:space="preserve">FFS the necessity for the R2D transmission with midamble if PIE is used.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E75FB2" id="_x0000_t202" coordsize="21600,21600" o:spt="202" path="m,l,21600r21600,l21600,xe">
                <v:stroke joinstyle="miter"/>
                <v:path gradientshapeok="t" o:connecttype="rect"/>
              </v:shapetype>
              <v:shape id="Text Box 1904659201" o:spid="_x0000_s1026" type="#_x0000_t202" style="width:7in;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" fillcolor="white [3201]" strokeweight=".5pt">
                <v:textbox style="mso-fit-shape-to-text:t">
                  <w:txbxContent>
                    <w:p w14:paraId="0280C025" w14:textId="77777777" w:rsidR="00C72EC4" w:rsidRPr="00C72EC4" w:rsidRDefault="00C72EC4" w:rsidP="00C72EC4">
                      <w:pPr>
                        <w:rPr>
                          <w:iCs/>
                          <w:sz w:val="20"/>
                          <w:szCs w:val="20"/>
                          <w:lang w:eastAsia="x-none"/>
                        </w:rPr>
                      </w:pPr>
                      <w:r w:rsidRPr="00C72EC4">
                        <w:rPr>
                          <w:iCs/>
                          <w:sz w:val="20"/>
                          <w:szCs w:val="20"/>
                          <w:highlight w:val="green"/>
                          <w:lang w:eastAsia="x-none"/>
                        </w:rPr>
                        <w:t>Agreement</w:t>
                      </w:r>
                    </w:p>
                    <w:p w14:paraId="20580211" w14:textId="77777777" w:rsidR="00C72EC4" w:rsidRPr="00C72EC4" w:rsidRDefault="00C72EC4" w:rsidP="00C72EC4">
                      <w:pPr>
                        <w:rPr>
                          <w:iCs/>
                          <w:sz w:val="20"/>
                          <w:szCs w:val="20"/>
                          <w:lang w:eastAsia="x-none"/>
                        </w:rPr>
                      </w:pPr>
                      <w:r w:rsidRPr="00C72EC4">
                        <w:rPr>
                          <w:iCs/>
                          <w:sz w:val="20"/>
                          <w:szCs w:val="20"/>
                          <w:lang w:eastAsia="x-none"/>
                        </w:rPr>
                        <w:t>For R2D transmission, if OFDM-based waveform is used, the start of R2D transmission from reader perspective is assumed to be aligned with the boundary of an NR OFDM symbol (including the CP) for in-band/guard-band operation.</w:t>
                      </w:r>
                    </w:p>
                    <w:p w14:paraId="665BE67B" w14:textId="77777777" w:rsidR="0082450F" w:rsidRDefault="0082450F" w:rsidP="00C72EC4">
                      <w:pPr>
                        <w:rPr>
                          <w:bCs/>
                          <w:sz w:val="20"/>
                          <w:szCs w:val="20"/>
                        </w:rPr>
                      </w:pPr>
                    </w:p>
                    <w:p w14:paraId="0D7B6252"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517795D7" w14:textId="77777777" w:rsidR="00C72EC4" w:rsidRPr="00C72EC4" w:rsidRDefault="00C72EC4" w:rsidP="00C72EC4">
                      <w:pPr>
                        <w:adjustRightInd w:val="0"/>
                        <w:snapToGrid w:val="0"/>
                        <w:rPr>
                          <w:bCs/>
                          <w:sz w:val="20"/>
                          <w:szCs w:val="20"/>
                        </w:rPr>
                      </w:pPr>
                      <w:r w:rsidRPr="00C72EC4">
                        <w:rPr>
                          <w:bCs/>
                          <w:sz w:val="20"/>
                          <w:szCs w:val="20"/>
                        </w:rPr>
                        <w:t xml:space="preserve">To determine or derive the end of PRDCH transmission, study at least following options:  </w:t>
                      </w:r>
                    </w:p>
                    <w:p w14:paraId="73BC3FD4"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 xml:space="preserve">ption 1: R2D postamble immediately follows the PRDCH to indicate the end of the PRDCH.       </w:t>
                      </w:r>
                    </w:p>
                    <w:p w14:paraId="17E9A958"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2: Based on R2D control information.</w:t>
                      </w:r>
                    </w:p>
                    <w:p w14:paraId="7A125C13" w14:textId="77777777" w:rsidR="00C72EC4" w:rsidRPr="00C72EC4" w:rsidRDefault="00C72EC4" w:rsidP="00C72EC4">
                      <w:pPr>
                        <w:widowControl w:val="0"/>
                        <w:tabs>
                          <w:tab w:val="left" w:pos="360"/>
                        </w:tabs>
                        <w:adjustRightInd w:val="0"/>
                        <w:snapToGrid w:val="0"/>
                        <w:rPr>
                          <w:b/>
                          <w:bCs/>
                          <w:sz w:val="20"/>
                          <w:szCs w:val="20"/>
                        </w:rPr>
                      </w:pPr>
                    </w:p>
                    <w:p w14:paraId="2D632D34"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50C9F7BC" w14:textId="77777777" w:rsidR="00C72EC4" w:rsidRPr="00C72EC4" w:rsidRDefault="00C72EC4" w:rsidP="00C72EC4">
                      <w:pPr>
                        <w:adjustRightInd w:val="0"/>
                        <w:snapToGrid w:val="0"/>
                        <w:rPr>
                          <w:bCs/>
                          <w:sz w:val="20"/>
                          <w:szCs w:val="20"/>
                        </w:rPr>
                      </w:pPr>
                      <w:r w:rsidRPr="00C72EC4">
                        <w:rPr>
                          <w:bCs/>
                          <w:sz w:val="20"/>
                          <w:szCs w:val="20"/>
                        </w:rPr>
                        <w:t xml:space="preserve">For the reader to acquire the end of PDRCH transmission, study at least following options:  </w:t>
                      </w:r>
                    </w:p>
                    <w:p w14:paraId="6F31CAF3"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1: D2R postamble immediately follows the PDRCH</w:t>
                      </w:r>
                    </w:p>
                    <w:p w14:paraId="6443BC71"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O</w:t>
                      </w:r>
                      <w:r w:rsidRPr="00C72EC4">
                        <w:rPr>
                          <w:sz w:val="20"/>
                          <w:szCs w:val="20"/>
                        </w:rPr>
                        <w:t>ption 2: Based on control information</w:t>
                      </w:r>
                    </w:p>
                    <w:p w14:paraId="15A1381C" w14:textId="77777777" w:rsidR="00C72EC4" w:rsidRPr="00C72EC4" w:rsidRDefault="00C72EC4" w:rsidP="00C72EC4">
                      <w:pPr>
                        <w:rPr>
                          <w:iCs/>
                          <w:sz w:val="20"/>
                          <w:szCs w:val="20"/>
                          <w:lang w:eastAsia="x-none"/>
                        </w:rPr>
                      </w:pPr>
                    </w:p>
                    <w:p w14:paraId="64F243B7"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3D1CB080" w14:textId="77777777" w:rsidR="00C72EC4" w:rsidRPr="00C72EC4" w:rsidRDefault="00C72EC4" w:rsidP="00C72EC4">
                      <w:pPr>
                        <w:adjustRightInd w:val="0"/>
                        <w:snapToGrid w:val="0"/>
                        <w:rPr>
                          <w:rFonts w:eastAsia="SimSun"/>
                          <w:bCs/>
                          <w:sz w:val="20"/>
                          <w:szCs w:val="20"/>
                        </w:rPr>
                      </w:pPr>
                      <w:r w:rsidRPr="00C72EC4">
                        <w:rPr>
                          <w:rFonts w:eastAsia="SimSun"/>
                          <w:bCs/>
                          <w:sz w:val="20"/>
                          <w:szCs w:val="20"/>
                        </w:rPr>
                        <w:t xml:space="preserve">For D2R transmission, study the necessity of midamble at least for the purpose of performing timing/frequency tracking or channel estimation or interference estimation, considering at least the following: </w:t>
                      </w:r>
                    </w:p>
                    <w:p w14:paraId="10AC035B"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 xml:space="preserve">Modulation and Coding schemes, e.g., data modulation, line/channel coding </w:t>
                      </w:r>
                    </w:p>
                    <w:p w14:paraId="32098045"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R</w:t>
                      </w:r>
                      <w:r w:rsidRPr="00C72EC4">
                        <w:rPr>
                          <w:sz w:val="20"/>
                          <w:szCs w:val="20"/>
                        </w:rPr>
                        <w:t>eceiving methods, e.g., coherent or non-coherent</w:t>
                      </w:r>
                    </w:p>
                    <w:p w14:paraId="318A921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D2R transmission length/packet size</w:t>
                      </w:r>
                    </w:p>
                    <w:p w14:paraId="2C141B1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M</w:t>
                      </w:r>
                      <w:r w:rsidRPr="00C72EC4">
                        <w:rPr>
                          <w:sz w:val="20"/>
                          <w:szCs w:val="20"/>
                        </w:rPr>
                        <w:t>idamble overhead</w:t>
                      </w:r>
                    </w:p>
                    <w:p w14:paraId="1A60B9F8"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rFonts w:hint="eastAsia"/>
                          <w:sz w:val="20"/>
                          <w:szCs w:val="20"/>
                        </w:rPr>
                        <w:t>T</w:t>
                      </w:r>
                      <w:r w:rsidRPr="00C72EC4">
                        <w:rPr>
                          <w:sz w:val="20"/>
                          <w:szCs w:val="20"/>
                        </w:rPr>
                        <w:t>iming/frequency accuracy</w:t>
                      </w:r>
                    </w:p>
                    <w:p w14:paraId="0BCB2CCC" w14:textId="77777777"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Phase accuracy</w:t>
                      </w:r>
                    </w:p>
                    <w:p w14:paraId="4981A3F2" w14:textId="77777777" w:rsidR="00C72EC4" w:rsidRDefault="00C72EC4" w:rsidP="00C72EC4">
                      <w:pPr>
                        <w:rPr>
                          <w:bCs/>
                          <w:sz w:val="20"/>
                          <w:szCs w:val="20"/>
                        </w:rPr>
                      </w:pPr>
                    </w:p>
                    <w:p w14:paraId="0BDC349E" w14:textId="77777777" w:rsidR="00C72EC4" w:rsidRPr="00C72EC4" w:rsidRDefault="00C72EC4" w:rsidP="00C72EC4">
                      <w:pPr>
                        <w:adjustRightInd w:val="0"/>
                        <w:snapToGrid w:val="0"/>
                        <w:rPr>
                          <w:bCs/>
                          <w:sz w:val="20"/>
                          <w:szCs w:val="20"/>
                        </w:rPr>
                      </w:pPr>
                      <w:r w:rsidRPr="00C72EC4">
                        <w:rPr>
                          <w:bCs/>
                          <w:sz w:val="20"/>
                          <w:szCs w:val="20"/>
                          <w:highlight w:val="green"/>
                        </w:rPr>
                        <w:t>Agreement</w:t>
                      </w:r>
                    </w:p>
                    <w:p w14:paraId="19DB43E7" w14:textId="77777777" w:rsidR="00C72EC4" w:rsidRPr="00C72EC4" w:rsidRDefault="00C72EC4" w:rsidP="00C72EC4">
                      <w:pPr>
                        <w:adjustRightInd w:val="0"/>
                        <w:snapToGrid w:val="0"/>
                        <w:rPr>
                          <w:bCs/>
                          <w:sz w:val="20"/>
                          <w:szCs w:val="20"/>
                        </w:rPr>
                      </w:pPr>
                      <w:r w:rsidRPr="00C72EC4">
                        <w:rPr>
                          <w:bCs/>
                          <w:sz w:val="20"/>
                          <w:szCs w:val="20"/>
                        </w:rPr>
                        <w:t>RAN1 study the R2D transmission without midamble as the baseline if Manchester encoding is used.</w:t>
                      </w:r>
                    </w:p>
                    <w:p w14:paraId="4C01BD2A" w14:textId="5D7ACF36" w:rsidR="00C72EC4" w:rsidRPr="00C72EC4" w:rsidRDefault="00C72EC4" w:rsidP="00C72EC4">
                      <w:pPr>
                        <w:widowControl w:val="0"/>
                        <w:numPr>
                          <w:ilvl w:val="0"/>
                          <w:numId w:val="83"/>
                        </w:numPr>
                        <w:autoSpaceDE w:val="0"/>
                        <w:autoSpaceDN w:val="0"/>
                        <w:adjustRightInd w:val="0"/>
                        <w:jc w:val="both"/>
                        <w:rPr>
                          <w:sz w:val="20"/>
                          <w:szCs w:val="20"/>
                        </w:rPr>
                      </w:pPr>
                      <w:r w:rsidRPr="00C72EC4">
                        <w:rPr>
                          <w:sz w:val="20"/>
                          <w:szCs w:val="20"/>
                        </w:rPr>
                        <w:t xml:space="preserve">FFS the necessity for the R2D transmission with midamble if PIE is used. </w:t>
                      </w:r>
                    </w:p>
                  </w:txbxContent>
                </v:textbox>
                <w10:anchorlock/>
              </v:shape>
            </w:pict>
          </mc:Fallback>
        </mc:AlternateContent>
      </w:r>
    </w:p>
    <w:p w14:paraId="1A5B8A5D" w14:textId="77777777" w:rsidR="00A632CA" w:rsidRDefault="00A632CA" w:rsidP="00A632CA">
      <w:pPr>
        <w:rPr>
          <w:lang w:eastAsia="en-US"/>
        </w:rPr>
      </w:pPr>
    </w:p>
    <w:p w14:paraId="0B3A4046" w14:textId="5D9B4414" w:rsidR="00A632CA" w:rsidRPr="007F437D" w:rsidRDefault="007F437D" w:rsidP="007F437D">
      <w:pPr>
        <w:jc w:val="both"/>
        <w:rPr>
          <w:rFonts w:ascii="Arial" w:hAnsi="Arial" w:cs="Arial"/>
          <w:sz w:val="20"/>
          <w:szCs w:val="20"/>
        </w:rPr>
      </w:pPr>
      <w:r>
        <w:rPr>
          <w:rFonts w:ascii="Arial" w:hAnsi="Arial" w:cs="Arial"/>
          <w:sz w:val="20"/>
          <w:szCs w:val="20"/>
        </w:rPr>
        <w:t xml:space="preserve">In this contribution, we discuss the open issues of frame structure, the necessity of synchronization operation, random access procedure and the timing relation for Ambient IOT devices based on the latest progress.  </w:t>
      </w: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40FDF267" w14:textId="77777777" w:rsidR="00A632CA" w:rsidRDefault="00A632CA" w:rsidP="00A632CA">
      <w:pPr>
        <w:spacing w:before="120" w:after="120"/>
        <w:rPr>
          <w:rFonts w:ascii="Arial" w:hAnsi="Arial" w:cs="Arial"/>
          <w:sz w:val="20"/>
          <w:szCs w:val="20"/>
          <w:lang w:eastAsia="en-US"/>
        </w:rPr>
      </w:pPr>
      <w:r w:rsidRPr="00D639BF">
        <w:rPr>
          <w:rFonts w:ascii="Arial" w:hAnsi="Arial" w:cs="Arial"/>
          <w:sz w:val="20"/>
          <w:szCs w:val="20"/>
          <w:lang w:eastAsia="en-US"/>
        </w:rPr>
        <w:t xml:space="preserve">Two types </w:t>
      </w:r>
      <w:r>
        <w:rPr>
          <w:rFonts w:ascii="Arial" w:hAnsi="Arial" w:cs="Arial"/>
          <w:sz w:val="20"/>
          <w:szCs w:val="20"/>
          <w:lang w:eastAsia="en-US"/>
        </w:rPr>
        <w:t xml:space="preserve">of devices are targetted by the Ambient IOT sutdy item as follows [1]: </w:t>
      </w:r>
    </w:p>
    <w:p w14:paraId="694941A4" w14:textId="77777777" w:rsidR="00A632CA" w:rsidRDefault="00A632CA" w:rsidP="00A632CA">
      <w:pPr>
        <w:pStyle w:val="ListParagraph"/>
        <w:numPr>
          <w:ilvl w:val="0"/>
          <w:numId w:val="77"/>
        </w:numPr>
        <w:rPr>
          <w:rFonts w:ascii="Arial" w:hAnsi="Arial" w:cs="Arial"/>
          <w:sz w:val="20"/>
          <w:szCs w:val="20"/>
          <w:lang w:eastAsia="en-US"/>
        </w:rPr>
      </w:pPr>
      <w:r w:rsidRPr="00C8673D">
        <w:rPr>
          <w:rFonts w:ascii="Arial" w:hAnsi="Arial" w:cs="Arial"/>
          <w:sz w:val="20"/>
          <w:szCs w:val="20"/>
          <w:lang w:eastAsia="en-US"/>
        </w:rPr>
        <w:t xml:space="preserve">Low-category device: </w:t>
      </w:r>
    </w:p>
    <w:p w14:paraId="3A6823D2" w14:textId="77777777" w:rsidR="00A632CA" w:rsidRPr="00C8673D" w:rsidRDefault="00A632CA" w:rsidP="00A632CA">
      <w:pPr>
        <w:pStyle w:val="ListParagraph"/>
        <w:numPr>
          <w:ilvl w:val="1"/>
          <w:numId w:val="77"/>
        </w:numPr>
        <w:rPr>
          <w:rFonts w:ascii="Arial" w:hAnsi="Arial" w:cs="Arial"/>
          <w:sz w:val="20"/>
          <w:szCs w:val="20"/>
          <w:lang w:eastAsia="en-US"/>
        </w:rPr>
      </w:pPr>
      <w:r w:rsidRPr="00C8673D">
        <w:rPr>
          <w:rFonts w:ascii="Arial" w:hAnsi="Arial" w:cs="Arial"/>
          <w:sz w:val="20"/>
          <w:szCs w:val="20"/>
          <w:lang w:eastAsia="en-US"/>
        </w:rPr>
        <w:t>~1 µW peak power consumption, has energy storage, initial sampling frequency offset (SFO) up to 10</w:t>
      </w:r>
      <w:r>
        <w:rPr>
          <w:rFonts w:ascii="Arial" w:hAnsi="Arial" w:cs="Arial"/>
          <w:sz w:val="20"/>
          <w:szCs w:val="20"/>
          <w:vertAlign w:val="superscript"/>
          <w:lang w:eastAsia="en-US"/>
        </w:rPr>
        <w:t>X</w:t>
      </w:r>
      <w:r w:rsidRPr="00C8673D">
        <w:rPr>
          <w:rFonts w:ascii="Arial" w:hAnsi="Arial" w:cs="Arial"/>
          <w:sz w:val="20"/>
          <w:szCs w:val="20"/>
          <w:lang w:eastAsia="en-US"/>
        </w:rPr>
        <w:t xml:space="preserve"> ppm, neither DL nor UL amplification in the device. The device’s UL transmission is backscattered on a carrier wave provided externally.</w:t>
      </w:r>
    </w:p>
    <w:p w14:paraId="4832F0B4" w14:textId="77777777" w:rsidR="00A632CA" w:rsidRDefault="00A632CA" w:rsidP="00A632CA">
      <w:pPr>
        <w:pStyle w:val="ListParagraph"/>
        <w:numPr>
          <w:ilvl w:val="0"/>
          <w:numId w:val="77"/>
        </w:numPr>
        <w:rPr>
          <w:rFonts w:ascii="Arial" w:hAnsi="Arial" w:cs="Arial"/>
          <w:sz w:val="20"/>
          <w:szCs w:val="20"/>
          <w:lang w:eastAsia="en-US"/>
        </w:rPr>
      </w:pPr>
      <w:r>
        <w:rPr>
          <w:rFonts w:ascii="Arial" w:hAnsi="Arial" w:cs="Arial"/>
          <w:sz w:val="20"/>
          <w:szCs w:val="20"/>
          <w:lang w:eastAsia="en-US"/>
        </w:rPr>
        <w:lastRenderedPageBreak/>
        <w:t>High-category device</w:t>
      </w:r>
    </w:p>
    <w:p w14:paraId="6548F2D2" w14:textId="77777777" w:rsidR="00A632CA" w:rsidRPr="00F430A3" w:rsidRDefault="00A632CA" w:rsidP="00A632CA">
      <w:pPr>
        <w:pStyle w:val="ListParagraph"/>
        <w:numPr>
          <w:ilvl w:val="1"/>
          <w:numId w:val="77"/>
        </w:numPr>
        <w:rPr>
          <w:rFonts w:ascii="Arial" w:hAnsi="Arial" w:cs="Arial"/>
          <w:sz w:val="20"/>
          <w:szCs w:val="20"/>
          <w:lang w:eastAsia="en-US"/>
        </w:rPr>
      </w:pPr>
      <w:r w:rsidRPr="00F430A3">
        <w:rPr>
          <w:rFonts w:ascii="Arial" w:hAnsi="Arial" w:cs="Arial"/>
          <w:sz w:val="20"/>
          <w:szCs w:val="20"/>
          <w:lang w:eastAsia="en-US"/>
        </w:rPr>
        <w:t>≤ a few hundred µW peak power consumption, has energy storage, initial sampling frequency offset (SFO) up to 10X ppm, both DL and/or UL amplification in the device. The device’s UL transmission may be generated internally by the device, or be backscattered on a carrier wave provided externally.</w:t>
      </w:r>
    </w:p>
    <w:p w14:paraId="3A983C6E" w14:textId="77777777" w:rsidR="00A632CA" w:rsidRDefault="00A632CA" w:rsidP="00A632CA">
      <w:pPr>
        <w:rPr>
          <w:rFonts w:ascii="Arial" w:hAnsi="Arial" w:cs="Arial"/>
          <w:sz w:val="20"/>
          <w:szCs w:val="20"/>
          <w:lang w:eastAsia="en-US"/>
        </w:rPr>
      </w:pPr>
    </w:p>
    <w:p w14:paraId="7678C758" w14:textId="77777777" w:rsidR="00A632CA" w:rsidRDefault="00A632CA" w:rsidP="00A632CA">
      <w:pPr>
        <w:rPr>
          <w:rFonts w:ascii="Arial" w:hAnsi="Arial" w:cs="Arial"/>
          <w:sz w:val="20"/>
          <w:szCs w:val="20"/>
          <w:lang w:eastAsia="en-US"/>
        </w:rPr>
      </w:pPr>
      <w:r>
        <w:rPr>
          <w:rFonts w:ascii="Arial" w:hAnsi="Arial" w:cs="Arial"/>
          <w:sz w:val="20"/>
          <w:szCs w:val="20"/>
          <w:lang w:eastAsia="en-US"/>
        </w:rPr>
        <w:t xml:space="preserve">Table 1 summarizes the key characteristics of these low-cateory and high-cateory devices. </w:t>
      </w:r>
    </w:p>
    <w:p w14:paraId="12847122" w14:textId="77777777" w:rsidR="00A632CA" w:rsidRDefault="00A632CA" w:rsidP="00A632CA">
      <w:pPr>
        <w:rPr>
          <w:rFonts w:ascii="Arial" w:hAnsi="Arial" w:cs="Arial"/>
          <w:sz w:val="20"/>
          <w:szCs w:val="20"/>
          <w:lang w:eastAsia="en-US"/>
        </w:rPr>
      </w:pPr>
    </w:p>
    <w:p w14:paraId="7DF4EA0F" w14:textId="77777777" w:rsidR="00A632CA" w:rsidRPr="0057638D" w:rsidRDefault="00A632CA" w:rsidP="00A632CA">
      <w:pPr>
        <w:spacing w:after="60"/>
        <w:jc w:val="center"/>
        <w:rPr>
          <w:rFonts w:ascii="Arial" w:hAnsi="Arial" w:cs="Arial"/>
          <w:b/>
          <w:bCs/>
          <w:sz w:val="20"/>
          <w:szCs w:val="20"/>
          <w:lang w:eastAsia="en-US"/>
        </w:rPr>
      </w:pPr>
      <w:r w:rsidRPr="0057638D">
        <w:rPr>
          <w:rFonts w:ascii="Arial" w:hAnsi="Arial" w:cs="Arial"/>
          <w:b/>
          <w:bCs/>
          <w:sz w:val="20"/>
          <w:szCs w:val="20"/>
          <w:lang w:eastAsia="en-US"/>
        </w:rPr>
        <w:t>Table 1:</w:t>
      </w:r>
      <w:r>
        <w:rPr>
          <w:rFonts w:ascii="Arial" w:hAnsi="Arial" w:cs="Arial"/>
          <w:b/>
          <w:bCs/>
          <w:sz w:val="20"/>
          <w:szCs w:val="20"/>
          <w:lang w:eastAsia="en-US"/>
        </w:rPr>
        <w:t xml:space="preserve"> Key charateristics of two types of Ambient devices</w:t>
      </w:r>
    </w:p>
    <w:tbl>
      <w:tblPr>
        <w:tblStyle w:val="TableGrid"/>
        <w:tblW w:w="0" w:type="auto"/>
        <w:tblLook w:val="04A0" w:firstRow="1" w:lastRow="0" w:firstColumn="1" w:lastColumn="0" w:noHBand="0" w:noVBand="1"/>
      </w:tblPr>
      <w:tblGrid>
        <w:gridCol w:w="1600"/>
        <w:gridCol w:w="1435"/>
        <w:gridCol w:w="1514"/>
        <w:gridCol w:w="1333"/>
        <w:gridCol w:w="1876"/>
        <w:gridCol w:w="2204"/>
      </w:tblGrid>
      <w:tr w:rsidR="00A632CA" w14:paraId="0C04BF1D" w14:textId="77777777" w:rsidTr="000206EE">
        <w:tc>
          <w:tcPr>
            <w:tcW w:w="1600" w:type="dxa"/>
            <w:shd w:val="clear" w:color="auto" w:fill="D0CECE" w:themeFill="background2" w:themeFillShade="E6"/>
          </w:tcPr>
          <w:p w14:paraId="37C430F1" w14:textId="77777777" w:rsidR="00A632CA" w:rsidRDefault="00A632CA" w:rsidP="000206EE">
            <w:pPr>
              <w:rPr>
                <w:rFonts w:ascii="Arial" w:hAnsi="Arial" w:cs="Arial"/>
                <w:sz w:val="20"/>
                <w:szCs w:val="20"/>
                <w:lang w:eastAsia="en-US"/>
              </w:rPr>
            </w:pPr>
          </w:p>
        </w:tc>
        <w:tc>
          <w:tcPr>
            <w:tcW w:w="1435" w:type="dxa"/>
            <w:shd w:val="clear" w:color="auto" w:fill="D0CECE" w:themeFill="background2" w:themeFillShade="E6"/>
          </w:tcPr>
          <w:p w14:paraId="7C96722D"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Peak power consumtion </w:t>
            </w:r>
          </w:p>
        </w:tc>
        <w:tc>
          <w:tcPr>
            <w:tcW w:w="1514" w:type="dxa"/>
            <w:shd w:val="clear" w:color="auto" w:fill="D0CECE" w:themeFill="background2" w:themeFillShade="E6"/>
          </w:tcPr>
          <w:p w14:paraId="32A72661" w14:textId="77777777" w:rsidR="00A632CA" w:rsidRDefault="00A632CA" w:rsidP="000206EE">
            <w:pPr>
              <w:rPr>
                <w:rFonts w:ascii="Arial" w:hAnsi="Arial" w:cs="Arial"/>
                <w:sz w:val="20"/>
                <w:szCs w:val="20"/>
                <w:lang w:eastAsia="en-US"/>
              </w:rPr>
            </w:pPr>
            <w:r>
              <w:rPr>
                <w:rFonts w:ascii="Arial" w:hAnsi="Arial" w:cs="Arial"/>
                <w:sz w:val="20"/>
                <w:szCs w:val="20"/>
                <w:lang w:eastAsia="en-US"/>
              </w:rPr>
              <w:t>Enery storage</w:t>
            </w:r>
          </w:p>
        </w:tc>
        <w:tc>
          <w:tcPr>
            <w:tcW w:w="1333" w:type="dxa"/>
            <w:shd w:val="clear" w:color="auto" w:fill="D0CECE" w:themeFill="background2" w:themeFillShade="E6"/>
          </w:tcPr>
          <w:p w14:paraId="51781EA5"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Initial SFO </w:t>
            </w:r>
          </w:p>
        </w:tc>
        <w:tc>
          <w:tcPr>
            <w:tcW w:w="1876" w:type="dxa"/>
            <w:shd w:val="clear" w:color="auto" w:fill="D0CECE" w:themeFill="background2" w:themeFillShade="E6"/>
          </w:tcPr>
          <w:p w14:paraId="083C7DC1" w14:textId="77777777" w:rsidR="00A632CA" w:rsidRDefault="00A632CA" w:rsidP="000206EE">
            <w:pPr>
              <w:rPr>
                <w:rFonts w:ascii="Arial" w:hAnsi="Arial" w:cs="Arial"/>
                <w:sz w:val="20"/>
                <w:szCs w:val="20"/>
                <w:lang w:eastAsia="en-US"/>
              </w:rPr>
            </w:pPr>
            <w:r>
              <w:rPr>
                <w:rFonts w:ascii="Arial" w:hAnsi="Arial" w:cs="Arial"/>
                <w:sz w:val="20"/>
                <w:szCs w:val="20"/>
                <w:lang w:eastAsia="en-US"/>
              </w:rPr>
              <w:t>Amplification for DL/UL</w:t>
            </w:r>
          </w:p>
        </w:tc>
        <w:tc>
          <w:tcPr>
            <w:tcW w:w="2204" w:type="dxa"/>
            <w:shd w:val="clear" w:color="auto" w:fill="D0CECE" w:themeFill="background2" w:themeFillShade="E6"/>
          </w:tcPr>
          <w:p w14:paraId="13B1187A" w14:textId="77777777" w:rsidR="00A632CA" w:rsidRDefault="00A632CA" w:rsidP="000206EE">
            <w:pPr>
              <w:rPr>
                <w:rFonts w:ascii="Arial" w:hAnsi="Arial" w:cs="Arial"/>
                <w:sz w:val="20"/>
                <w:szCs w:val="20"/>
                <w:lang w:eastAsia="en-US"/>
              </w:rPr>
            </w:pPr>
            <w:r>
              <w:rPr>
                <w:rFonts w:ascii="Arial" w:hAnsi="Arial" w:cs="Arial"/>
                <w:sz w:val="20"/>
                <w:szCs w:val="20"/>
                <w:lang w:eastAsia="en-US"/>
              </w:rPr>
              <w:t>UL Transmission scheme</w:t>
            </w:r>
          </w:p>
        </w:tc>
      </w:tr>
      <w:tr w:rsidR="00A632CA" w14:paraId="13A09AA0" w14:textId="77777777" w:rsidTr="000206EE">
        <w:tc>
          <w:tcPr>
            <w:tcW w:w="1600" w:type="dxa"/>
            <w:shd w:val="clear" w:color="auto" w:fill="D0CECE" w:themeFill="background2" w:themeFillShade="E6"/>
          </w:tcPr>
          <w:p w14:paraId="2D247741"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Low-Category Device </w:t>
            </w:r>
          </w:p>
        </w:tc>
        <w:tc>
          <w:tcPr>
            <w:tcW w:w="1435" w:type="dxa"/>
          </w:tcPr>
          <w:p w14:paraId="6AFFC989" w14:textId="77777777" w:rsidR="00A632CA" w:rsidRDefault="00A632CA" w:rsidP="000206EE">
            <w:pPr>
              <w:rPr>
                <w:rFonts w:ascii="Arial" w:hAnsi="Arial" w:cs="Arial"/>
                <w:sz w:val="20"/>
                <w:szCs w:val="20"/>
                <w:lang w:eastAsia="en-US"/>
              </w:rPr>
            </w:pPr>
            <w:r w:rsidRPr="00C8673D">
              <w:rPr>
                <w:rFonts w:ascii="Arial" w:hAnsi="Arial" w:cs="Arial"/>
                <w:sz w:val="20"/>
                <w:szCs w:val="20"/>
                <w:lang w:eastAsia="en-US"/>
              </w:rPr>
              <w:t>~1 µW</w:t>
            </w:r>
          </w:p>
        </w:tc>
        <w:tc>
          <w:tcPr>
            <w:tcW w:w="1514" w:type="dxa"/>
          </w:tcPr>
          <w:p w14:paraId="71E36D33" w14:textId="77777777" w:rsidR="00A632CA" w:rsidRDefault="00A632CA" w:rsidP="000206EE">
            <w:pPr>
              <w:rPr>
                <w:rFonts w:ascii="Arial" w:hAnsi="Arial" w:cs="Arial"/>
                <w:sz w:val="20"/>
                <w:szCs w:val="20"/>
                <w:lang w:eastAsia="en-US"/>
              </w:rPr>
            </w:pPr>
            <w:r>
              <w:rPr>
                <w:rFonts w:ascii="Arial" w:hAnsi="Arial" w:cs="Arial"/>
                <w:sz w:val="20"/>
                <w:szCs w:val="20"/>
                <w:lang w:eastAsia="en-US"/>
              </w:rPr>
              <w:t>Yes</w:t>
            </w:r>
          </w:p>
        </w:tc>
        <w:tc>
          <w:tcPr>
            <w:tcW w:w="1333" w:type="dxa"/>
          </w:tcPr>
          <w:p w14:paraId="3CE1350A" w14:textId="77777777" w:rsidR="00A632CA" w:rsidRDefault="00000000" w:rsidP="000206EE">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26BC8FAF" w14:textId="77777777" w:rsidR="00A632CA" w:rsidRDefault="00A632CA" w:rsidP="000206EE">
            <w:pPr>
              <w:rPr>
                <w:rFonts w:ascii="Arial" w:hAnsi="Arial" w:cs="Arial"/>
                <w:sz w:val="20"/>
                <w:szCs w:val="20"/>
                <w:lang w:eastAsia="en-US"/>
              </w:rPr>
            </w:pPr>
            <w:r>
              <w:rPr>
                <w:rFonts w:ascii="Arial" w:hAnsi="Arial" w:cs="Arial"/>
                <w:sz w:val="20"/>
                <w:szCs w:val="20"/>
                <w:lang w:eastAsia="en-US"/>
              </w:rPr>
              <w:t>No</w:t>
            </w:r>
          </w:p>
        </w:tc>
        <w:tc>
          <w:tcPr>
            <w:tcW w:w="2204" w:type="dxa"/>
          </w:tcPr>
          <w:p w14:paraId="2AE0F841" w14:textId="77777777" w:rsidR="00A632CA" w:rsidRPr="0057638D" w:rsidRDefault="00A632CA" w:rsidP="00A632CA">
            <w:pPr>
              <w:pStyle w:val="ListParagraph"/>
              <w:numPr>
                <w:ilvl w:val="0"/>
                <w:numId w:val="79"/>
              </w:numPr>
              <w:ind w:left="223" w:hanging="180"/>
              <w:rPr>
                <w:rFonts w:ascii="Arial" w:hAnsi="Arial" w:cs="Arial"/>
                <w:sz w:val="20"/>
                <w:szCs w:val="20"/>
                <w:lang w:eastAsia="en-US"/>
              </w:rPr>
            </w:pPr>
            <w:r w:rsidRPr="0057638D">
              <w:rPr>
                <w:rFonts w:ascii="Arial" w:hAnsi="Arial" w:cs="Arial"/>
                <w:sz w:val="20"/>
                <w:szCs w:val="20"/>
                <w:lang w:eastAsia="en-US"/>
              </w:rPr>
              <w:t>Backscattered on a carrier wave</w:t>
            </w:r>
          </w:p>
        </w:tc>
      </w:tr>
      <w:tr w:rsidR="00A632CA" w14:paraId="70957094" w14:textId="77777777" w:rsidTr="000206EE">
        <w:tc>
          <w:tcPr>
            <w:tcW w:w="1600" w:type="dxa"/>
            <w:shd w:val="clear" w:color="auto" w:fill="D0CECE" w:themeFill="background2" w:themeFillShade="E6"/>
          </w:tcPr>
          <w:p w14:paraId="1358AAC5" w14:textId="77777777" w:rsidR="00A632CA" w:rsidRDefault="00A632CA" w:rsidP="000206EE">
            <w:pPr>
              <w:rPr>
                <w:rFonts w:ascii="Arial" w:hAnsi="Arial" w:cs="Arial"/>
                <w:sz w:val="20"/>
                <w:szCs w:val="20"/>
                <w:lang w:eastAsia="en-US"/>
              </w:rPr>
            </w:pPr>
            <w:r>
              <w:rPr>
                <w:rFonts w:ascii="Arial" w:hAnsi="Arial" w:cs="Arial"/>
                <w:sz w:val="20"/>
                <w:szCs w:val="20"/>
                <w:lang w:eastAsia="en-US"/>
              </w:rPr>
              <w:t xml:space="preserve">High-Category Device </w:t>
            </w:r>
          </w:p>
        </w:tc>
        <w:tc>
          <w:tcPr>
            <w:tcW w:w="1435" w:type="dxa"/>
          </w:tcPr>
          <w:p w14:paraId="4B9BF559" w14:textId="77777777" w:rsidR="00A632CA" w:rsidRDefault="00A632CA" w:rsidP="000206EE">
            <w:pPr>
              <w:rPr>
                <w:rFonts w:ascii="Arial" w:hAnsi="Arial" w:cs="Arial"/>
                <w:sz w:val="20"/>
                <w:szCs w:val="20"/>
                <w:lang w:eastAsia="en-US"/>
              </w:rPr>
            </w:pPr>
            <w:r w:rsidRPr="00F430A3">
              <w:rPr>
                <w:rFonts w:ascii="Arial" w:hAnsi="Arial" w:cs="Arial"/>
                <w:sz w:val="20"/>
                <w:szCs w:val="20"/>
                <w:lang w:eastAsia="en-US"/>
              </w:rPr>
              <w:t>≤ a few hundred µW</w:t>
            </w:r>
          </w:p>
        </w:tc>
        <w:tc>
          <w:tcPr>
            <w:tcW w:w="1514" w:type="dxa"/>
          </w:tcPr>
          <w:p w14:paraId="3920307F" w14:textId="77777777" w:rsidR="00A632CA" w:rsidRDefault="00A632CA" w:rsidP="000206EE">
            <w:pPr>
              <w:rPr>
                <w:rFonts w:ascii="Arial" w:hAnsi="Arial" w:cs="Arial"/>
                <w:sz w:val="20"/>
                <w:szCs w:val="20"/>
                <w:lang w:eastAsia="en-US"/>
              </w:rPr>
            </w:pPr>
            <w:r>
              <w:rPr>
                <w:rFonts w:ascii="Arial" w:hAnsi="Arial" w:cs="Arial"/>
                <w:sz w:val="20"/>
                <w:szCs w:val="20"/>
                <w:lang w:eastAsia="en-US"/>
              </w:rPr>
              <w:t>Yes</w:t>
            </w:r>
          </w:p>
        </w:tc>
        <w:tc>
          <w:tcPr>
            <w:tcW w:w="1333" w:type="dxa"/>
          </w:tcPr>
          <w:p w14:paraId="22F157D2" w14:textId="77777777" w:rsidR="00A632CA" w:rsidRDefault="00000000" w:rsidP="000206EE">
            <w:pPr>
              <w:rPr>
                <w:rFonts w:ascii="Arial" w:hAnsi="Arial" w:cs="Arial"/>
                <w:sz w:val="20"/>
                <w:szCs w:val="20"/>
                <w:lang w:eastAsia="en-US"/>
              </w:rPr>
            </w:pPr>
            <m:oMathPara>
              <m:oMath>
                <m:sSup>
                  <m:sSupPr>
                    <m:ctrlPr>
                      <w:rPr>
                        <w:rFonts w:ascii="Cambria Math" w:hAnsi="Cambria Math" w:cs="Arial"/>
                        <w:i/>
                        <w:sz w:val="20"/>
                        <w:szCs w:val="20"/>
                        <w:lang w:eastAsia="en-US"/>
                      </w:rPr>
                    </m:ctrlPr>
                  </m:sSupPr>
                  <m:e>
                    <m:r>
                      <w:rPr>
                        <w:rFonts w:ascii="Cambria Math" w:hAnsi="Cambria Math" w:cs="Arial"/>
                        <w:sz w:val="20"/>
                        <w:szCs w:val="20"/>
                        <w:lang w:eastAsia="en-US"/>
                      </w:rPr>
                      <m:t>10</m:t>
                    </m:r>
                  </m:e>
                  <m:sup>
                    <m:r>
                      <w:rPr>
                        <w:rFonts w:ascii="Cambria Math" w:hAnsi="Cambria Math" w:cs="Arial"/>
                        <w:sz w:val="20"/>
                        <w:szCs w:val="20"/>
                        <w:lang w:eastAsia="en-US"/>
                      </w:rPr>
                      <m:t>x</m:t>
                    </m:r>
                  </m:sup>
                </m:sSup>
              </m:oMath>
            </m:oMathPara>
          </w:p>
        </w:tc>
        <w:tc>
          <w:tcPr>
            <w:tcW w:w="1876" w:type="dxa"/>
          </w:tcPr>
          <w:p w14:paraId="1FC2EB68" w14:textId="77777777" w:rsidR="00A632CA" w:rsidRDefault="00A632CA" w:rsidP="000206EE">
            <w:pPr>
              <w:rPr>
                <w:rFonts w:ascii="Arial" w:hAnsi="Arial" w:cs="Arial"/>
                <w:sz w:val="20"/>
                <w:szCs w:val="20"/>
                <w:lang w:eastAsia="en-US"/>
              </w:rPr>
            </w:pPr>
            <w:r>
              <w:rPr>
                <w:rFonts w:ascii="Arial" w:hAnsi="Arial" w:cs="Arial"/>
                <w:sz w:val="20"/>
                <w:szCs w:val="20"/>
                <w:lang w:eastAsia="en-US"/>
              </w:rPr>
              <w:t>Yes, for either or both directions</w:t>
            </w:r>
          </w:p>
        </w:tc>
        <w:tc>
          <w:tcPr>
            <w:tcW w:w="2204" w:type="dxa"/>
          </w:tcPr>
          <w:p w14:paraId="13CDBFA3" w14:textId="77777777" w:rsidR="00A632CA" w:rsidRDefault="00A632CA" w:rsidP="00A632CA">
            <w:pPr>
              <w:pStyle w:val="ListParagraph"/>
              <w:numPr>
                <w:ilvl w:val="0"/>
                <w:numId w:val="78"/>
              </w:numPr>
              <w:ind w:left="223" w:hanging="223"/>
              <w:rPr>
                <w:rFonts w:ascii="Arial" w:hAnsi="Arial" w:cs="Arial"/>
                <w:sz w:val="20"/>
                <w:szCs w:val="20"/>
                <w:lang w:eastAsia="en-US"/>
              </w:rPr>
            </w:pPr>
            <w:r w:rsidRPr="0057638D">
              <w:rPr>
                <w:rFonts w:ascii="Arial" w:hAnsi="Arial" w:cs="Arial"/>
                <w:sz w:val="20"/>
                <w:szCs w:val="20"/>
                <w:lang w:eastAsia="en-US"/>
              </w:rPr>
              <w:t>Backscattered on a carrier wave</w:t>
            </w:r>
            <w:r>
              <w:rPr>
                <w:rFonts w:ascii="Arial" w:hAnsi="Arial" w:cs="Arial"/>
                <w:sz w:val="20"/>
                <w:szCs w:val="20"/>
                <w:lang w:eastAsia="en-US"/>
              </w:rPr>
              <w:t>, or</w:t>
            </w:r>
          </w:p>
          <w:p w14:paraId="573D954C" w14:textId="77777777" w:rsidR="00A632CA" w:rsidRPr="0057638D" w:rsidRDefault="00A632CA" w:rsidP="00A632CA">
            <w:pPr>
              <w:pStyle w:val="ListParagraph"/>
              <w:numPr>
                <w:ilvl w:val="0"/>
                <w:numId w:val="78"/>
              </w:numPr>
              <w:ind w:left="223" w:hanging="223"/>
              <w:rPr>
                <w:rFonts w:ascii="Arial" w:hAnsi="Arial" w:cs="Arial"/>
                <w:sz w:val="20"/>
                <w:szCs w:val="20"/>
                <w:lang w:eastAsia="en-US"/>
              </w:rPr>
            </w:pPr>
            <w:r>
              <w:rPr>
                <w:rFonts w:ascii="Arial" w:hAnsi="Arial" w:cs="Arial"/>
                <w:sz w:val="20"/>
                <w:szCs w:val="20"/>
                <w:lang w:eastAsia="en-US"/>
              </w:rPr>
              <w:t>G</w:t>
            </w:r>
            <w:r w:rsidRPr="0057638D">
              <w:rPr>
                <w:rFonts w:ascii="Arial" w:hAnsi="Arial" w:cs="Arial"/>
                <w:sz w:val="20"/>
                <w:szCs w:val="20"/>
                <w:lang w:eastAsia="en-US"/>
              </w:rPr>
              <w:t>enerated by UE internally</w:t>
            </w:r>
          </w:p>
        </w:tc>
      </w:tr>
    </w:tbl>
    <w:p w14:paraId="300CD427" w14:textId="77777777" w:rsidR="00A632CA" w:rsidRDefault="00A632CA" w:rsidP="00A632CA">
      <w:pPr>
        <w:rPr>
          <w:rFonts w:ascii="Arial" w:hAnsi="Arial" w:cs="Arial"/>
          <w:sz w:val="20"/>
          <w:szCs w:val="20"/>
          <w:lang w:eastAsia="en-US"/>
        </w:rPr>
      </w:pPr>
    </w:p>
    <w:p w14:paraId="7733B5B4" w14:textId="77777777" w:rsidR="00A632CA" w:rsidRDefault="00A632CA" w:rsidP="00A632CA">
      <w:pPr>
        <w:jc w:val="both"/>
        <w:rPr>
          <w:rFonts w:ascii="Arial" w:hAnsi="Arial" w:cs="Arial"/>
          <w:sz w:val="20"/>
          <w:szCs w:val="20"/>
          <w:lang w:eastAsia="en-US"/>
        </w:rPr>
      </w:pPr>
      <w:r>
        <w:rPr>
          <w:rFonts w:ascii="Arial" w:hAnsi="Arial" w:cs="Arial"/>
          <w:sz w:val="20"/>
          <w:szCs w:val="20"/>
          <w:lang w:eastAsia="en-US"/>
        </w:rPr>
        <w:t xml:space="preserve">In addition, as explicitly written in the approved SID [1], </w:t>
      </w:r>
      <w:r w:rsidRPr="00F55AB4">
        <w:rPr>
          <w:rFonts w:ascii="Arial" w:hAnsi="Arial" w:cs="Arial"/>
          <w:sz w:val="20"/>
          <w:szCs w:val="20"/>
          <w:lang w:eastAsia="en-US"/>
        </w:rPr>
        <w:t xml:space="preserve">a harmonized air interface design with minimized differences </w:t>
      </w:r>
      <w:r>
        <w:rPr>
          <w:rFonts w:ascii="Arial" w:hAnsi="Arial" w:cs="Arial"/>
          <w:sz w:val="20"/>
          <w:szCs w:val="20"/>
          <w:lang w:eastAsia="en-US"/>
        </w:rPr>
        <w:t>shall be generally seeked</w:t>
      </w:r>
      <w:r w:rsidRPr="00F55AB4">
        <w:rPr>
          <w:rFonts w:ascii="Arial" w:hAnsi="Arial" w:cs="Arial"/>
          <w:sz w:val="20"/>
          <w:szCs w:val="20"/>
          <w:lang w:eastAsia="en-US"/>
        </w:rPr>
        <w:t xml:space="preserve"> for Ambient IoT to enable the </w:t>
      </w:r>
      <w:r>
        <w:rPr>
          <w:rFonts w:ascii="Arial" w:hAnsi="Arial" w:cs="Arial"/>
          <w:sz w:val="20"/>
          <w:szCs w:val="20"/>
          <w:lang w:eastAsia="en-US"/>
        </w:rPr>
        <w:t xml:space="preserve">targetted Ambient </w:t>
      </w:r>
      <w:r w:rsidRPr="00F55AB4">
        <w:rPr>
          <w:rFonts w:ascii="Arial" w:hAnsi="Arial" w:cs="Arial"/>
          <w:sz w:val="20"/>
          <w:szCs w:val="20"/>
          <w:lang w:eastAsia="en-US"/>
        </w:rPr>
        <w:t>devices</w:t>
      </w:r>
      <w:r>
        <w:rPr>
          <w:rFonts w:ascii="Arial" w:hAnsi="Arial" w:cs="Arial"/>
          <w:sz w:val="20"/>
          <w:szCs w:val="20"/>
          <w:lang w:eastAsia="en-US"/>
        </w:rPr>
        <w:t xml:space="preserve">. Considering the limitation of Low-CAT device as listed in Table 1, it is a feasible approach to develop designs targetting for the low-CAT device and then enhance it for high-CAT device only if a clear and sufficient benefit is justified [2].  </w:t>
      </w:r>
    </w:p>
    <w:p w14:paraId="2880C358" w14:textId="6BE3F0AC" w:rsidR="00E05568" w:rsidRPr="007F437D" w:rsidRDefault="00E05568" w:rsidP="00C67E04">
      <w:pPr>
        <w:rPr>
          <w:rFonts w:ascii="Arial" w:hAnsi="Arial" w:cs="Arial"/>
          <w:sz w:val="20"/>
          <w:szCs w:val="20"/>
          <w:lang w:eastAsia="en-US"/>
        </w:rPr>
      </w:pPr>
    </w:p>
    <w:p w14:paraId="24666BB1" w14:textId="4D4C0171" w:rsidR="007F437D" w:rsidRPr="00EC5D94" w:rsidRDefault="007F437D" w:rsidP="00EC5D94">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1 Frame structure and Synchronization procedure </w:t>
      </w:r>
    </w:p>
    <w:p w14:paraId="6878B4B0" w14:textId="2FC35833" w:rsidR="00C72EC4" w:rsidRDefault="00490D06" w:rsidP="00490D06">
      <w:pPr>
        <w:jc w:val="both"/>
        <w:rPr>
          <w:rFonts w:ascii="Arial" w:hAnsi="Arial" w:cs="Arial"/>
          <w:sz w:val="20"/>
          <w:szCs w:val="20"/>
        </w:rPr>
      </w:pPr>
      <w:r>
        <w:rPr>
          <w:rFonts w:ascii="Arial" w:hAnsi="Arial" w:cs="Arial"/>
          <w:sz w:val="20"/>
          <w:szCs w:val="20"/>
        </w:rPr>
        <w:t xml:space="preserve">For DL transmission, it </w:t>
      </w:r>
      <w:r w:rsidR="00C72EC4">
        <w:rPr>
          <w:rFonts w:ascii="Arial" w:hAnsi="Arial" w:cs="Arial"/>
          <w:sz w:val="20"/>
          <w:szCs w:val="20"/>
        </w:rPr>
        <w:t>was agreed</w:t>
      </w:r>
      <w:r>
        <w:rPr>
          <w:rFonts w:ascii="Arial" w:hAnsi="Arial" w:cs="Arial"/>
          <w:sz w:val="20"/>
          <w:szCs w:val="20"/>
        </w:rPr>
        <w:t xml:space="preserve"> to align NR and Ambient IoT at least on a symbol boundary to simplify the gNB imiplementation e.g., single FFT etc.</w:t>
      </w:r>
      <w:r w:rsidR="00C72EC4">
        <w:rPr>
          <w:rFonts w:ascii="Arial" w:hAnsi="Arial" w:cs="Arial"/>
          <w:sz w:val="20"/>
          <w:szCs w:val="20"/>
        </w:rPr>
        <w:t xml:space="preserve"> However, it remains FFS on UL transmission for Ambient IOT devices. </w:t>
      </w:r>
      <w:r>
        <w:rPr>
          <w:rFonts w:ascii="Arial" w:hAnsi="Arial" w:cs="Arial"/>
          <w:sz w:val="20"/>
          <w:szCs w:val="20"/>
        </w:rPr>
        <w:t xml:space="preserve"> </w:t>
      </w:r>
    </w:p>
    <w:p w14:paraId="3AF1284F" w14:textId="77777777" w:rsidR="00C72EC4" w:rsidRDefault="00C72EC4" w:rsidP="00490D06">
      <w:pPr>
        <w:jc w:val="both"/>
        <w:rPr>
          <w:rFonts w:ascii="Arial" w:hAnsi="Arial" w:cs="Arial"/>
          <w:sz w:val="20"/>
          <w:szCs w:val="20"/>
        </w:rPr>
      </w:pPr>
    </w:p>
    <w:p w14:paraId="4ABC0D8E" w14:textId="0FF4EC40" w:rsidR="00490D06" w:rsidRDefault="00C72EC4" w:rsidP="00490D06">
      <w:pPr>
        <w:jc w:val="both"/>
        <w:rPr>
          <w:rFonts w:ascii="Arial" w:hAnsi="Arial" w:cs="Arial"/>
          <w:sz w:val="20"/>
          <w:szCs w:val="20"/>
        </w:rPr>
      </w:pPr>
      <w:r>
        <w:rPr>
          <w:rFonts w:ascii="Arial" w:hAnsi="Arial" w:cs="Arial"/>
          <w:sz w:val="20"/>
          <w:szCs w:val="20"/>
        </w:rPr>
        <w:t xml:space="preserve">Due to </w:t>
      </w:r>
      <w:r w:rsidR="00490D06">
        <w:rPr>
          <w:rFonts w:ascii="Arial" w:hAnsi="Arial" w:cs="Arial"/>
          <w:sz w:val="20"/>
          <w:szCs w:val="20"/>
        </w:rPr>
        <w:t>low-cost and low-complexity, the initial SFO</w:t>
      </w:r>
      <w:r>
        <w:rPr>
          <w:rFonts w:ascii="Arial" w:hAnsi="Arial" w:cs="Arial"/>
          <w:sz w:val="20"/>
          <w:szCs w:val="20"/>
        </w:rPr>
        <w:t xml:space="preserve"> of an </w:t>
      </w:r>
      <w:r>
        <w:rPr>
          <w:rFonts w:ascii="Arial" w:hAnsi="Arial" w:cs="Arial"/>
          <w:sz w:val="20"/>
          <w:szCs w:val="20"/>
        </w:rPr>
        <w:t>Ambient IoT device</w:t>
      </w:r>
      <w:r w:rsidR="00490D06">
        <w:rPr>
          <w:rFonts w:ascii="Arial" w:hAnsi="Arial" w:cs="Arial"/>
          <w:sz w:val="20"/>
          <w:szCs w:val="20"/>
        </w:rPr>
        <w:t xml:space="preserve"> is relaxed to be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SFO target and extreme low power consumption target (~1</w:t>
      </w:r>
      <w:r w:rsidR="00490D06" w:rsidRPr="00C8673D">
        <w:rPr>
          <w:rFonts w:ascii="Arial" w:hAnsi="Arial" w:cs="Arial"/>
          <w:sz w:val="20"/>
          <w:szCs w:val="20"/>
          <w:lang w:eastAsia="en-US"/>
        </w:rPr>
        <w:t>µW</w:t>
      </w:r>
      <w:r w:rsidR="00490D06">
        <w:rPr>
          <w:rFonts w:ascii="Arial" w:hAnsi="Arial" w:cs="Arial"/>
          <w:sz w:val="20"/>
          <w:szCs w:val="20"/>
        </w:rPr>
        <w:t xml:space="preserve">) for low-CAT device, it is quite challenging and costly in terms of power consumption to align Uplink timing between NW and Ambient IoT on a symbol or slot boundary. </w:t>
      </w:r>
    </w:p>
    <w:p w14:paraId="31A7868B" w14:textId="517D2F54" w:rsidR="00490D06" w:rsidRDefault="00490D06" w:rsidP="007F437D">
      <w:pPr>
        <w:jc w:val="both"/>
        <w:rPr>
          <w:rFonts w:ascii="Arial" w:hAnsi="Arial" w:cs="Arial"/>
          <w:sz w:val="20"/>
          <w:szCs w:val="20"/>
        </w:rPr>
      </w:pPr>
      <w:r>
        <w:rPr>
          <w:rFonts w:ascii="Arial" w:hAnsi="Arial" w:cs="Arial"/>
          <w:sz w:val="20"/>
          <w:szCs w:val="20"/>
        </w:rPr>
        <w:t xml:space="preserve">  </w:t>
      </w:r>
    </w:p>
    <w:p w14:paraId="523CF906" w14:textId="724AF503" w:rsidR="007F437D" w:rsidRDefault="007F437D" w:rsidP="00490D06">
      <w:pPr>
        <w:spacing w:after="160"/>
        <w:jc w:val="both"/>
        <w:rPr>
          <w:rFonts w:ascii="Arial" w:hAnsi="Arial" w:cs="Arial"/>
          <w:sz w:val="20"/>
          <w:szCs w:val="20"/>
        </w:rPr>
      </w:pPr>
      <w:r>
        <w:rPr>
          <w:rFonts w:ascii="Arial" w:hAnsi="Arial" w:cs="Arial"/>
          <w:sz w:val="20"/>
          <w:szCs w:val="20"/>
        </w:rPr>
        <w:t xml:space="preserve">We therefore propose:  </w:t>
      </w:r>
    </w:p>
    <w:p w14:paraId="7D40A0ED" w14:textId="2FF1D1CB" w:rsidR="0082450F" w:rsidRPr="0082450F" w:rsidRDefault="0082450F" w:rsidP="0082450F">
      <w:pPr>
        <w:ind w:left="1170" w:hanging="1170"/>
        <w:rPr>
          <w:rFonts w:ascii="Arial" w:hAnsi="Arial" w:cs="Arial"/>
          <w:b/>
          <w:bCs/>
          <w:sz w:val="20"/>
          <w:szCs w:val="20"/>
        </w:rPr>
      </w:pPr>
      <w:r>
        <w:rPr>
          <w:rFonts w:ascii="Arial" w:hAnsi="Arial" w:cs="Arial"/>
          <w:b/>
          <w:bCs/>
          <w:sz w:val="20"/>
          <w:szCs w:val="20"/>
        </w:rPr>
        <w:t xml:space="preserve">Proposal </w:t>
      </w:r>
      <w:r w:rsidR="00C72EC4">
        <w:rPr>
          <w:rFonts w:ascii="Arial" w:hAnsi="Arial" w:cs="Arial"/>
          <w:b/>
          <w:bCs/>
          <w:sz w:val="20"/>
          <w:szCs w:val="20"/>
        </w:rPr>
        <w:t>1</w:t>
      </w:r>
      <w:r>
        <w:rPr>
          <w:rFonts w:ascii="Arial" w:hAnsi="Arial" w:cs="Arial"/>
          <w:b/>
          <w:bCs/>
          <w:sz w:val="20"/>
          <w:szCs w:val="20"/>
        </w:rPr>
        <w:t xml:space="preserve">: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204ED56C" w14:textId="77777777" w:rsidR="007F437D" w:rsidRDefault="007F437D" w:rsidP="00AA2156">
      <w:pPr>
        <w:rPr>
          <w:rFonts w:ascii="Arial" w:hAnsi="Arial" w:cs="Arial"/>
          <w:sz w:val="20"/>
          <w:szCs w:val="20"/>
        </w:rPr>
      </w:pPr>
    </w:p>
    <w:p w14:paraId="6D88C09D" w14:textId="070CD2FF" w:rsidR="0082450F" w:rsidRDefault="00EC5D94" w:rsidP="0082450F">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2 Random access aspects  </w:t>
      </w:r>
    </w:p>
    <w:p w14:paraId="035C5E19" w14:textId="006B2D86" w:rsidR="0082450F" w:rsidRDefault="0082450F" w:rsidP="0082450F">
      <w:pPr>
        <w:rPr>
          <w:rFonts w:ascii="Arial" w:hAnsi="Arial" w:cs="Arial"/>
          <w:sz w:val="20"/>
          <w:szCs w:val="20"/>
          <w:lang w:val="en-GB" w:eastAsia="ja-JP"/>
        </w:rPr>
      </w:pPr>
      <w:r>
        <w:rPr>
          <w:rFonts w:ascii="Arial" w:hAnsi="Arial" w:cs="Arial"/>
          <w:sz w:val="20"/>
          <w:szCs w:val="20"/>
          <w:lang w:val="en-GB" w:eastAsia="ja-JP"/>
        </w:rPr>
        <w:t xml:space="preserve">In RAN1 116 meeting, the following was agreed for random access procedure:  </w:t>
      </w:r>
    </w:p>
    <w:p w14:paraId="5B5EB1BC" w14:textId="77777777" w:rsidR="0082450F" w:rsidRDefault="0082450F" w:rsidP="0082450F">
      <w:pPr>
        <w:rPr>
          <w:rFonts w:ascii="Arial" w:hAnsi="Arial" w:cs="Arial"/>
          <w:sz w:val="20"/>
          <w:szCs w:val="20"/>
          <w:lang w:val="en-GB" w:eastAsia="ja-JP"/>
        </w:rPr>
      </w:pPr>
    </w:p>
    <w:p w14:paraId="364013D7" w14:textId="51BA534A" w:rsidR="0082450F" w:rsidRDefault="0082450F" w:rsidP="0082450F">
      <w:pPr>
        <w:rPr>
          <w:rFonts w:ascii="Arial" w:hAnsi="Arial" w:cs="Arial"/>
          <w:sz w:val="20"/>
          <w:szCs w:val="20"/>
          <w:lang w:val="en-GB" w:eastAsia="ja-JP"/>
        </w:rPr>
      </w:pPr>
      <w:r>
        <w:rPr>
          <w:noProof/>
        </w:rPr>
        <mc:AlternateContent>
          <mc:Choice Requires="wps">
            <w:drawing>
              <wp:inline distT="0" distB="0" distL="0" distR="0" wp14:anchorId="741A26B4" wp14:editId="2A4BCC04">
                <wp:extent cx="6120765" cy="1755648"/>
                <wp:effectExtent l="0" t="0" r="13335" b="13970"/>
                <wp:docPr id="2129743534" name="Text Box 2129743534"/>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7524D9E4"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21C7F41E" w14:textId="77777777" w:rsidR="0082450F" w:rsidRPr="00A632CA" w:rsidRDefault="0082450F" w:rsidP="0082450F">
                            <w:pPr>
                              <w:rPr>
                                <w:sz w:val="20"/>
                                <w:szCs w:val="20"/>
                                <w:lang w:eastAsia="x-none"/>
                              </w:rPr>
                            </w:pPr>
                            <w:r w:rsidRPr="00A632CA">
                              <w:rPr>
                                <w:rFonts w:hint="eastAsia"/>
                                <w:bCs/>
                                <w:sz w:val="20"/>
                                <w:szCs w:val="20"/>
                              </w:rPr>
                              <w:t>Fro</w:t>
                            </w:r>
                            <w:r w:rsidRPr="00A632CA">
                              <w:rPr>
                                <w:bCs/>
                                <w:sz w:val="20"/>
                                <w:szCs w:val="20"/>
                              </w:rPr>
                              <w:t>m RAN1 perspective, at least when a response is expected from multiple devices that are intended to be identified, an A-IoT contention-based access procedure initiated by the reader is used.</w:t>
                            </w:r>
                          </w:p>
                          <w:p w14:paraId="0EECF925" w14:textId="77777777" w:rsidR="0082450F" w:rsidRPr="00A632CA" w:rsidRDefault="0082450F" w:rsidP="0082450F">
                            <w:pPr>
                              <w:rPr>
                                <w:sz w:val="20"/>
                                <w:szCs w:val="20"/>
                                <w:lang w:eastAsia="x-none"/>
                              </w:rPr>
                            </w:pPr>
                          </w:p>
                          <w:p w14:paraId="341EB68A"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0E905284" w14:textId="6E0EEFFC" w:rsidR="0082450F" w:rsidRPr="00A632CA" w:rsidRDefault="0082450F" w:rsidP="0082450F">
                            <w:pPr>
                              <w:adjustRightInd w:val="0"/>
                              <w:snapToGrid w:val="0"/>
                              <w:rPr>
                                <w:bCs/>
                                <w:sz w:val="20"/>
                                <w:szCs w:val="20"/>
                              </w:rPr>
                            </w:pPr>
                            <w:r w:rsidRPr="00A632CA">
                              <w:rPr>
                                <w:bCs/>
                                <w:sz w:val="20"/>
                                <w:szCs w:val="20"/>
                              </w:rPr>
                              <w:t>For A-IoT contention-based access procedure, at least slotted-ALOHA based access is studied.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1A26B4" id="Text Box 2129743534" o:spid="_x0000_s1027"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dx6JOw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" fillcolor="white [3201]" strokeweight=".5pt">
                <v:textbox style="mso-fit-shape-to-text:t">
                  <w:txbxContent>
                    <w:p w14:paraId="7524D9E4"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21C7F41E" w14:textId="77777777" w:rsidR="0082450F" w:rsidRPr="00A632CA" w:rsidRDefault="0082450F" w:rsidP="0082450F">
                      <w:pPr>
                        <w:rPr>
                          <w:sz w:val="20"/>
                          <w:szCs w:val="20"/>
                          <w:lang w:eastAsia="x-none"/>
                        </w:rPr>
                      </w:pPr>
                      <w:r w:rsidRPr="00A632CA">
                        <w:rPr>
                          <w:rFonts w:hint="eastAsia"/>
                          <w:bCs/>
                          <w:sz w:val="20"/>
                          <w:szCs w:val="20"/>
                        </w:rPr>
                        <w:t>Fro</w:t>
                      </w:r>
                      <w:r w:rsidRPr="00A632CA">
                        <w:rPr>
                          <w:bCs/>
                          <w:sz w:val="20"/>
                          <w:szCs w:val="20"/>
                        </w:rPr>
                        <w:t>m RAN1 perspective, at least when a response is expected from multiple devices that are intended to be identified, an A-IoT contention-based access procedure initiated by the reader is used.</w:t>
                      </w:r>
                    </w:p>
                    <w:p w14:paraId="0EECF925" w14:textId="77777777" w:rsidR="0082450F" w:rsidRPr="00A632CA" w:rsidRDefault="0082450F" w:rsidP="0082450F">
                      <w:pPr>
                        <w:rPr>
                          <w:sz w:val="20"/>
                          <w:szCs w:val="20"/>
                          <w:lang w:eastAsia="x-none"/>
                        </w:rPr>
                      </w:pPr>
                    </w:p>
                    <w:p w14:paraId="341EB68A" w14:textId="77777777" w:rsidR="0082450F" w:rsidRPr="00A632CA" w:rsidRDefault="0082450F" w:rsidP="0082450F">
                      <w:pPr>
                        <w:adjustRightInd w:val="0"/>
                        <w:snapToGrid w:val="0"/>
                        <w:rPr>
                          <w:bCs/>
                          <w:sz w:val="20"/>
                          <w:szCs w:val="20"/>
                        </w:rPr>
                      </w:pPr>
                      <w:r w:rsidRPr="00A632CA">
                        <w:rPr>
                          <w:bCs/>
                          <w:sz w:val="20"/>
                          <w:szCs w:val="20"/>
                          <w:highlight w:val="green"/>
                        </w:rPr>
                        <w:t>Agreement</w:t>
                      </w:r>
                    </w:p>
                    <w:p w14:paraId="0E905284" w14:textId="6E0EEFFC" w:rsidR="0082450F" w:rsidRPr="00A632CA" w:rsidRDefault="0082450F" w:rsidP="0082450F">
                      <w:pPr>
                        <w:adjustRightInd w:val="0"/>
                        <w:snapToGrid w:val="0"/>
                        <w:rPr>
                          <w:bCs/>
                          <w:sz w:val="20"/>
                          <w:szCs w:val="20"/>
                        </w:rPr>
                      </w:pPr>
                      <w:r w:rsidRPr="00A632CA">
                        <w:rPr>
                          <w:bCs/>
                          <w:sz w:val="20"/>
                          <w:szCs w:val="20"/>
                        </w:rPr>
                        <w:t>For A-IoT contention-based access procedure, at least slotted-ALOHA based access is studied.</w:t>
                      </w:r>
                    </w:p>
                  </w:txbxContent>
                </v:textbox>
                <w10:anchorlock/>
              </v:shape>
            </w:pict>
          </mc:Fallback>
        </mc:AlternateContent>
      </w:r>
    </w:p>
    <w:p w14:paraId="58C54E2E" w14:textId="77777777" w:rsidR="0082450F" w:rsidRDefault="0082450F" w:rsidP="0082450F">
      <w:pPr>
        <w:rPr>
          <w:rFonts w:ascii="Arial" w:hAnsi="Arial" w:cs="Arial"/>
          <w:sz w:val="20"/>
          <w:szCs w:val="20"/>
          <w:lang w:val="en-GB" w:eastAsia="ja-JP"/>
        </w:rPr>
      </w:pPr>
    </w:p>
    <w:p w14:paraId="42524831" w14:textId="0DB9CD28" w:rsidR="0082450F" w:rsidRDefault="00490D06" w:rsidP="001C6B6E">
      <w:pPr>
        <w:spacing w:after="160"/>
        <w:rPr>
          <w:rFonts w:ascii="Arial" w:hAnsi="Arial"/>
          <w:sz w:val="20"/>
          <w:szCs w:val="20"/>
          <w:lang w:val="en-GB" w:eastAsia="ja-JP"/>
        </w:rPr>
      </w:pPr>
      <w:r>
        <w:rPr>
          <w:rFonts w:ascii="Arial" w:hAnsi="Arial" w:cs="Arial"/>
          <w:sz w:val="20"/>
          <w:szCs w:val="20"/>
          <w:lang w:val="en-GB" w:eastAsia="ja-JP"/>
        </w:rPr>
        <w:t xml:space="preserve">NR supports </w:t>
      </w:r>
      <w:r w:rsidR="001C6B6E">
        <w:rPr>
          <w:rFonts w:ascii="Arial" w:hAnsi="Arial" w:cs="Arial"/>
          <w:sz w:val="20"/>
          <w:szCs w:val="20"/>
          <w:lang w:val="en-GB" w:eastAsia="ja-JP"/>
        </w:rPr>
        <w:t xml:space="preserve">two types of random access procedure, one is four-step and the other is two-step RACH. Similar as four-step RACH procedure, a ‘Query’ procedure was specified in RFID specification to </w:t>
      </w:r>
      <w:r w:rsidR="001C6B6E">
        <w:rPr>
          <w:rFonts w:ascii="Arial" w:hAnsi="Arial"/>
          <w:sz w:val="20"/>
          <w:szCs w:val="20"/>
          <w:lang w:val="en-GB" w:eastAsia="ja-JP"/>
        </w:rPr>
        <w:t xml:space="preserve">to obtain the dedicated tag information such as PC/XPC/EPC for the subsequent unicast communication. In general, when there is no collision, a Query procedure consist of the following steps: </w:t>
      </w:r>
    </w:p>
    <w:p w14:paraId="2A93003B" w14:textId="70FC80D4" w:rsidR="001C6B6E"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t xml:space="preserve">Step-0: Reader sends a Query command to initiate the procedure. </w:t>
      </w:r>
    </w:p>
    <w:p w14:paraId="6C2DE8BC" w14:textId="22E19097" w:rsidR="003B1932" w:rsidRPr="003B1932"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lastRenderedPageBreak/>
        <w:t xml:space="preserve">Step-1: </w:t>
      </w:r>
      <w:r w:rsidR="003C5FF9">
        <w:rPr>
          <w:rFonts w:ascii="Arial" w:hAnsi="Arial"/>
          <w:sz w:val="20"/>
          <w:szCs w:val="20"/>
          <w:lang w:val="en-GB" w:eastAsia="ja-JP"/>
        </w:rPr>
        <w:t>A t</w:t>
      </w:r>
      <w:r>
        <w:rPr>
          <w:rFonts w:ascii="Arial" w:hAnsi="Arial"/>
          <w:sz w:val="20"/>
          <w:szCs w:val="20"/>
          <w:lang w:val="en-GB" w:eastAsia="ja-JP"/>
        </w:rPr>
        <w:t xml:space="preserve">ag shall preload into its slot counter a value between 0 and </w:t>
      </w:r>
      <m:oMath>
        <m:sSup>
          <m:sSupPr>
            <m:ctrlPr>
              <w:rPr>
                <w:rFonts w:ascii="Cambria Math" w:hAnsi="Cambria Math"/>
                <w:i/>
                <w:sz w:val="20"/>
                <w:szCs w:val="20"/>
                <w:lang w:val="en-GB" w:eastAsia="ja-JP"/>
              </w:rPr>
            </m:ctrlPr>
          </m:sSupPr>
          <m:e>
            <m:r>
              <w:rPr>
                <w:rFonts w:ascii="Cambria Math" w:hAnsi="Cambria Math"/>
                <w:sz w:val="20"/>
                <w:szCs w:val="20"/>
                <w:lang w:val="en-GB" w:eastAsia="ja-JP"/>
              </w:rPr>
              <m:t>2</m:t>
            </m:r>
          </m:e>
          <m:sup>
            <m:r>
              <w:rPr>
                <w:rFonts w:ascii="Cambria Math" w:hAnsi="Cambria Math"/>
                <w:sz w:val="20"/>
                <w:szCs w:val="20"/>
                <w:lang w:val="en-GB" w:eastAsia="ja-JP"/>
              </w:rPr>
              <m:t>Q</m:t>
            </m:r>
          </m:sup>
        </m:sSup>
        <m:r>
          <w:rPr>
            <w:rFonts w:ascii="Cambria Math" w:hAnsi="Cambria Math"/>
            <w:sz w:val="20"/>
            <w:szCs w:val="20"/>
            <w:lang w:val="en-GB" w:eastAsia="ja-JP"/>
          </w:rPr>
          <m:t>-1</m:t>
        </m:r>
      </m:oMath>
      <w:r>
        <w:rPr>
          <w:rFonts w:ascii="Arial" w:hAnsi="Arial"/>
          <w:sz w:val="20"/>
          <w:szCs w:val="20"/>
          <w:lang w:val="en-GB" w:eastAsia="ja-JP"/>
        </w:rPr>
        <w:t>, where Q is an integer in the range (0,15). The Tag decrement its slot counter every time it receives a QueryRep with matching session and backscattering an RN16 when the slot counter reaches ‘0000’.</w:t>
      </w:r>
    </w:p>
    <w:p w14:paraId="6FB01957" w14:textId="272BAFBD" w:rsidR="003B1932" w:rsidRDefault="003B1932" w:rsidP="001C6B6E">
      <w:pPr>
        <w:pStyle w:val="ListParagraph"/>
        <w:numPr>
          <w:ilvl w:val="0"/>
          <w:numId w:val="81"/>
        </w:numPr>
        <w:rPr>
          <w:rFonts w:ascii="Arial" w:hAnsi="Arial" w:cs="Arial"/>
          <w:sz w:val="20"/>
          <w:szCs w:val="20"/>
          <w:lang w:val="en-GB" w:eastAsia="ja-JP"/>
        </w:rPr>
      </w:pPr>
      <w:r>
        <w:rPr>
          <w:rFonts w:ascii="Arial" w:hAnsi="Arial" w:cs="Arial"/>
          <w:sz w:val="20"/>
          <w:szCs w:val="20"/>
          <w:lang w:val="en-GB" w:eastAsia="ja-JP"/>
        </w:rPr>
        <w:t xml:space="preserve">Step-2: </w:t>
      </w:r>
      <w:r w:rsidR="006360DB">
        <w:rPr>
          <w:rFonts w:ascii="Arial" w:hAnsi="Arial" w:cs="Arial"/>
          <w:sz w:val="20"/>
          <w:szCs w:val="20"/>
          <w:lang w:val="en-GB" w:eastAsia="ja-JP"/>
        </w:rPr>
        <w:t>Reader transmission of ‘ACK’ command indicating the reception of the ‘RN16’</w:t>
      </w:r>
    </w:p>
    <w:p w14:paraId="62E95198" w14:textId="29C5FE9E" w:rsidR="006360DB" w:rsidRDefault="006360DB" w:rsidP="006360DB">
      <w:pPr>
        <w:pStyle w:val="ListParagraph"/>
        <w:numPr>
          <w:ilvl w:val="0"/>
          <w:numId w:val="81"/>
        </w:numPr>
        <w:spacing w:after="160"/>
        <w:contextualSpacing w:val="0"/>
        <w:rPr>
          <w:rFonts w:ascii="Arial" w:hAnsi="Arial" w:cs="Arial"/>
          <w:sz w:val="20"/>
          <w:szCs w:val="20"/>
          <w:lang w:val="en-GB" w:eastAsia="ja-JP"/>
        </w:rPr>
      </w:pPr>
      <w:r>
        <w:rPr>
          <w:rFonts w:ascii="Arial" w:hAnsi="Arial" w:cs="Arial"/>
          <w:sz w:val="20"/>
          <w:szCs w:val="20"/>
          <w:lang w:val="en-GB" w:eastAsia="ja-JP"/>
        </w:rPr>
        <w:t>Step-3: Tag reports the device-specific ID information e.g.,  EPC/PC etc.</w:t>
      </w:r>
    </w:p>
    <w:p w14:paraId="55E41E82" w14:textId="52ADE7FE" w:rsidR="006360DB" w:rsidRDefault="00205F94" w:rsidP="006360DB">
      <w:pPr>
        <w:rPr>
          <w:rFonts w:ascii="Arial" w:hAnsi="Arial" w:cs="Arial"/>
          <w:sz w:val="20"/>
          <w:szCs w:val="20"/>
          <w:lang w:val="en-GB" w:eastAsia="ja-JP"/>
        </w:rPr>
      </w:pPr>
      <w:r>
        <w:rPr>
          <w:rFonts w:ascii="Arial" w:hAnsi="Arial" w:cs="Arial"/>
          <w:sz w:val="20"/>
          <w:szCs w:val="20"/>
          <w:lang w:val="en-GB" w:eastAsia="ja-JP"/>
        </w:rPr>
        <w:t xml:space="preserve">Compared to RFID Query procedure, PRACH sequences and RAR MAC PDU are used in Step-1 and Step-2 respectively in four-step RACH procedure. Taking into acount the requirements of low cost and extreme low power consumtion for Ambient IOT device as well as the goal of unified design for device types 1/2a/2b, it is important to reuse the RFID design e.g., RN16 in Step-1 and ‘ACK’ in Step-2.  </w:t>
      </w:r>
      <w:r w:rsidR="006360DB">
        <w:rPr>
          <w:rFonts w:ascii="Arial" w:hAnsi="Arial" w:cs="Arial"/>
          <w:sz w:val="20"/>
          <w:szCs w:val="20"/>
          <w:lang w:val="en-GB" w:eastAsia="ja-JP"/>
        </w:rPr>
        <w:t xml:space="preserve"> </w:t>
      </w:r>
    </w:p>
    <w:p w14:paraId="59EFE882" w14:textId="77777777" w:rsidR="006360DB" w:rsidRDefault="006360DB" w:rsidP="006360DB">
      <w:pPr>
        <w:rPr>
          <w:rFonts w:ascii="Arial" w:hAnsi="Arial" w:cs="Arial"/>
          <w:sz w:val="20"/>
          <w:szCs w:val="20"/>
          <w:lang w:val="en-GB" w:eastAsia="ja-JP"/>
        </w:rPr>
      </w:pPr>
    </w:p>
    <w:p w14:paraId="57CDE3B3" w14:textId="77777777" w:rsidR="003C5FF9" w:rsidRDefault="003C5FF9" w:rsidP="003C5FF9">
      <w:pPr>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2DF2C411" wp14:editId="70C31EE1">
            <wp:extent cx="2932386" cy="2414258"/>
            <wp:effectExtent l="0" t="0" r="1905" b="0"/>
            <wp:docPr id="956926280"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26280" name="Picture 2" descr="A diagram of a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964337" cy="2440564"/>
                    </a:xfrm>
                    <a:prstGeom prst="rect">
                      <a:avLst/>
                    </a:prstGeom>
                  </pic:spPr>
                </pic:pic>
              </a:graphicData>
            </a:graphic>
          </wp:inline>
        </w:drawing>
      </w:r>
    </w:p>
    <w:p w14:paraId="10A53BC6" w14:textId="6FE78E0D" w:rsidR="003C5FF9" w:rsidRPr="003C5FF9" w:rsidRDefault="003C5FF9" w:rsidP="003C5FF9">
      <w:pPr>
        <w:jc w:val="center"/>
        <w:rPr>
          <w:rFonts w:ascii="Arial" w:hAnsi="Arial" w:cs="Arial"/>
          <w:b/>
          <w:bCs/>
          <w:sz w:val="20"/>
          <w:szCs w:val="20"/>
          <w:lang w:val="en-GB" w:eastAsia="ja-JP"/>
        </w:rPr>
      </w:pPr>
      <w:r w:rsidRPr="003C5FF9">
        <w:rPr>
          <w:rFonts w:ascii="Arial" w:hAnsi="Arial" w:cs="Arial"/>
          <w:b/>
          <w:bCs/>
          <w:sz w:val="20"/>
          <w:szCs w:val="20"/>
          <w:lang w:val="en-GB" w:eastAsia="ja-JP"/>
        </w:rPr>
        <w:t xml:space="preserve">Figure 1: </w:t>
      </w:r>
      <w:r>
        <w:rPr>
          <w:rFonts w:ascii="Arial" w:hAnsi="Arial" w:cs="Arial"/>
          <w:b/>
          <w:bCs/>
          <w:sz w:val="20"/>
          <w:szCs w:val="20"/>
          <w:lang w:val="en-GB" w:eastAsia="ja-JP"/>
        </w:rPr>
        <w:t>Contention-based Random Access procedure for A-IOT device</w:t>
      </w:r>
    </w:p>
    <w:p w14:paraId="23917772" w14:textId="77777777" w:rsidR="003C5FF9" w:rsidRDefault="003C5FF9" w:rsidP="006360DB">
      <w:pPr>
        <w:rPr>
          <w:rFonts w:ascii="Arial" w:hAnsi="Arial" w:cs="Arial"/>
          <w:sz w:val="20"/>
          <w:szCs w:val="20"/>
          <w:lang w:val="en-GB" w:eastAsia="ja-JP"/>
        </w:rPr>
      </w:pPr>
    </w:p>
    <w:p w14:paraId="0A32939D" w14:textId="77777777" w:rsidR="001C6B6E" w:rsidRDefault="001C6B6E" w:rsidP="0082450F">
      <w:pPr>
        <w:rPr>
          <w:rFonts w:ascii="Arial" w:hAnsi="Arial" w:cs="Arial"/>
          <w:sz w:val="20"/>
          <w:szCs w:val="20"/>
          <w:lang w:val="en-GB" w:eastAsia="ja-JP"/>
        </w:rPr>
      </w:pPr>
    </w:p>
    <w:p w14:paraId="187E1AEA" w14:textId="00354253" w:rsidR="00E05568" w:rsidRDefault="0082450F" w:rsidP="003C5FF9">
      <w:pPr>
        <w:spacing w:after="160"/>
        <w:ind w:left="1166" w:hanging="1166"/>
        <w:rPr>
          <w:rFonts w:ascii="Arial" w:hAnsi="Arial" w:cs="Arial"/>
          <w:b/>
          <w:bCs/>
          <w:sz w:val="20"/>
          <w:szCs w:val="20"/>
          <w:lang w:val="en-GB" w:eastAsia="ja-JP"/>
        </w:rPr>
      </w:pPr>
      <w:r>
        <w:rPr>
          <w:rFonts w:ascii="Arial" w:hAnsi="Arial" w:cs="Arial"/>
          <w:b/>
          <w:bCs/>
          <w:sz w:val="20"/>
          <w:szCs w:val="20"/>
        </w:rPr>
        <w:t xml:space="preserve">Proposal </w:t>
      </w:r>
      <w:r w:rsidR="00C72EC4">
        <w:rPr>
          <w:rFonts w:ascii="Arial" w:hAnsi="Arial" w:cs="Arial"/>
          <w:b/>
          <w:bCs/>
          <w:sz w:val="20"/>
          <w:szCs w:val="20"/>
        </w:rPr>
        <w:t>2</w:t>
      </w:r>
      <w:r>
        <w:rPr>
          <w:rFonts w:ascii="Arial" w:hAnsi="Arial" w:cs="Arial"/>
          <w:b/>
          <w:bCs/>
          <w:sz w:val="20"/>
          <w:szCs w:val="20"/>
        </w:rPr>
        <w:t xml:space="preserve">:  </w:t>
      </w:r>
      <w:r w:rsidRPr="0082450F">
        <w:rPr>
          <w:rFonts w:ascii="Arial" w:hAnsi="Arial" w:cs="Arial"/>
          <w:b/>
          <w:bCs/>
          <w:sz w:val="20"/>
          <w:szCs w:val="20"/>
          <w:lang w:val="en-GB" w:eastAsia="ja-JP"/>
        </w:rPr>
        <w:t>The Query procedure of UHF RFID is used as a starting point for slot-ALOPHA based random access</w:t>
      </w:r>
      <w:r w:rsidR="005F1B86">
        <w:rPr>
          <w:rFonts w:ascii="Arial" w:hAnsi="Arial" w:cs="Arial"/>
          <w:b/>
          <w:bCs/>
          <w:sz w:val="20"/>
          <w:szCs w:val="20"/>
          <w:lang w:val="en-GB" w:eastAsia="ja-JP"/>
        </w:rPr>
        <w:t xml:space="preserve"> for Ambient IoT devices</w:t>
      </w:r>
      <w:r w:rsidR="003C5FF9">
        <w:rPr>
          <w:rFonts w:ascii="Arial" w:hAnsi="Arial" w:cs="Arial"/>
          <w:b/>
          <w:bCs/>
          <w:sz w:val="20"/>
          <w:szCs w:val="20"/>
          <w:lang w:val="en-GB" w:eastAsia="ja-JP"/>
        </w:rPr>
        <w:t xml:space="preserve">. </w:t>
      </w:r>
    </w:p>
    <w:p w14:paraId="2B3649E7" w14:textId="6881F578" w:rsidR="003C5FF9" w:rsidRDefault="003C5FF9" w:rsidP="0082450F">
      <w:pPr>
        <w:ind w:left="1170" w:hanging="1170"/>
        <w:rPr>
          <w:rFonts w:ascii="Arial" w:hAnsi="Arial" w:cs="Arial"/>
          <w:b/>
          <w:bCs/>
          <w:sz w:val="20"/>
          <w:szCs w:val="20"/>
          <w:lang w:val="en-GB" w:eastAsia="ja-JP"/>
        </w:rPr>
      </w:pPr>
      <w:r>
        <w:rPr>
          <w:rFonts w:ascii="Arial" w:hAnsi="Arial" w:cs="Arial"/>
          <w:b/>
          <w:bCs/>
          <w:sz w:val="20"/>
          <w:szCs w:val="20"/>
          <w:lang w:val="en-GB" w:eastAsia="ja-JP"/>
        </w:rPr>
        <w:t>Proposal</w:t>
      </w:r>
      <w:r w:rsidR="00C72EC4">
        <w:rPr>
          <w:rFonts w:ascii="Arial" w:hAnsi="Arial" w:cs="Arial"/>
          <w:b/>
          <w:bCs/>
          <w:sz w:val="20"/>
          <w:szCs w:val="20"/>
          <w:lang w:val="en-GB" w:eastAsia="ja-JP"/>
        </w:rPr>
        <w:t>3</w:t>
      </w:r>
      <w:r>
        <w:rPr>
          <w:rFonts w:ascii="Arial" w:hAnsi="Arial" w:cs="Arial"/>
          <w:b/>
          <w:bCs/>
          <w:sz w:val="20"/>
          <w:szCs w:val="20"/>
          <w:lang w:val="en-GB" w:eastAsia="ja-JP"/>
        </w:rPr>
        <w:t xml:space="preserve">: The contention-based random access procedure for A-IOT devices consist of the following steps: </w:t>
      </w:r>
    </w:p>
    <w:p w14:paraId="2992B50E" w14:textId="14EB468D" w:rsidR="003C5FF9" w:rsidRPr="003C5FF9" w:rsidRDefault="003C5FF9" w:rsidP="003C5FF9">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Step-1: Reader sends a Query command (Msg0) to initiate the Query procedure. </w:t>
      </w:r>
    </w:p>
    <w:p w14:paraId="690F58CD" w14:textId="2FDF664D" w:rsidR="003C5FF9" w:rsidRDefault="003C5FF9" w:rsidP="003C5FF9">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Step-2: </w:t>
      </w:r>
      <w:r>
        <w:rPr>
          <w:rFonts w:ascii="Arial" w:hAnsi="Arial" w:cs="Arial"/>
          <w:i/>
          <w:iCs/>
          <w:sz w:val="20"/>
          <w:szCs w:val="20"/>
          <w:lang w:val="en-GB" w:eastAsia="ja-JP"/>
        </w:rPr>
        <w:t xml:space="preserve">A-IoT device generats a random value ‘RNx’ as Query reponse (Msg1) and report it to NW when slot counter reaches ’0000’. </w:t>
      </w:r>
    </w:p>
    <w:p w14:paraId="2EAE9E69" w14:textId="3885A584" w:rsidR="003C5FF9" w:rsidRDefault="003C5FF9" w:rsidP="003C5FF9">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Step-3: Reader transmits a ‘ACK’ command </w:t>
      </w:r>
      <w:r w:rsidRPr="003C5FF9">
        <w:rPr>
          <w:rFonts w:ascii="Arial" w:hAnsi="Arial" w:cs="Arial"/>
          <w:i/>
          <w:iCs/>
          <w:sz w:val="20"/>
          <w:szCs w:val="20"/>
          <w:lang w:val="en-GB" w:eastAsia="ja-JP"/>
        </w:rPr>
        <w:t>indicating the reception of the ‘RN16’</w:t>
      </w:r>
      <w:r>
        <w:rPr>
          <w:rFonts w:ascii="Arial" w:hAnsi="Arial" w:cs="Arial"/>
          <w:i/>
          <w:iCs/>
          <w:sz w:val="20"/>
          <w:szCs w:val="20"/>
          <w:lang w:val="en-GB" w:eastAsia="ja-JP"/>
        </w:rPr>
        <w:t xml:space="preserve">. </w:t>
      </w:r>
    </w:p>
    <w:p w14:paraId="6A1433A3" w14:textId="5AD09BCD" w:rsidR="003C5FF9" w:rsidRPr="003C5FF9" w:rsidRDefault="003C5FF9" w:rsidP="003C5FF9">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Step-4: </w:t>
      </w:r>
      <w:r w:rsidRPr="003C5FF9">
        <w:rPr>
          <w:rFonts w:ascii="Arial" w:hAnsi="Arial" w:cs="Arial"/>
          <w:i/>
          <w:iCs/>
          <w:sz w:val="20"/>
          <w:szCs w:val="20"/>
          <w:lang w:val="en-GB" w:eastAsia="ja-JP"/>
        </w:rPr>
        <w:t>Tag reports the device-specific ID information e.g.,  EPC/PC etc</w:t>
      </w:r>
      <w:r>
        <w:rPr>
          <w:rFonts w:ascii="Arial" w:hAnsi="Arial" w:cs="Arial"/>
          <w:i/>
          <w:iCs/>
          <w:sz w:val="20"/>
          <w:szCs w:val="20"/>
          <w:lang w:val="en-GB" w:eastAsia="ja-JP"/>
        </w:rPr>
        <w:t xml:space="preserve"> (Msg3)</w:t>
      </w:r>
    </w:p>
    <w:p w14:paraId="7185EA16" w14:textId="77777777" w:rsidR="00231298" w:rsidRDefault="00231298" w:rsidP="0082450F">
      <w:pPr>
        <w:rPr>
          <w:rFonts w:ascii="Arial" w:hAnsi="Arial" w:cs="Arial"/>
          <w:sz w:val="20"/>
          <w:szCs w:val="20"/>
          <w:lang w:val="en-GB" w:eastAsia="ja-JP"/>
        </w:rPr>
      </w:pPr>
    </w:p>
    <w:p w14:paraId="6F123E39" w14:textId="77777777" w:rsidR="00231298" w:rsidRPr="0082450F" w:rsidRDefault="00231298" w:rsidP="0082450F">
      <w:pPr>
        <w:rPr>
          <w:rFonts w:ascii="Arial" w:hAnsi="Arial" w:cs="Arial"/>
          <w:sz w:val="20"/>
          <w:szCs w:val="20"/>
          <w:lang w:val="en-GB" w:eastAsia="ja-JP"/>
        </w:rPr>
      </w:pPr>
    </w:p>
    <w:p w14:paraId="572C69F6" w14:textId="77777777" w:rsidR="00601856" w:rsidRDefault="005F1B86" w:rsidP="005F1B86">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As discussed earlier, one drawback of anti-collision procotol used in Query procedure for RFID is the high collision rate in case of dense use case and eventually causes wastage valuable enery and large latency as device needs to wait for the next Query round. To achive the design goal of extended coverage and low latency, it is imporant to enhance the anti-collision protocol for Ambient IoT devices. As depicted in FIG2, the collision rate of Query responses can be reduced by supporting multiple frequency points for high-CAT device to transmit Query responses (i.e., PRACHs signal), regardless of backscattering-based or UE-genrated signals. In addition, the fequency-shifted signal can improve the detection performance and link budget of Query reponse due to shifting the backscatter signal away from the incoming carrier wave frequency to mitigate the interfence at the gNB receiver. The frequency-shifted operation will cause extra power consumption. While, considering the benefit of increased Query response capacity and the reduced latency for Query procedure, support of ‘frequency-shifted’ backscattering signal for high-CAT devices is imporant to explorit the signficantly higher peak power i.e., </w:t>
      </w:r>
      <w:r w:rsidRPr="00F430A3">
        <w:rPr>
          <w:rFonts w:ascii="Arial" w:hAnsi="Arial" w:cs="Arial"/>
          <w:sz w:val="20"/>
          <w:szCs w:val="20"/>
          <w:lang w:eastAsia="en-US"/>
        </w:rPr>
        <w:t>a few hundred µW</w:t>
      </w:r>
      <w:r>
        <w:rPr>
          <w:rFonts w:ascii="Arial" w:hAnsi="Arial" w:cs="Arial"/>
          <w:sz w:val="20"/>
          <w:szCs w:val="20"/>
          <w:lang w:eastAsia="en-US"/>
        </w:rPr>
        <w:t xml:space="preserve">. </w:t>
      </w:r>
      <w:r>
        <w:rPr>
          <w:rFonts w:ascii="Arial" w:hAnsi="Arial" w:cs="Arial"/>
          <w:sz w:val="20"/>
          <w:szCs w:val="20"/>
        </w:rPr>
        <w:t xml:space="preserve">    </w:t>
      </w:r>
    </w:p>
    <w:p w14:paraId="71A5D86C" w14:textId="77777777" w:rsidR="00601856" w:rsidRDefault="00601856" w:rsidP="005F1B86">
      <w:pPr>
        <w:tabs>
          <w:tab w:val="left" w:pos="450"/>
        </w:tabs>
        <w:jc w:val="both"/>
        <w:rPr>
          <w:rFonts w:ascii="Arial" w:hAnsi="Arial" w:cs="Arial"/>
          <w:sz w:val="20"/>
          <w:szCs w:val="20"/>
        </w:rPr>
      </w:pPr>
    </w:p>
    <w:p w14:paraId="026C8C77" w14:textId="57818FE3" w:rsidR="00601856" w:rsidRDefault="00601856" w:rsidP="00601856">
      <w:pPr>
        <w:spacing w:after="160"/>
        <w:ind w:left="1080" w:hanging="1080"/>
        <w:rPr>
          <w:rFonts w:ascii="Arial" w:hAnsi="Arial" w:cs="Arial"/>
          <w:b/>
          <w:bCs/>
          <w:sz w:val="20"/>
          <w:szCs w:val="20"/>
        </w:rPr>
      </w:pPr>
      <w:r w:rsidRPr="00B817B0">
        <w:rPr>
          <w:rFonts w:ascii="Arial" w:hAnsi="Arial" w:cs="Arial"/>
          <w:b/>
          <w:bCs/>
          <w:sz w:val="20"/>
          <w:szCs w:val="20"/>
        </w:rPr>
        <w:lastRenderedPageBreak/>
        <w:t>Proposal</w:t>
      </w:r>
      <w:r>
        <w:rPr>
          <w:rFonts w:ascii="Arial" w:hAnsi="Arial" w:cs="Arial"/>
          <w:b/>
          <w:bCs/>
          <w:sz w:val="20"/>
          <w:szCs w:val="20"/>
        </w:rPr>
        <w:t xml:space="preserve"> </w:t>
      </w:r>
      <w:r w:rsidR="00C72EC4">
        <w:rPr>
          <w:rFonts w:ascii="Arial" w:hAnsi="Arial" w:cs="Arial"/>
          <w:b/>
          <w:bCs/>
          <w:sz w:val="20"/>
          <w:szCs w:val="20"/>
        </w:rPr>
        <w:t>4</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35682CD1" w14:textId="5DE9E93E" w:rsidR="005F1B86" w:rsidRDefault="005F1B86" w:rsidP="005F1B86">
      <w:pPr>
        <w:tabs>
          <w:tab w:val="left" w:pos="450"/>
        </w:tabs>
        <w:jc w:val="both"/>
        <w:rPr>
          <w:rFonts w:ascii="Arial" w:hAnsi="Arial" w:cs="Arial"/>
          <w:sz w:val="20"/>
          <w:szCs w:val="20"/>
        </w:rPr>
      </w:pPr>
      <w:r>
        <w:rPr>
          <w:rFonts w:ascii="Arial" w:hAnsi="Arial" w:cs="Arial"/>
          <w:sz w:val="20"/>
          <w:szCs w:val="20"/>
        </w:rPr>
        <w:t xml:space="preserve">     </w:t>
      </w:r>
    </w:p>
    <w:p w14:paraId="788C2344" w14:textId="77777777" w:rsidR="005F1B86" w:rsidRDefault="005F1B86" w:rsidP="005F1B86">
      <w:pPr>
        <w:tabs>
          <w:tab w:val="left" w:pos="450"/>
        </w:tabs>
        <w:rPr>
          <w:rFonts w:ascii="Arial" w:hAnsi="Arial" w:cs="Arial"/>
          <w:sz w:val="20"/>
          <w:szCs w:val="20"/>
        </w:rPr>
      </w:pPr>
      <w:r>
        <w:rPr>
          <w:rFonts w:ascii="Arial" w:hAnsi="Arial" w:cs="Arial"/>
          <w:sz w:val="20"/>
          <w:szCs w:val="20"/>
        </w:rPr>
        <w:t xml:space="preserve">    </w:t>
      </w:r>
    </w:p>
    <w:p w14:paraId="3331E3A3" w14:textId="77777777" w:rsidR="005F1B86" w:rsidRDefault="005F1B86" w:rsidP="005F1B86">
      <w:pPr>
        <w:tabs>
          <w:tab w:val="left" w:pos="450"/>
        </w:tabs>
        <w:jc w:val="center"/>
        <w:rPr>
          <w:rFonts w:ascii="Arial" w:hAnsi="Arial" w:cs="Arial"/>
          <w:sz w:val="20"/>
          <w:szCs w:val="20"/>
        </w:rPr>
      </w:pPr>
      <w:r>
        <w:rPr>
          <w:rFonts w:ascii="Arial" w:hAnsi="Arial" w:cs="Arial"/>
          <w:noProof/>
          <w:sz w:val="20"/>
          <w:szCs w:val="20"/>
        </w:rPr>
        <w:drawing>
          <wp:inline distT="0" distB="0" distL="0" distR="0" wp14:anchorId="60A45643" wp14:editId="195573FF">
            <wp:extent cx="4387539" cy="2719552"/>
            <wp:effectExtent l="0" t="0" r="0" b="0"/>
            <wp:docPr id="1145716158" name="Picture 1" descr="Diagram of a diagram of a wave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16158" name="Picture 1" descr="Diagram of a diagram of a wave frequenc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05753" cy="2792825"/>
                    </a:xfrm>
                    <a:prstGeom prst="rect">
                      <a:avLst/>
                    </a:prstGeom>
                  </pic:spPr>
                </pic:pic>
              </a:graphicData>
            </a:graphic>
          </wp:inline>
        </w:drawing>
      </w:r>
    </w:p>
    <w:p w14:paraId="1BF6A854" w14:textId="77777777" w:rsidR="005F1B86" w:rsidRPr="00C46A68" w:rsidRDefault="005F1B86" w:rsidP="005F1B86">
      <w:pPr>
        <w:tabs>
          <w:tab w:val="left" w:pos="450"/>
        </w:tabs>
        <w:jc w:val="center"/>
        <w:rPr>
          <w:rFonts w:ascii="Arial" w:hAnsi="Arial" w:cs="Arial"/>
          <w:b/>
          <w:bCs/>
          <w:sz w:val="20"/>
          <w:szCs w:val="20"/>
        </w:rPr>
      </w:pPr>
      <w:r w:rsidRPr="00C46A68">
        <w:rPr>
          <w:rFonts w:ascii="Arial" w:hAnsi="Arial" w:cs="Arial"/>
          <w:b/>
          <w:bCs/>
          <w:sz w:val="20"/>
          <w:szCs w:val="20"/>
        </w:rPr>
        <w:t xml:space="preserve">Figure 2: </w:t>
      </w:r>
      <w:r>
        <w:rPr>
          <w:rFonts w:ascii="Arial" w:hAnsi="Arial" w:cs="Arial"/>
          <w:b/>
          <w:bCs/>
          <w:sz w:val="20"/>
          <w:szCs w:val="20"/>
        </w:rPr>
        <w:t>Illustration of the basic frequency-shiftted backscattering Query reponses</w:t>
      </w:r>
    </w:p>
    <w:p w14:paraId="46C95900" w14:textId="77777777" w:rsidR="005F1B86" w:rsidRDefault="005F1B86" w:rsidP="00C67E04">
      <w:pPr>
        <w:rPr>
          <w:rFonts w:ascii="Arial" w:hAnsi="Arial" w:cs="Arial"/>
          <w:sz w:val="20"/>
          <w:szCs w:val="20"/>
          <w:lang w:val="en-GB" w:eastAsia="ja-JP"/>
        </w:rPr>
      </w:pPr>
    </w:p>
    <w:p w14:paraId="4DBF5412" w14:textId="41991328" w:rsidR="00AB0594" w:rsidRDefault="00DD3CFB" w:rsidP="00C67E04">
      <w:pPr>
        <w:rPr>
          <w:rFonts w:ascii="Arial" w:hAnsi="Arial" w:cs="Arial"/>
          <w:sz w:val="20"/>
          <w:szCs w:val="20"/>
          <w:lang w:val="en-GB" w:eastAsia="ja-JP"/>
        </w:rPr>
      </w:pPr>
      <w:r>
        <w:rPr>
          <w:rFonts w:ascii="Arial" w:hAnsi="Arial" w:cs="Arial"/>
          <w:sz w:val="20"/>
          <w:szCs w:val="20"/>
          <w:lang w:val="en-GB" w:eastAsia="ja-JP"/>
        </w:rPr>
        <w:t xml:space="preserve">  </w:t>
      </w:r>
    </w:p>
    <w:p w14:paraId="7616314F" w14:textId="77777777" w:rsidR="00601856" w:rsidRPr="005F1B86" w:rsidRDefault="00601856" w:rsidP="00AA2156">
      <w:pPr>
        <w:spacing w:after="160"/>
        <w:ind w:left="1080" w:hanging="1080"/>
        <w:rPr>
          <w:rFonts w:ascii="Arial" w:hAnsi="Arial" w:cs="Arial"/>
          <w:b/>
          <w:bCs/>
          <w:sz w:val="20"/>
          <w:szCs w:val="20"/>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4086A433" w:rsidR="003D3400" w:rsidRPr="00A632CA"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 xml:space="preserve">the frame structure, synchronization, random access and timing relation aspects. We proposed the following: </w:t>
      </w:r>
    </w:p>
    <w:p w14:paraId="760B7DDB" w14:textId="0C92F800" w:rsidR="00C7515E" w:rsidRPr="0082450F" w:rsidRDefault="00C7515E" w:rsidP="00C7515E">
      <w:pPr>
        <w:spacing w:after="160"/>
        <w:ind w:left="1166" w:hanging="1166"/>
        <w:rPr>
          <w:rFonts w:ascii="Arial" w:hAnsi="Arial" w:cs="Arial"/>
          <w:b/>
          <w:bCs/>
          <w:sz w:val="20"/>
          <w:szCs w:val="20"/>
        </w:rPr>
      </w:pPr>
      <w:r>
        <w:rPr>
          <w:rFonts w:ascii="Arial" w:hAnsi="Arial" w:cs="Arial"/>
          <w:b/>
          <w:bCs/>
          <w:sz w:val="20"/>
          <w:szCs w:val="20"/>
        </w:rPr>
        <w:t>Proposal</w:t>
      </w:r>
      <w:r w:rsidR="00C72EC4">
        <w:rPr>
          <w:rFonts w:ascii="Arial" w:hAnsi="Arial" w:cs="Arial"/>
          <w:b/>
          <w:bCs/>
          <w:sz w:val="20"/>
          <w:szCs w:val="20"/>
        </w:rPr>
        <w:t xml:space="preserve"> 1</w:t>
      </w:r>
      <w:r>
        <w:rPr>
          <w:rFonts w:ascii="Arial" w:hAnsi="Arial" w:cs="Arial"/>
          <w:b/>
          <w:bCs/>
          <w:sz w:val="20"/>
          <w:szCs w:val="20"/>
        </w:rPr>
        <w:t xml:space="preserve">: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339AEE00" w14:textId="3BD8F852" w:rsidR="00C7515E" w:rsidRDefault="00C7515E" w:rsidP="00C7515E">
      <w:pPr>
        <w:spacing w:after="160"/>
        <w:ind w:left="1166" w:hanging="1166"/>
        <w:rPr>
          <w:rFonts w:ascii="Arial" w:hAnsi="Arial" w:cs="Arial"/>
          <w:b/>
          <w:bCs/>
          <w:sz w:val="20"/>
          <w:szCs w:val="20"/>
          <w:lang w:val="en-GB" w:eastAsia="ja-JP"/>
        </w:rPr>
      </w:pPr>
      <w:r>
        <w:rPr>
          <w:rFonts w:ascii="Arial" w:hAnsi="Arial" w:cs="Arial"/>
          <w:b/>
          <w:bCs/>
          <w:sz w:val="20"/>
          <w:szCs w:val="20"/>
        </w:rPr>
        <w:t xml:space="preserve">Proposal </w:t>
      </w:r>
      <w:r w:rsidR="00C72EC4">
        <w:rPr>
          <w:rFonts w:ascii="Arial" w:hAnsi="Arial" w:cs="Arial"/>
          <w:b/>
          <w:bCs/>
          <w:sz w:val="20"/>
          <w:szCs w:val="20"/>
        </w:rPr>
        <w:t>2</w:t>
      </w:r>
      <w:r>
        <w:rPr>
          <w:rFonts w:ascii="Arial" w:hAnsi="Arial" w:cs="Arial"/>
          <w:b/>
          <w:bCs/>
          <w:sz w:val="20"/>
          <w:szCs w:val="20"/>
        </w:rPr>
        <w:t xml:space="preserve">:  </w:t>
      </w:r>
      <w:r w:rsidRPr="0082450F">
        <w:rPr>
          <w:rFonts w:ascii="Arial" w:hAnsi="Arial" w:cs="Arial"/>
          <w:b/>
          <w:bCs/>
          <w:sz w:val="20"/>
          <w:szCs w:val="20"/>
          <w:lang w:val="en-GB" w:eastAsia="ja-JP"/>
        </w:rPr>
        <w:t>The Query procedure of UHF RFID is used as a starting point for slot-ALOPHA based random access</w:t>
      </w:r>
      <w:r>
        <w:rPr>
          <w:rFonts w:ascii="Arial" w:hAnsi="Arial" w:cs="Arial"/>
          <w:b/>
          <w:bCs/>
          <w:sz w:val="20"/>
          <w:szCs w:val="20"/>
          <w:lang w:val="en-GB" w:eastAsia="ja-JP"/>
        </w:rPr>
        <w:t xml:space="preserve"> for Ambient IoT devices. </w:t>
      </w:r>
    </w:p>
    <w:p w14:paraId="59A957A1" w14:textId="612AF555" w:rsidR="00C7515E" w:rsidRDefault="00C7515E" w:rsidP="00C7515E">
      <w:pPr>
        <w:ind w:left="1170" w:hanging="1170"/>
        <w:rPr>
          <w:rFonts w:ascii="Arial" w:hAnsi="Arial" w:cs="Arial"/>
          <w:b/>
          <w:bCs/>
          <w:sz w:val="20"/>
          <w:szCs w:val="20"/>
          <w:lang w:val="en-GB" w:eastAsia="ja-JP"/>
        </w:rPr>
      </w:pPr>
      <w:r>
        <w:rPr>
          <w:rFonts w:ascii="Arial" w:hAnsi="Arial" w:cs="Arial"/>
          <w:b/>
          <w:bCs/>
          <w:sz w:val="20"/>
          <w:szCs w:val="20"/>
          <w:lang w:val="en-GB" w:eastAsia="ja-JP"/>
        </w:rPr>
        <w:t xml:space="preserve">Proposal </w:t>
      </w:r>
      <w:r w:rsidR="00C72EC4">
        <w:rPr>
          <w:rFonts w:ascii="Arial" w:hAnsi="Arial" w:cs="Arial"/>
          <w:b/>
          <w:bCs/>
          <w:sz w:val="20"/>
          <w:szCs w:val="20"/>
          <w:lang w:val="en-GB" w:eastAsia="ja-JP"/>
        </w:rPr>
        <w:t>3</w:t>
      </w:r>
      <w:r>
        <w:rPr>
          <w:rFonts w:ascii="Arial" w:hAnsi="Arial" w:cs="Arial"/>
          <w:b/>
          <w:bCs/>
          <w:sz w:val="20"/>
          <w:szCs w:val="20"/>
          <w:lang w:val="en-GB" w:eastAsia="ja-JP"/>
        </w:rPr>
        <w:t xml:space="preserve">: The contention-based random access procedure for A-IOT devices consist of the following steps: </w:t>
      </w:r>
    </w:p>
    <w:p w14:paraId="5093AF54" w14:textId="77777777" w:rsidR="00C7515E" w:rsidRPr="003C5FF9" w:rsidRDefault="00C7515E" w:rsidP="00C7515E">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Step-1: Reader sends a Query command (Msg0) to initiate the Query procedure. </w:t>
      </w:r>
    </w:p>
    <w:p w14:paraId="4CB9FC50" w14:textId="77777777" w:rsidR="00C7515E" w:rsidRDefault="00C7515E" w:rsidP="00C7515E">
      <w:pPr>
        <w:pStyle w:val="ListParagraph"/>
        <w:numPr>
          <w:ilvl w:val="0"/>
          <w:numId w:val="82"/>
        </w:numPr>
        <w:ind w:left="1530"/>
        <w:rPr>
          <w:rFonts w:ascii="Arial" w:hAnsi="Arial" w:cs="Arial"/>
          <w:i/>
          <w:iCs/>
          <w:sz w:val="20"/>
          <w:szCs w:val="20"/>
          <w:lang w:val="en-GB" w:eastAsia="ja-JP"/>
        </w:rPr>
      </w:pPr>
      <w:r w:rsidRPr="003C5FF9">
        <w:rPr>
          <w:rFonts w:ascii="Arial" w:hAnsi="Arial" w:cs="Arial"/>
          <w:i/>
          <w:iCs/>
          <w:sz w:val="20"/>
          <w:szCs w:val="20"/>
          <w:lang w:val="en-GB" w:eastAsia="ja-JP"/>
        </w:rPr>
        <w:t xml:space="preserve">Step-2: </w:t>
      </w:r>
      <w:r>
        <w:rPr>
          <w:rFonts w:ascii="Arial" w:hAnsi="Arial" w:cs="Arial"/>
          <w:i/>
          <w:iCs/>
          <w:sz w:val="20"/>
          <w:szCs w:val="20"/>
          <w:lang w:val="en-GB" w:eastAsia="ja-JP"/>
        </w:rPr>
        <w:t xml:space="preserve">A-IoT device generats a random value ‘RNx’ as Query reponse (Msg1) and report it to NW when slot counter reaches ’0000’. </w:t>
      </w:r>
    </w:p>
    <w:p w14:paraId="161157E4" w14:textId="77777777" w:rsidR="00C7515E" w:rsidRDefault="00C7515E" w:rsidP="00C7515E">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Step-3: Reader transmits a ‘ACK’ command </w:t>
      </w:r>
      <w:r w:rsidRPr="003C5FF9">
        <w:rPr>
          <w:rFonts w:ascii="Arial" w:hAnsi="Arial" w:cs="Arial"/>
          <w:i/>
          <w:iCs/>
          <w:sz w:val="20"/>
          <w:szCs w:val="20"/>
          <w:lang w:val="en-GB" w:eastAsia="ja-JP"/>
        </w:rPr>
        <w:t>indicating the reception of the ‘RN16’</w:t>
      </w:r>
      <w:r>
        <w:rPr>
          <w:rFonts w:ascii="Arial" w:hAnsi="Arial" w:cs="Arial"/>
          <w:i/>
          <w:iCs/>
          <w:sz w:val="20"/>
          <w:szCs w:val="20"/>
          <w:lang w:val="en-GB" w:eastAsia="ja-JP"/>
        </w:rPr>
        <w:t xml:space="preserve">. </w:t>
      </w:r>
    </w:p>
    <w:p w14:paraId="61FE81DB" w14:textId="0BC2C035" w:rsidR="003D3400" w:rsidRPr="00C7515E" w:rsidRDefault="00C7515E" w:rsidP="00C7515E">
      <w:pPr>
        <w:pStyle w:val="ListParagraph"/>
        <w:numPr>
          <w:ilvl w:val="0"/>
          <w:numId w:val="82"/>
        </w:numPr>
        <w:ind w:left="1530"/>
        <w:rPr>
          <w:rFonts w:ascii="Arial" w:hAnsi="Arial" w:cs="Arial"/>
          <w:i/>
          <w:iCs/>
          <w:sz w:val="20"/>
          <w:szCs w:val="20"/>
          <w:lang w:val="en-GB" w:eastAsia="ja-JP"/>
        </w:rPr>
      </w:pPr>
      <w:r>
        <w:rPr>
          <w:rFonts w:ascii="Arial" w:hAnsi="Arial" w:cs="Arial"/>
          <w:i/>
          <w:iCs/>
          <w:sz w:val="20"/>
          <w:szCs w:val="20"/>
          <w:lang w:val="en-GB" w:eastAsia="ja-JP"/>
        </w:rPr>
        <w:t xml:space="preserve">Step-4: </w:t>
      </w:r>
      <w:r w:rsidRPr="003C5FF9">
        <w:rPr>
          <w:rFonts w:ascii="Arial" w:hAnsi="Arial" w:cs="Arial"/>
          <w:i/>
          <w:iCs/>
          <w:sz w:val="20"/>
          <w:szCs w:val="20"/>
          <w:lang w:val="en-GB" w:eastAsia="ja-JP"/>
        </w:rPr>
        <w:t>Tag reports the device-specific ID information e.g.,  EPC/PC etc</w:t>
      </w:r>
      <w:r>
        <w:rPr>
          <w:rFonts w:ascii="Arial" w:hAnsi="Arial" w:cs="Arial"/>
          <w:i/>
          <w:iCs/>
          <w:sz w:val="20"/>
          <w:szCs w:val="20"/>
          <w:lang w:val="en-GB" w:eastAsia="ja-JP"/>
        </w:rPr>
        <w:t xml:space="preserve"> (Msg3)</w:t>
      </w:r>
    </w:p>
    <w:p w14:paraId="26DB5B05" w14:textId="109D4E1E" w:rsidR="00607B69" w:rsidRPr="00AA2156" w:rsidRDefault="00C7515E" w:rsidP="00AA2156">
      <w:pPr>
        <w:spacing w:before="160"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C72EC4">
        <w:rPr>
          <w:rFonts w:ascii="Arial" w:hAnsi="Arial" w:cs="Arial"/>
          <w:b/>
          <w:bCs/>
          <w:sz w:val="20"/>
          <w:szCs w:val="20"/>
        </w:rPr>
        <w:t>4</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0DB36D6E" w14:textId="77777777" w:rsidR="00A543EC" w:rsidRPr="00CE0424" w:rsidRDefault="00A543EC" w:rsidP="00A543EC">
      <w:pPr>
        <w:pStyle w:val="Heading1"/>
      </w:pPr>
      <w:r w:rsidRPr="00CE0424">
        <w:t>References</w:t>
      </w:r>
    </w:p>
    <w:bookmarkStart w:id="2" w:name="_Ref155949857"/>
    <w:bookmarkStart w:id="3" w:name="_Ref110935334"/>
    <w:p w14:paraId="13F2B3A7" w14:textId="04D9B1F8" w:rsidR="00A632CA" w:rsidRPr="00A632CA" w:rsidRDefault="00A632CA" w:rsidP="00A632CA">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2"/>
    </w:p>
    <w:p w14:paraId="713F335F" w14:textId="65A47113" w:rsidR="000F1D03" w:rsidRPr="00296E80" w:rsidRDefault="00BA0193" w:rsidP="00AA2156">
      <w:pPr>
        <w:pStyle w:val="Reference"/>
      </w:pPr>
      <w:r w:rsidRPr="006C372E">
        <w:t>RAN1</w:t>
      </w:r>
      <w:r>
        <w:t xml:space="preserve"> 116 meeting</w:t>
      </w:r>
      <w:r w:rsidRPr="006C372E">
        <w:t xml:space="preserve"> </w:t>
      </w:r>
      <w:r>
        <w:t>Chairman notes</w:t>
      </w:r>
      <w:bookmarkEnd w:id="3"/>
      <w:r>
        <w:t xml:space="preserve"> </w:t>
      </w:r>
    </w:p>
    <w:sectPr w:rsidR="000F1D03" w:rsidRPr="00296E80"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23FD0" w14:textId="77777777" w:rsidR="007922FC" w:rsidRDefault="007922FC">
      <w:r>
        <w:separator/>
      </w:r>
    </w:p>
  </w:endnote>
  <w:endnote w:type="continuationSeparator" w:id="0">
    <w:p w14:paraId="4D9B734E" w14:textId="77777777" w:rsidR="007922FC" w:rsidRDefault="0079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035B" w14:textId="77777777" w:rsidR="007922FC" w:rsidRDefault="007922FC">
      <w:r>
        <w:separator/>
      </w:r>
    </w:p>
  </w:footnote>
  <w:footnote w:type="continuationSeparator" w:id="0">
    <w:p w14:paraId="1CDCD28A" w14:textId="77777777" w:rsidR="007922FC" w:rsidRDefault="00792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9"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8"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1"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3"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63"/>
  </w:num>
  <w:num w:numId="2" w16cid:durableId="775950945">
    <w:abstractNumId w:val="43"/>
  </w:num>
  <w:num w:numId="3" w16cid:durableId="1829443946">
    <w:abstractNumId w:val="12"/>
  </w:num>
  <w:num w:numId="4" w16cid:durableId="774908576">
    <w:abstractNumId w:val="76"/>
  </w:num>
  <w:num w:numId="5" w16cid:durableId="1080978509">
    <w:abstractNumId w:val="11"/>
  </w:num>
  <w:num w:numId="6" w16cid:durableId="1963072101">
    <w:abstractNumId w:val="74"/>
  </w:num>
  <w:num w:numId="7" w16cid:durableId="5251911">
    <w:abstractNumId w:val="53"/>
  </w:num>
  <w:num w:numId="8" w16cid:durableId="468136793">
    <w:abstractNumId w:val="6"/>
  </w:num>
  <w:num w:numId="9" w16cid:durableId="955254518">
    <w:abstractNumId w:val="30"/>
  </w:num>
  <w:num w:numId="10" w16cid:durableId="1102454232">
    <w:abstractNumId w:val="40"/>
  </w:num>
  <w:num w:numId="11" w16cid:durableId="249388093">
    <w:abstractNumId w:val="50"/>
  </w:num>
  <w:num w:numId="12" w16cid:durableId="1617564302">
    <w:abstractNumId w:val="47"/>
  </w:num>
  <w:num w:numId="13" w16cid:durableId="774445314">
    <w:abstractNumId w:val="26"/>
  </w:num>
  <w:num w:numId="14" w16cid:durableId="1478840111">
    <w:abstractNumId w:val="14"/>
  </w:num>
  <w:num w:numId="15" w16cid:durableId="523714013">
    <w:abstractNumId w:val="51"/>
  </w:num>
  <w:num w:numId="16" w16cid:durableId="2131432209">
    <w:abstractNumId w:val="34"/>
  </w:num>
  <w:num w:numId="17" w16cid:durableId="30425370">
    <w:abstractNumId w:val="77"/>
  </w:num>
  <w:num w:numId="18" w16cid:durableId="857357148">
    <w:abstractNumId w:val="65"/>
  </w:num>
  <w:num w:numId="19" w16cid:durableId="1185168470">
    <w:abstractNumId w:val="5"/>
  </w:num>
  <w:num w:numId="20" w16cid:durableId="572620473">
    <w:abstractNumId w:val="16"/>
  </w:num>
  <w:num w:numId="21" w16cid:durableId="1696540518">
    <w:abstractNumId w:val="0"/>
  </w:num>
  <w:num w:numId="22" w16cid:durableId="561990774">
    <w:abstractNumId w:val="61"/>
  </w:num>
  <w:num w:numId="23" w16cid:durableId="1321424776">
    <w:abstractNumId w:val="29"/>
  </w:num>
  <w:num w:numId="24" w16cid:durableId="642588540">
    <w:abstractNumId w:val="25"/>
  </w:num>
  <w:num w:numId="25" w16cid:durableId="227309444">
    <w:abstractNumId w:val="44"/>
  </w:num>
  <w:num w:numId="26" w16cid:durableId="721289497">
    <w:abstractNumId w:val="36"/>
  </w:num>
  <w:num w:numId="27" w16cid:durableId="411045378">
    <w:abstractNumId w:val="24"/>
  </w:num>
  <w:num w:numId="28" w16cid:durableId="1573344447">
    <w:abstractNumId w:val="27"/>
  </w:num>
  <w:num w:numId="29" w16cid:durableId="204371133">
    <w:abstractNumId w:val="35"/>
  </w:num>
  <w:num w:numId="30" w16cid:durableId="402263810">
    <w:abstractNumId w:val="73"/>
  </w:num>
  <w:num w:numId="31" w16cid:durableId="510224783">
    <w:abstractNumId w:val="56"/>
  </w:num>
  <w:num w:numId="32" w16cid:durableId="853501122">
    <w:abstractNumId w:val="52"/>
  </w:num>
  <w:num w:numId="33" w16cid:durableId="1195923195">
    <w:abstractNumId w:val="68"/>
  </w:num>
  <w:num w:numId="34" w16cid:durableId="47609914">
    <w:abstractNumId w:val="22"/>
  </w:num>
  <w:num w:numId="35" w16cid:durableId="1210724604">
    <w:abstractNumId w:val="1"/>
  </w:num>
  <w:num w:numId="36" w16cid:durableId="1607225224">
    <w:abstractNumId w:val="61"/>
  </w:num>
  <w:num w:numId="37" w16cid:durableId="2025937412">
    <w:abstractNumId w:val="42"/>
  </w:num>
  <w:num w:numId="38" w16cid:durableId="1630889743">
    <w:abstractNumId w:val="9"/>
  </w:num>
  <w:num w:numId="39" w16cid:durableId="1112554586">
    <w:abstractNumId w:val="7"/>
  </w:num>
  <w:num w:numId="40" w16cid:durableId="1116800964">
    <w:abstractNumId w:val="58"/>
  </w:num>
  <w:num w:numId="41" w16cid:durableId="1414935705">
    <w:abstractNumId w:val="21"/>
  </w:num>
  <w:num w:numId="42" w16cid:durableId="1080447386">
    <w:abstractNumId w:val="57"/>
  </w:num>
  <w:num w:numId="43" w16cid:durableId="546574422">
    <w:abstractNumId w:val="71"/>
  </w:num>
  <w:num w:numId="44" w16cid:durableId="1402605863">
    <w:abstractNumId w:val="48"/>
  </w:num>
  <w:num w:numId="45" w16cid:durableId="211965784">
    <w:abstractNumId w:val="2"/>
  </w:num>
  <w:num w:numId="46" w16cid:durableId="1434932614">
    <w:abstractNumId w:val="67"/>
  </w:num>
  <w:num w:numId="47" w16cid:durableId="1938824389">
    <w:abstractNumId w:val="54"/>
  </w:num>
  <w:num w:numId="48" w16cid:durableId="1793404194">
    <w:abstractNumId w:val="75"/>
  </w:num>
  <w:num w:numId="49" w16cid:durableId="634218961">
    <w:abstractNumId w:val="32"/>
  </w:num>
  <w:num w:numId="50" w16cid:durableId="2007051856">
    <w:abstractNumId w:val="70"/>
  </w:num>
  <w:num w:numId="51" w16cid:durableId="760024533">
    <w:abstractNumId w:val="8"/>
  </w:num>
  <w:num w:numId="52" w16cid:durableId="2125152585">
    <w:abstractNumId w:val="37"/>
  </w:num>
  <w:num w:numId="53" w16cid:durableId="1076173466">
    <w:abstractNumId w:val="38"/>
  </w:num>
  <w:num w:numId="54" w16cid:durableId="163327848">
    <w:abstractNumId w:val="62"/>
  </w:num>
  <w:num w:numId="55" w16cid:durableId="782114622">
    <w:abstractNumId w:val="4"/>
  </w:num>
  <w:num w:numId="56" w16cid:durableId="1281495851">
    <w:abstractNumId w:val="10"/>
  </w:num>
  <w:num w:numId="57" w16cid:durableId="648246175">
    <w:abstractNumId w:val="64"/>
  </w:num>
  <w:num w:numId="58" w16cid:durableId="1385956235">
    <w:abstractNumId w:val="79"/>
  </w:num>
  <w:num w:numId="59" w16cid:durableId="1299065665">
    <w:abstractNumId w:val="15"/>
  </w:num>
  <w:num w:numId="60" w16cid:durableId="246767062">
    <w:abstractNumId w:val="28"/>
  </w:num>
  <w:num w:numId="61" w16cid:durableId="577256209">
    <w:abstractNumId w:val="18"/>
  </w:num>
  <w:num w:numId="62" w16cid:durableId="747729686">
    <w:abstractNumId w:val="59"/>
  </w:num>
  <w:num w:numId="63" w16cid:durableId="794757033">
    <w:abstractNumId w:val="49"/>
  </w:num>
  <w:num w:numId="64" w16cid:durableId="2066827791">
    <w:abstractNumId w:val="13"/>
  </w:num>
  <w:num w:numId="65" w16cid:durableId="1260678967">
    <w:abstractNumId w:val="69"/>
  </w:num>
  <w:num w:numId="66" w16cid:durableId="1167943760">
    <w:abstractNumId w:val="72"/>
  </w:num>
  <w:num w:numId="67" w16cid:durableId="1010912697">
    <w:abstractNumId w:val="80"/>
  </w:num>
  <w:num w:numId="68" w16cid:durableId="712579038">
    <w:abstractNumId w:val="33"/>
  </w:num>
  <w:num w:numId="69" w16cid:durableId="1027095537">
    <w:abstractNumId w:val="55"/>
  </w:num>
  <w:num w:numId="70" w16cid:durableId="1360546089">
    <w:abstractNumId w:val="78"/>
  </w:num>
  <w:num w:numId="71" w16cid:durableId="1103650637">
    <w:abstractNumId w:val="41"/>
  </w:num>
  <w:num w:numId="72" w16cid:durableId="357243529">
    <w:abstractNumId w:val="31"/>
  </w:num>
  <w:num w:numId="73" w16cid:durableId="499269660">
    <w:abstractNumId w:val="23"/>
  </w:num>
  <w:num w:numId="74" w16cid:durableId="154534740">
    <w:abstractNumId w:val="20"/>
  </w:num>
  <w:num w:numId="75" w16cid:durableId="147526534">
    <w:abstractNumId w:val="66"/>
  </w:num>
  <w:num w:numId="76" w16cid:durableId="247808288">
    <w:abstractNumId w:val="45"/>
  </w:num>
  <w:num w:numId="77" w16cid:durableId="1037194751">
    <w:abstractNumId w:val="60"/>
  </w:num>
  <w:num w:numId="78" w16cid:durableId="1703357376">
    <w:abstractNumId w:val="17"/>
  </w:num>
  <w:num w:numId="79" w16cid:durableId="1777752755">
    <w:abstractNumId w:val="46"/>
  </w:num>
  <w:num w:numId="80" w16cid:durableId="1150710189">
    <w:abstractNumId w:val="39"/>
  </w:num>
  <w:num w:numId="81" w16cid:durableId="586960604">
    <w:abstractNumId w:val="3"/>
  </w:num>
  <w:num w:numId="82" w16cid:durableId="50082632">
    <w:abstractNumId w:val="81"/>
  </w:num>
  <w:num w:numId="83" w16cid:durableId="71049694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2134"/>
    <w:rsid w:val="007F307F"/>
    <w:rsid w:val="007F437D"/>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2CA"/>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2EC4"/>
    <w:rsid w:val="00C73521"/>
    <w:rsid w:val="00C7515E"/>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11413</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747</cp:revision>
  <cp:lastPrinted>2022-11-05T23:23:00Z</cp:lastPrinted>
  <dcterms:created xsi:type="dcterms:W3CDTF">2020-08-06T15:21:00Z</dcterms:created>
  <dcterms:modified xsi:type="dcterms:W3CDTF">2024-05-10T01:23:00Z</dcterms:modified>
</cp:coreProperties>
</file>