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pPr>
        <w:pStyle w:val="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afc"/>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afc"/>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c"/>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c"/>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c"/>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mtk</w:t>
            </w:r>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bl>
    <w:p w14:paraId="60302931" w14:textId="77624805"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lastRenderedPageBreak/>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afc"/>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c"/>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afc"/>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c"/>
              <w:rPr>
                <w:rFonts w:asciiTheme="minorHAnsi" w:eastAsia="Batang" w:hAnsiTheme="minorHAnsi" w:cstheme="minorHAnsi"/>
                <w:b/>
                <w:lang w:val="en-GB"/>
              </w:rPr>
            </w:pPr>
            <w:r w:rsidRPr="001B765C">
              <w:rPr>
                <w:rFonts w:asciiTheme="minorHAnsi" w:eastAsia="Batang" w:hAnsiTheme="minorHAnsi" w:cstheme="minorHAnsi"/>
                <w:b/>
                <w:color w:val="FF0000"/>
                <w:lang w:val="en-GB"/>
              </w:rPr>
              <w:lastRenderedPageBreak/>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afc"/>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afc"/>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OK with samsung’s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lastRenderedPageBreak/>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912517">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afc"/>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c"/>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905ACC">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l identification. It is kind of utilizing assistance information to keep  consistency between training and inference. It can be applied to the functionality identification case and model identification case. And most of all, there is no model ID determination step in this machanism.</w:t>
            </w:r>
          </w:p>
          <w:p w14:paraId="63414994" w14:textId="30B2EA4A" w:rsidR="0010285E" w:rsidRP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9E3479">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905ACC">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905ACC">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afc"/>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afc"/>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afc"/>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c"/>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lastRenderedPageBreak/>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285C9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afc"/>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afc"/>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285C9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285C9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2D222E30" w14:textId="77777777" w:rsidR="00230876" w:rsidRPr="0036788A" w:rsidRDefault="00230876" w:rsidP="00230876">
            <w:pPr>
              <w:pStyle w:val="afc"/>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afc"/>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afc"/>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bl>
    <w:p w14:paraId="465056F7" w14:textId="72D1319F" w:rsidR="00792A1E" w:rsidRPr="00CB58B7"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c"/>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c"/>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c"/>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c"/>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lastRenderedPageBreak/>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c"/>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afc"/>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lastRenderedPageBreak/>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SetA/SetB, beam </w:t>
            </w:r>
            <w:r w:rsidRPr="00A97BC8">
              <w:rPr>
                <w:rFonts w:ascii="Times New Roman" w:hAnsi="Times New Roman"/>
                <w:sz w:val="22"/>
                <w:szCs w:val="22"/>
                <w:lang w:eastAsia="zh-CN"/>
              </w:rPr>
              <w:t>downtilt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230876" w:rsidRPr="001E6B1B" w14:paraId="446823AC" w14:textId="77777777" w:rsidTr="00905ACC">
        <w:tc>
          <w:tcPr>
            <w:tcW w:w="1838" w:type="dxa"/>
          </w:tcPr>
          <w:p w14:paraId="38D32C04" w14:textId="77777777" w:rsidR="00230876" w:rsidRPr="001E6B1B" w:rsidRDefault="00230876" w:rsidP="00230876">
            <w:pPr>
              <w:rPr>
                <w:rFonts w:asciiTheme="minorHAnsi" w:eastAsia="Malgun Gothic" w:hAnsiTheme="minorHAnsi" w:cstheme="minorHAnsi"/>
                <w:lang w:eastAsia="ko-KR"/>
              </w:rPr>
            </w:pPr>
          </w:p>
        </w:tc>
        <w:tc>
          <w:tcPr>
            <w:tcW w:w="7224" w:type="dxa"/>
          </w:tcPr>
          <w:p w14:paraId="184C5BBD" w14:textId="77777777" w:rsidR="00230876" w:rsidRPr="001E6B1B" w:rsidRDefault="00230876" w:rsidP="00230876">
            <w:pPr>
              <w:rPr>
                <w:rFonts w:asciiTheme="minorHAnsi" w:eastAsia="Malgun Gothic" w:hAnsiTheme="minorHAnsi" w:cstheme="minorHAnsi"/>
                <w:lang w:eastAsia="ko-KR"/>
              </w:rPr>
            </w:pPr>
          </w:p>
        </w:tc>
      </w:tr>
      <w:tr w:rsidR="00230876" w:rsidRPr="001E6B1B" w14:paraId="0C66C4A0" w14:textId="77777777" w:rsidTr="00905ACC">
        <w:tc>
          <w:tcPr>
            <w:tcW w:w="1838" w:type="dxa"/>
          </w:tcPr>
          <w:p w14:paraId="6A2D584C" w14:textId="77777777" w:rsidR="00230876" w:rsidRPr="001E6B1B" w:rsidRDefault="00230876" w:rsidP="00230876">
            <w:pPr>
              <w:rPr>
                <w:rFonts w:asciiTheme="minorHAnsi" w:eastAsia="Malgun Gothic" w:hAnsiTheme="minorHAnsi" w:cstheme="minorHAnsi"/>
                <w:lang w:eastAsia="ko-KR"/>
              </w:rPr>
            </w:pPr>
          </w:p>
        </w:tc>
        <w:tc>
          <w:tcPr>
            <w:tcW w:w="7224" w:type="dxa"/>
          </w:tcPr>
          <w:p w14:paraId="68A13B24" w14:textId="77777777" w:rsidR="00230876" w:rsidRPr="001E6B1B" w:rsidRDefault="00230876" w:rsidP="00230876">
            <w:pPr>
              <w:rPr>
                <w:rFonts w:asciiTheme="minorHAnsi" w:eastAsia="Malgun Gothic" w:hAnsiTheme="minorHAnsi" w:cstheme="minorHAnsi"/>
                <w:lang w:eastAsia="ko-KR"/>
              </w:rPr>
            </w:pP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a"/>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Can support different AI model with different capabilities (e.g., </w:t>
            </w:r>
            <w:r w:rsidRPr="001E6B1B">
              <w:rPr>
                <w:rFonts w:asciiTheme="minorHAnsi" w:hAnsiTheme="minorHAnsi" w:cstheme="minorHAnsi"/>
                <w:b/>
                <w:bCs/>
              </w:rPr>
              <w:lastRenderedPageBreak/>
              <w:t>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UE trains AI models with different </w:t>
            </w:r>
            <w:r w:rsidRPr="001E6B1B">
              <w:rPr>
                <w:rFonts w:asciiTheme="minorHAnsi" w:hAnsiTheme="minorHAnsi" w:cstheme="minorHAnsi"/>
                <w:b/>
                <w:bCs/>
              </w:rPr>
              <w:lastRenderedPageBreak/>
              <w:t>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UE trains AI models with different </w:t>
            </w:r>
            <w:r w:rsidRPr="001E6B1B">
              <w:rPr>
                <w:rFonts w:asciiTheme="minorHAnsi" w:hAnsiTheme="minorHAnsi" w:cstheme="minorHAnsi"/>
                <w:b/>
                <w:bCs/>
              </w:rPr>
              <w:lastRenderedPageBreak/>
              <w:t>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NW transfers to UE the AI models </w:t>
            </w:r>
            <w:r w:rsidRPr="001E6B1B">
              <w:rPr>
                <w:rFonts w:asciiTheme="minorHAnsi" w:hAnsiTheme="minorHAnsi" w:cstheme="minorHAnsi"/>
                <w:b/>
                <w:bCs/>
              </w:rPr>
              <w:lastRenderedPageBreak/>
              <w:t>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the reference models with different </w:t>
            </w:r>
            <w:r w:rsidRPr="001E6B1B">
              <w:rPr>
                <w:rFonts w:asciiTheme="minorHAnsi" w:hAnsiTheme="minorHAnsi" w:cstheme="minorHAnsi"/>
                <w:b/>
                <w:bCs/>
              </w:rPr>
              <w:lastRenderedPageBreak/>
              <w:t>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afa"/>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c"/>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a"/>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a"/>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Can ensure consistency between training and inference (i.e., network </w:t>
                  </w:r>
                  <w:r w:rsidRPr="001E6B1B">
                    <w:rPr>
                      <w:rFonts w:asciiTheme="minorHAnsi" w:hAnsiTheme="minorHAnsi" w:cstheme="minorHAnsi"/>
                      <w:b/>
                      <w:bCs/>
                    </w:rPr>
                    <w:lastRenderedPageBreak/>
                    <w:t>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a"/>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 xml:space="preserve">Y (if UE trains AI models with different capabilities based on the same data collection related configuration(s) </w:t>
                  </w:r>
                  <w:r w:rsidRPr="008C6E77">
                    <w:rPr>
                      <w:rFonts w:asciiTheme="minorHAnsi" w:hAnsiTheme="minorHAnsi" w:cstheme="minorHAnsi"/>
                      <w:bCs/>
                      <w:sz w:val="16"/>
                      <w:szCs w:val="16"/>
                    </w:rPr>
                    <w:lastRenderedPageBreak/>
                    <w:t>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lastRenderedPageBreak/>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a2"/>
              <w:rPr>
                <w:rFonts w:asciiTheme="minorHAnsi" w:hAnsiTheme="minorHAnsi" w:cstheme="minorHAnsi"/>
              </w:rPr>
            </w:pPr>
            <w:r>
              <w:rPr>
                <w:rFonts w:asciiTheme="minorHAnsi" w:hAnsiTheme="minorHAnsi" w:cstheme="minorHAnsi"/>
              </w:rPr>
              <w:t xml:space="preserve">The sentence </w:t>
            </w:r>
            <w:r w:rsidRPr="00C73E8E">
              <w:rPr>
                <w:rFonts w:asciiTheme="minorHAnsi" w:hAnsiTheme="minorHAnsi" w:cstheme="minorHAnsi"/>
              </w:rPr>
              <w:t xml:space="preserve"> </w:t>
            </w:r>
            <w:r>
              <w:rPr>
                <w:rFonts w:asciiTheme="minorHAnsi" w:hAnsiTheme="minorHAnsi" w:cstheme="minorHAnsi"/>
              </w:rPr>
              <w:t>“</w:t>
            </w:r>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a2"/>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a"/>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MI-Option 1 can be used for UE-sided model</w:t>
                  </w:r>
                </w:p>
                <w:p w14:paraId="54DA0480"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c"/>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a2"/>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a2"/>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(including the necessity) for the use case of CSI prediction  </w:t>
            </w:r>
          </w:p>
          <w:p w14:paraId="59886E38" w14:textId="77777777" w:rsidR="00C96BAC" w:rsidRPr="001E6B1B"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afc"/>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a2"/>
              <w:rPr>
                <w:rFonts w:asciiTheme="minorHAnsi" w:hAnsiTheme="minorHAnsi" w:cstheme="minorHAnsi"/>
                <w:lang w:val="en-GB"/>
              </w:rPr>
            </w:pPr>
          </w:p>
        </w:tc>
      </w:tr>
    </w:tbl>
    <w:p w14:paraId="054C76B8" w14:textId="77777777" w:rsidR="00297867" w:rsidRPr="001E6B1B" w:rsidRDefault="00297867" w:rsidP="00297867">
      <w:pPr>
        <w:pStyle w:val="a2"/>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c"/>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lastRenderedPageBreak/>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afc"/>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lastRenderedPageBreak/>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lastRenderedPageBreak/>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afe"/>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afe"/>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230876" w:rsidRPr="001E6B1B" w14:paraId="371D7AF2" w14:textId="77777777" w:rsidTr="007C5FC0">
        <w:tc>
          <w:tcPr>
            <w:tcW w:w="1843" w:type="dxa"/>
          </w:tcPr>
          <w:p w14:paraId="68538B19" w14:textId="6E3099AC" w:rsidR="00230876" w:rsidRPr="001E6B1B" w:rsidRDefault="00230876" w:rsidP="00230876">
            <w:pPr>
              <w:rPr>
                <w:rFonts w:asciiTheme="minorHAnsi" w:eastAsia="Yu Mincho" w:hAnsiTheme="minorHAnsi" w:cstheme="minorHAnsi"/>
                <w:lang w:eastAsia="ja-JP"/>
              </w:rPr>
            </w:pPr>
          </w:p>
        </w:tc>
        <w:tc>
          <w:tcPr>
            <w:tcW w:w="7224" w:type="dxa"/>
            <w:gridSpan w:val="2"/>
          </w:tcPr>
          <w:p w14:paraId="680C336B" w14:textId="0A18A2F7" w:rsidR="00230876" w:rsidRPr="001E6B1B" w:rsidRDefault="00230876" w:rsidP="00230876">
            <w:pPr>
              <w:rPr>
                <w:rFonts w:asciiTheme="minorHAnsi" w:eastAsia="Yu Mincho" w:hAnsiTheme="minorHAnsi" w:cstheme="minorHAnsi"/>
                <w:lang w:eastAsia="ja-JP"/>
              </w:rPr>
            </w:pPr>
          </w:p>
        </w:tc>
      </w:tr>
      <w:tr w:rsidR="00230876" w:rsidRPr="001E6B1B" w14:paraId="03D57D73" w14:textId="77777777" w:rsidTr="007C5FC0">
        <w:tc>
          <w:tcPr>
            <w:tcW w:w="1843" w:type="dxa"/>
          </w:tcPr>
          <w:p w14:paraId="459AABEA" w14:textId="41CA6E35" w:rsidR="00230876" w:rsidRPr="001E6B1B" w:rsidRDefault="00230876" w:rsidP="00230876">
            <w:pPr>
              <w:rPr>
                <w:rFonts w:asciiTheme="minorHAnsi" w:eastAsia="Yu Mincho" w:hAnsiTheme="minorHAnsi" w:cstheme="minorHAnsi"/>
              </w:rPr>
            </w:pPr>
          </w:p>
        </w:tc>
        <w:tc>
          <w:tcPr>
            <w:tcW w:w="7224" w:type="dxa"/>
            <w:gridSpan w:val="2"/>
          </w:tcPr>
          <w:p w14:paraId="59C208B9" w14:textId="59844150" w:rsidR="00230876" w:rsidRPr="001E6B1B" w:rsidRDefault="00230876" w:rsidP="00230876">
            <w:pPr>
              <w:rPr>
                <w:rFonts w:asciiTheme="minorHAnsi" w:hAnsiTheme="minorHAnsi" w:cstheme="minorHAnsi"/>
              </w:rPr>
            </w:pPr>
          </w:p>
        </w:tc>
      </w:tr>
      <w:tr w:rsidR="00230876" w:rsidRPr="001E6B1B" w14:paraId="0E2A1DA7" w14:textId="77777777" w:rsidTr="007C5FC0">
        <w:tc>
          <w:tcPr>
            <w:tcW w:w="1843" w:type="dxa"/>
          </w:tcPr>
          <w:p w14:paraId="0D840A1E" w14:textId="34CCA88E" w:rsidR="00230876" w:rsidRPr="001E6B1B" w:rsidRDefault="00230876" w:rsidP="00230876">
            <w:pPr>
              <w:rPr>
                <w:rFonts w:asciiTheme="minorHAnsi" w:eastAsia="Yu Mincho" w:hAnsiTheme="minorHAnsi" w:cstheme="minorHAnsi"/>
              </w:rPr>
            </w:pPr>
          </w:p>
        </w:tc>
        <w:tc>
          <w:tcPr>
            <w:tcW w:w="7224" w:type="dxa"/>
            <w:gridSpan w:val="2"/>
          </w:tcPr>
          <w:p w14:paraId="1D84E3F6" w14:textId="0DF2C06C" w:rsidR="00230876" w:rsidRPr="001E6B1B" w:rsidRDefault="00230876" w:rsidP="00230876">
            <w:pPr>
              <w:rPr>
                <w:rFonts w:asciiTheme="minorHAnsi" w:hAnsiTheme="minorHAnsi" w:cstheme="minorHAnsi"/>
              </w:rPr>
            </w:pPr>
          </w:p>
        </w:tc>
      </w:tr>
      <w:tr w:rsidR="00230876" w:rsidRPr="001E6B1B" w14:paraId="43275AFD" w14:textId="77777777" w:rsidTr="007C5FC0">
        <w:tc>
          <w:tcPr>
            <w:tcW w:w="1843" w:type="dxa"/>
          </w:tcPr>
          <w:p w14:paraId="6EEC10B7" w14:textId="6BDEEF3E"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714A1C2A" w14:textId="2A6B27B4" w:rsidR="00230876" w:rsidRPr="001E6B1B" w:rsidRDefault="00230876" w:rsidP="00230876">
            <w:pPr>
              <w:rPr>
                <w:rFonts w:asciiTheme="minorHAnsi" w:eastAsiaTheme="minorEastAsia" w:hAnsiTheme="minorHAnsi" w:cstheme="minorHAnsi"/>
                <w:lang w:eastAsia="zh-CN"/>
              </w:rPr>
            </w:pPr>
          </w:p>
        </w:tc>
      </w:tr>
      <w:tr w:rsidR="00230876" w:rsidRPr="001E6B1B" w14:paraId="0A1BB397" w14:textId="77777777" w:rsidTr="007C5FC0">
        <w:tc>
          <w:tcPr>
            <w:tcW w:w="1843" w:type="dxa"/>
          </w:tcPr>
          <w:p w14:paraId="2BF0E89C" w14:textId="579DFE37" w:rsidR="00230876" w:rsidRPr="001E6B1B" w:rsidRDefault="00230876" w:rsidP="00230876">
            <w:pPr>
              <w:rPr>
                <w:rFonts w:asciiTheme="minorHAnsi" w:eastAsia="Yu Mincho" w:hAnsiTheme="minorHAnsi" w:cstheme="minorHAnsi"/>
              </w:rPr>
            </w:pPr>
          </w:p>
        </w:tc>
        <w:tc>
          <w:tcPr>
            <w:tcW w:w="7224" w:type="dxa"/>
            <w:gridSpan w:val="2"/>
          </w:tcPr>
          <w:p w14:paraId="2F1D1782" w14:textId="628D08F8" w:rsidR="00230876" w:rsidRPr="001E6B1B" w:rsidRDefault="00230876" w:rsidP="00230876">
            <w:pPr>
              <w:rPr>
                <w:rFonts w:asciiTheme="minorHAnsi" w:hAnsiTheme="minorHAnsi" w:cstheme="minorHAnsi"/>
              </w:rPr>
            </w:pPr>
          </w:p>
        </w:tc>
      </w:tr>
      <w:tr w:rsidR="00230876" w:rsidRPr="001E6B1B" w14:paraId="5A4E7FA9" w14:textId="77777777" w:rsidTr="007C5FC0">
        <w:tc>
          <w:tcPr>
            <w:tcW w:w="1843" w:type="dxa"/>
          </w:tcPr>
          <w:p w14:paraId="374F8EAE" w14:textId="05702BDA" w:rsidR="00230876" w:rsidRPr="001E6B1B" w:rsidRDefault="00230876" w:rsidP="00230876">
            <w:pPr>
              <w:rPr>
                <w:rFonts w:asciiTheme="minorHAnsi" w:eastAsia="Yu Mincho" w:hAnsiTheme="minorHAnsi" w:cstheme="minorHAnsi"/>
              </w:rPr>
            </w:pPr>
          </w:p>
        </w:tc>
        <w:tc>
          <w:tcPr>
            <w:tcW w:w="7224" w:type="dxa"/>
            <w:gridSpan w:val="2"/>
          </w:tcPr>
          <w:p w14:paraId="02218095" w14:textId="632E61F0" w:rsidR="00230876" w:rsidRPr="001E6B1B" w:rsidRDefault="00230876" w:rsidP="00230876">
            <w:pPr>
              <w:rPr>
                <w:rFonts w:asciiTheme="minorHAnsi" w:hAnsiTheme="minorHAnsi" w:cstheme="minorHAnsi"/>
              </w:rPr>
            </w:pPr>
          </w:p>
        </w:tc>
      </w:tr>
      <w:tr w:rsidR="00230876" w:rsidRPr="001E6B1B" w14:paraId="242BCDAB" w14:textId="77777777" w:rsidTr="007C5FC0">
        <w:tc>
          <w:tcPr>
            <w:tcW w:w="1843" w:type="dxa"/>
          </w:tcPr>
          <w:p w14:paraId="22413C6F" w14:textId="60DC5BDA" w:rsidR="00230876" w:rsidRPr="001E6B1B" w:rsidRDefault="00230876" w:rsidP="00230876">
            <w:pPr>
              <w:rPr>
                <w:rFonts w:asciiTheme="minorHAnsi" w:eastAsia="Yu Mincho" w:hAnsiTheme="minorHAnsi" w:cstheme="minorHAnsi"/>
              </w:rPr>
            </w:pPr>
          </w:p>
        </w:tc>
        <w:tc>
          <w:tcPr>
            <w:tcW w:w="7224" w:type="dxa"/>
            <w:gridSpan w:val="2"/>
          </w:tcPr>
          <w:p w14:paraId="3BB83090" w14:textId="3B4F00BE" w:rsidR="00230876" w:rsidRPr="001E6B1B" w:rsidRDefault="00230876" w:rsidP="00230876">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lastRenderedPageBreak/>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230876" w:rsidRPr="001E6B1B" w14:paraId="2B84BF64" w14:textId="77777777" w:rsidTr="00905ACC">
        <w:tc>
          <w:tcPr>
            <w:tcW w:w="1843" w:type="dxa"/>
          </w:tcPr>
          <w:p w14:paraId="2124B734" w14:textId="77777777" w:rsidR="00230876" w:rsidRPr="001E6B1B" w:rsidRDefault="00230876" w:rsidP="00230876">
            <w:pPr>
              <w:rPr>
                <w:rFonts w:asciiTheme="minorHAnsi" w:eastAsia="Yu Mincho" w:hAnsiTheme="minorHAnsi" w:cstheme="minorHAnsi"/>
              </w:rPr>
            </w:pPr>
          </w:p>
        </w:tc>
        <w:tc>
          <w:tcPr>
            <w:tcW w:w="7224" w:type="dxa"/>
          </w:tcPr>
          <w:p w14:paraId="18951CF6" w14:textId="77777777" w:rsidR="00230876" w:rsidRPr="001E6B1B" w:rsidRDefault="00230876" w:rsidP="00230876">
            <w:pPr>
              <w:rPr>
                <w:rFonts w:asciiTheme="minorHAnsi" w:hAnsiTheme="minorHAnsi" w:cstheme="minorHAnsi"/>
              </w:rPr>
            </w:pPr>
          </w:p>
        </w:tc>
      </w:tr>
      <w:tr w:rsidR="00230876" w:rsidRPr="001E6B1B" w14:paraId="197852B7" w14:textId="77777777" w:rsidTr="00905ACC">
        <w:tc>
          <w:tcPr>
            <w:tcW w:w="1843" w:type="dxa"/>
          </w:tcPr>
          <w:p w14:paraId="1EAF37BF" w14:textId="77777777" w:rsidR="00230876" w:rsidRPr="001E6B1B" w:rsidRDefault="00230876" w:rsidP="00230876">
            <w:pPr>
              <w:rPr>
                <w:rFonts w:asciiTheme="minorHAnsi" w:eastAsia="Yu Mincho" w:hAnsiTheme="minorHAnsi" w:cstheme="minorHAnsi"/>
              </w:rPr>
            </w:pPr>
          </w:p>
        </w:tc>
        <w:tc>
          <w:tcPr>
            <w:tcW w:w="7224" w:type="dxa"/>
          </w:tcPr>
          <w:p w14:paraId="42FA5AC0" w14:textId="77777777" w:rsidR="00230876" w:rsidRPr="001E6B1B" w:rsidRDefault="00230876" w:rsidP="00230876">
            <w:pPr>
              <w:rPr>
                <w:rFonts w:asciiTheme="minorHAnsi" w:hAnsiTheme="minorHAnsi" w:cstheme="minorHAnsi"/>
              </w:rPr>
            </w:pPr>
          </w:p>
        </w:tc>
      </w:tr>
      <w:tr w:rsidR="00230876" w:rsidRPr="001E6B1B" w14:paraId="5A327E97" w14:textId="77777777" w:rsidTr="00905ACC">
        <w:tc>
          <w:tcPr>
            <w:tcW w:w="1843" w:type="dxa"/>
          </w:tcPr>
          <w:p w14:paraId="3809FD97" w14:textId="77777777" w:rsidR="00230876" w:rsidRPr="001E6B1B" w:rsidRDefault="00230876" w:rsidP="00230876">
            <w:pPr>
              <w:rPr>
                <w:rFonts w:asciiTheme="minorHAnsi" w:eastAsiaTheme="minorEastAsia" w:hAnsiTheme="minorHAnsi" w:cstheme="minorHAnsi"/>
                <w:lang w:eastAsia="zh-CN"/>
              </w:rPr>
            </w:pPr>
          </w:p>
        </w:tc>
        <w:tc>
          <w:tcPr>
            <w:tcW w:w="7224" w:type="dxa"/>
          </w:tcPr>
          <w:p w14:paraId="72524BCA"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6CE5C33" w14:textId="77777777" w:rsidTr="00905ACC">
        <w:tc>
          <w:tcPr>
            <w:tcW w:w="1843" w:type="dxa"/>
          </w:tcPr>
          <w:p w14:paraId="5E2F4A95" w14:textId="77777777" w:rsidR="00230876" w:rsidRPr="001E6B1B" w:rsidRDefault="00230876" w:rsidP="00230876">
            <w:pPr>
              <w:rPr>
                <w:rFonts w:asciiTheme="minorHAnsi" w:eastAsia="Yu Mincho" w:hAnsiTheme="minorHAnsi" w:cstheme="minorHAnsi"/>
              </w:rPr>
            </w:pPr>
          </w:p>
        </w:tc>
        <w:tc>
          <w:tcPr>
            <w:tcW w:w="7224" w:type="dxa"/>
          </w:tcPr>
          <w:p w14:paraId="574D2D44" w14:textId="77777777" w:rsidR="00230876" w:rsidRPr="001E6B1B" w:rsidRDefault="00230876" w:rsidP="00230876">
            <w:pPr>
              <w:rPr>
                <w:rFonts w:asciiTheme="minorHAnsi" w:hAnsiTheme="minorHAnsi" w:cstheme="minorHAnsi"/>
              </w:rPr>
            </w:pPr>
          </w:p>
        </w:tc>
      </w:tr>
      <w:tr w:rsidR="00230876" w:rsidRPr="001E6B1B" w14:paraId="42541185" w14:textId="77777777" w:rsidTr="00905ACC">
        <w:tc>
          <w:tcPr>
            <w:tcW w:w="1843" w:type="dxa"/>
          </w:tcPr>
          <w:p w14:paraId="75B3E9D7" w14:textId="77777777" w:rsidR="00230876" w:rsidRPr="001E6B1B" w:rsidRDefault="00230876" w:rsidP="00230876">
            <w:pPr>
              <w:rPr>
                <w:rFonts w:asciiTheme="minorHAnsi" w:eastAsia="Yu Mincho" w:hAnsiTheme="minorHAnsi" w:cstheme="minorHAnsi"/>
              </w:rPr>
            </w:pPr>
          </w:p>
        </w:tc>
        <w:tc>
          <w:tcPr>
            <w:tcW w:w="7224" w:type="dxa"/>
          </w:tcPr>
          <w:p w14:paraId="121ECABB" w14:textId="77777777" w:rsidR="00230876" w:rsidRPr="001E6B1B" w:rsidRDefault="00230876" w:rsidP="00230876">
            <w:pPr>
              <w:rPr>
                <w:rFonts w:asciiTheme="minorHAnsi" w:hAnsiTheme="minorHAnsi" w:cstheme="minorHAnsi"/>
              </w:rPr>
            </w:pPr>
          </w:p>
        </w:tc>
      </w:tr>
      <w:tr w:rsidR="00230876" w:rsidRPr="001E6B1B" w14:paraId="276D71E3" w14:textId="77777777" w:rsidTr="00905ACC">
        <w:tc>
          <w:tcPr>
            <w:tcW w:w="1843" w:type="dxa"/>
          </w:tcPr>
          <w:p w14:paraId="2E30EDE4" w14:textId="77777777" w:rsidR="00230876" w:rsidRPr="001E6B1B" w:rsidRDefault="00230876" w:rsidP="00230876">
            <w:pPr>
              <w:rPr>
                <w:rFonts w:asciiTheme="minorHAnsi" w:eastAsia="Yu Mincho" w:hAnsiTheme="minorHAnsi" w:cstheme="minorHAnsi"/>
              </w:rPr>
            </w:pPr>
          </w:p>
        </w:tc>
        <w:tc>
          <w:tcPr>
            <w:tcW w:w="7224" w:type="dxa"/>
          </w:tcPr>
          <w:p w14:paraId="2622FDC0" w14:textId="77777777" w:rsidR="00230876" w:rsidRPr="001E6B1B" w:rsidRDefault="00230876" w:rsidP="00230876">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c"/>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230876" w:rsidRPr="001E6B1B" w14:paraId="4A030BA6" w14:textId="77777777" w:rsidTr="00905ACC">
        <w:tc>
          <w:tcPr>
            <w:tcW w:w="1843" w:type="dxa"/>
          </w:tcPr>
          <w:p w14:paraId="182CEB2C" w14:textId="77777777" w:rsidR="00230876" w:rsidRPr="001E6B1B" w:rsidRDefault="00230876" w:rsidP="00230876">
            <w:pPr>
              <w:rPr>
                <w:rFonts w:asciiTheme="minorHAnsi" w:eastAsiaTheme="minorEastAsia" w:hAnsiTheme="minorHAnsi" w:cstheme="minorHAnsi"/>
              </w:rPr>
            </w:pPr>
          </w:p>
        </w:tc>
        <w:tc>
          <w:tcPr>
            <w:tcW w:w="7224" w:type="dxa"/>
          </w:tcPr>
          <w:p w14:paraId="0E46B7BA" w14:textId="77777777" w:rsidR="00230876" w:rsidRPr="001E6B1B" w:rsidRDefault="00230876" w:rsidP="00230876">
            <w:pPr>
              <w:rPr>
                <w:rFonts w:asciiTheme="minorHAnsi" w:eastAsiaTheme="minorEastAsia" w:hAnsiTheme="minorHAnsi" w:cstheme="minorHAnsi"/>
              </w:rPr>
            </w:pPr>
          </w:p>
        </w:tc>
      </w:tr>
      <w:tr w:rsidR="00230876" w:rsidRPr="001E6B1B" w14:paraId="658FDB6B" w14:textId="77777777" w:rsidTr="00905ACC">
        <w:tc>
          <w:tcPr>
            <w:tcW w:w="1843" w:type="dxa"/>
          </w:tcPr>
          <w:p w14:paraId="71E2B82B" w14:textId="77777777" w:rsidR="00230876" w:rsidRPr="001E6B1B" w:rsidRDefault="00230876" w:rsidP="00230876">
            <w:pPr>
              <w:rPr>
                <w:rFonts w:asciiTheme="minorHAnsi" w:eastAsia="Yu Mincho" w:hAnsiTheme="minorHAnsi" w:cstheme="minorHAnsi"/>
                <w:lang w:eastAsia="ja-JP"/>
              </w:rPr>
            </w:pPr>
          </w:p>
        </w:tc>
        <w:tc>
          <w:tcPr>
            <w:tcW w:w="7224" w:type="dxa"/>
          </w:tcPr>
          <w:p w14:paraId="21C033CC" w14:textId="77777777" w:rsidR="00230876" w:rsidRPr="001E6B1B" w:rsidRDefault="00230876" w:rsidP="00230876">
            <w:pPr>
              <w:rPr>
                <w:rFonts w:asciiTheme="minorHAnsi" w:hAnsiTheme="minorHAnsi" w:cstheme="minorHAnsi"/>
              </w:rPr>
            </w:pPr>
          </w:p>
        </w:tc>
      </w:tr>
      <w:tr w:rsidR="00230876" w:rsidRPr="001E6B1B" w14:paraId="5E7972AD" w14:textId="77777777" w:rsidTr="00905ACC">
        <w:tc>
          <w:tcPr>
            <w:tcW w:w="1843" w:type="dxa"/>
          </w:tcPr>
          <w:p w14:paraId="5AE18E8E" w14:textId="77777777" w:rsidR="00230876" w:rsidRPr="001E6B1B" w:rsidRDefault="00230876" w:rsidP="00230876">
            <w:pPr>
              <w:rPr>
                <w:rFonts w:asciiTheme="minorHAnsi" w:eastAsia="Yu Mincho" w:hAnsiTheme="minorHAnsi" w:cstheme="minorHAnsi"/>
                <w:lang w:eastAsia="ja-JP"/>
              </w:rPr>
            </w:pPr>
          </w:p>
        </w:tc>
        <w:tc>
          <w:tcPr>
            <w:tcW w:w="7224" w:type="dxa"/>
          </w:tcPr>
          <w:p w14:paraId="1A26D300" w14:textId="77777777" w:rsidR="00230876" w:rsidRPr="001E6B1B" w:rsidRDefault="00230876" w:rsidP="00230876">
            <w:pPr>
              <w:rPr>
                <w:rFonts w:asciiTheme="minorHAnsi" w:eastAsia="Yu Mincho" w:hAnsiTheme="minorHAnsi" w:cstheme="minorHAnsi"/>
                <w:lang w:eastAsia="ja-JP"/>
              </w:rPr>
            </w:pPr>
          </w:p>
        </w:tc>
      </w:tr>
      <w:tr w:rsidR="00230876" w:rsidRPr="001E6B1B" w14:paraId="71128179" w14:textId="77777777" w:rsidTr="00905ACC">
        <w:tc>
          <w:tcPr>
            <w:tcW w:w="1843" w:type="dxa"/>
          </w:tcPr>
          <w:p w14:paraId="74314238" w14:textId="77777777" w:rsidR="00230876" w:rsidRPr="001E6B1B" w:rsidRDefault="00230876" w:rsidP="00230876">
            <w:pPr>
              <w:rPr>
                <w:rFonts w:asciiTheme="minorHAnsi" w:eastAsia="Yu Mincho" w:hAnsiTheme="minorHAnsi" w:cstheme="minorHAnsi"/>
              </w:rPr>
            </w:pPr>
          </w:p>
        </w:tc>
        <w:tc>
          <w:tcPr>
            <w:tcW w:w="7224" w:type="dxa"/>
          </w:tcPr>
          <w:p w14:paraId="20C64359" w14:textId="77777777" w:rsidR="00230876" w:rsidRPr="001E6B1B" w:rsidRDefault="00230876" w:rsidP="00230876">
            <w:pPr>
              <w:rPr>
                <w:rFonts w:asciiTheme="minorHAnsi" w:hAnsiTheme="minorHAnsi" w:cstheme="minorHAnsi"/>
              </w:rPr>
            </w:pPr>
          </w:p>
        </w:tc>
      </w:tr>
      <w:tr w:rsidR="00230876" w:rsidRPr="001E6B1B" w14:paraId="03C62FDF" w14:textId="77777777" w:rsidTr="00905ACC">
        <w:tc>
          <w:tcPr>
            <w:tcW w:w="1843" w:type="dxa"/>
          </w:tcPr>
          <w:p w14:paraId="6DFDFE7C" w14:textId="77777777" w:rsidR="00230876" w:rsidRPr="001E6B1B" w:rsidRDefault="00230876" w:rsidP="00230876">
            <w:pPr>
              <w:rPr>
                <w:rFonts w:asciiTheme="minorHAnsi" w:eastAsia="Yu Mincho" w:hAnsiTheme="minorHAnsi" w:cstheme="minorHAnsi"/>
              </w:rPr>
            </w:pPr>
          </w:p>
        </w:tc>
        <w:tc>
          <w:tcPr>
            <w:tcW w:w="7224" w:type="dxa"/>
          </w:tcPr>
          <w:p w14:paraId="4418BAE1" w14:textId="77777777" w:rsidR="00230876" w:rsidRPr="001E6B1B" w:rsidRDefault="00230876" w:rsidP="00230876">
            <w:pPr>
              <w:rPr>
                <w:rFonts w:asciiTheme="minorHAnsi" w:hAnsiTheme="minorHAnsi" w:cstheme="minorHAnsi"/>
              </w:rPr>
            </w:pPr>
          </w:p>
        </w:tc>
      </w:tr>
      <w:tr w:rsidR="00230876" w:rsidRPr="001E6B1B" w14:paraId="14B6EEBF" w14:textId="77777777" w:rsidTr="00905ACC">
        <w:tc>
          <w:tcPr>
            <w:tcW w:w="1843" w:type="dxa"/>
          </w:tcPr>
          <w:p w14:paraId="6527213A" w14:textId="77777777" w:rsidR="00230876" w:rsidRPr="001E6B1B" w:rsidRDefault="00230876" w:rsidP="00230876">
            <w:pPr>
              <w:rPr>
                <w:rFonts w:asciiTheme="minorHAnsi" w:eastAsiaTheme="minorEastAsia" w:hAnsiTheme="minorHAnsi" w:cstheme="minorHAnsi"/>
                <w:lang w:eastAsia="zh-CN"/>
              </w:rPr>
            </w:pPr>
          </w:p>
        </w:tc>
        <w:tc>
          <w:tcPr>
            <w:tcW w:w="7224" w:type="dxa"/>
          </w:tcPr>
          <w:p w14:paraId="29329626"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C43DB07" w14:textId="77777777" w:rsidTr="00905ACC">
        <w:tc>
          <w:tcPr>
            <w:tcW w:w="1843" w:type="dxa"/>
          </w:tcPr>
          <w:p w14:paraId="48F1DF0A" w14:textId="77777777" w:rsidR="00230876" w:rsidRPr="001E6B1B" w:rsidRDefault="00230876" w:rsidP="00230876">
            <w:pPr>
              <w:rPr>
                <w:rFonts w:asciiTheme="minorHAnsi" w:eastAsia="Yu Mincho" w:hAnsiTheme="minorHAnsi" w:cstheme="minorHAnsi"/>
              </w:rPr>
            </w:pPr>
          </w:p>
        </w:tc>
        <w:tc>
          <w:tcPr>
            <w:tcW w:w="7224" w:type="dxa"/>
          </w:tcPr>
          <w:p w14:paraId="020671AE" w14:textId="77777777" w:rsidR="00230876" w:rsidRPr="001E6B1B" w:rsidRDefault="00230876" w:rsidP="00230876">
            <w:pPr>
              <w:rPr>
                <w:rFonts w:asciiTheme="minorHAnsi" w:hAnsiTheme="minorHAnsi" w:cstheme="minorHAnsi"/>
              </w:rPr>
            </w:pPr>
          </w:p>
        </w:tc>
      </w:tr>
      <w:tr w:rsidR="00230876" w:rsidRPr="001E6B1B" w14:paraId="519B0A34" w14:textId="77777777" w:rsidTr="00905ACC">
        <w:tc>
          <w:tcPr>
            <w:tcW w:w="1843" w:type="dxa"/>
          </w:tcPr>
          <w:p w14:paraId="62368BF0" w14:textId="77777777" w:rsidR="00230876" w:rsidRPr="001E6B1B" w:rsidRDefault="00230876" w:rsidP="00230876">
            <w:pPr>
              <w:rPr>
                <w:rFonts w:asciiTheme="minorHAnsi" w:eastAsia="Yu Mincho" w:hAnsiTheme="minorHAnsi" w:cstheme="minorHAnsi"/>
              </w:rPr>
            </w:pPr>
          </w:p>
        </w:tc>
        <w:tc>
          <w:tcPr>
            <w:tcW w:w="7224" w:type="dxa"/>
          </w:tcPr>
          <w:p w14:paraId="61A35259" w14:textId="77777777" w:rsidR="00230876" w:rsidRPr="001E6B1B" w:rsidRDefault="00230876" w:rsidP="00230876">
            <w:pPr>
              <w:rPr>
                <w:rFonts w:asciiTheme="minorHAnsi" w:hAnsiTheme="minorHAnsi" w:cstheme="minorHAnsi"/>
              </w:rPr>
            </w:pPr>
          </w:p>
        </w:tc>
      </w:tr>
      <w:tr w:rsidR="00230876" w:rsidRPr="001E6B1B" w14:paraId="05B589DB" w14:textId="77777777" w:rsidTr="00905ACC">
        <w:tc>
          <w:tcPr>
            <w:tcW w:w="1843" w:type="dxa"/>
          </w:tcPr>
          <w:p w14:paraId="43E35FFB" w14:textId="77777777" w:rsidR="00230876" w:rsidRPr="001E6B1B" w:rsidRDefault="00230876" w:rsidP="00230876">
            <w:pPr>
              <w:rPr>
                <w:rFonts w:asciiTheme="minorHAnsi" w:eastAsia="Yu Mincho" w:hAnsiTheme="minorHAnsi" w:cstheme="minorHAnsi"/>
              </w:rPr>
            </w:pPr>
          </w:p>
        </w:tc>
        <w:tc>
          <w:tcPr>
            <w:tcW w:w="7224" w:type="dxa"/>
          </w:tcPr>
          <w:p w14:paraId="04E5FA07" w14:textId="77777777" w:rsidR="00230876" w:rsidRPr="001E6B1B" w:rsidRDefault="00230876" w:rsidP="00230876">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lastRenderedPageBreak/>
        <w:t>Risk of proprietary design disclosure</w:t>
      </w:r>
    </w:p>
    <w:p w14:paraId="254ACC4B"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230876" w:rsidRPr="001E6B1B" w14:paraId="4666B3A0" w14:textId="77777777" w:rsidTr="007C5FC0">
        <w:tc>
          <w:tcPr>
            <w:tcW w:w="1843" w:type="dxa"/>
          </w:tcPr>
          <w:p w14:paraId="275B2DA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F28860" w14:textId="77777777" w:rsidR="00230876" w:rsidRPr="001E6B1B" w:rsidRDefault="00230876" w:rsidP="00230876">
            <w:pPr>
              <w:rPr>
                <w:rFonts w:asciiTheme="minorHAnsi" w:eastAsia="Yu Mincho" w:hAnsiTheme="minorHAnsi" w:cstheme="minorHAnsi"/>
                <w:lang w:eastAsia="ja-JP"/>
              </w:rPr>
            </w:pPr>
          </w:p>
        </w:tc>
      </w:tr>
      <w:tr w:rsidR="00230876" w:rsidRPr="001E6B1B" w14:paraId="2A919775" w14:textId="77777777" w:rsidTr="007C5FC0">
        <w:tc>
          <w:tcPr>
            <w:tcW w:w="1843" w:type="dxa"/>
          </w:tcPr>
          <w:p w14:paraId="6D05D890" w14:textId="77777777" w:rsidR="00230876" w:rsidRPr="001E6B1B" w:rsidRDefault="00230876" w:rsidP="00230876">
            <w:pPr>
              <w:rPr>
                <w:rFonts w:asciiTheme="minorHAnsi" w:eastAsia="Yu Mincho" w:hAnsiTheme="minorHAnsi" w:cstheme="minorHAnsi"/>
              </w:rPr>
            </w:pPr>
          </w:p>
        </w:tc>
        <w:tc>
          <w:tcPr>
            <w:tcW w:w="7224" w:type="dxa"/>
            <w:gridSpan w:val="2"/>
          </w:tcPr>
          <w:p w14:paraId="14520B8B" w14:textId="77777777" w:rsidR="00230876" w:rsidRPr="001E6B1B" w:rsidRDefault="00230876" w:rsidP="00230876">
            <w:pPr>
              <w:rPr>
                <w:rFonts w:asciiTheme="minorHAnsi" w:hAnsiTheme="minorHAnsi" w:cstheme="minorHAnsi"/>
              </w:rPr>
            </w:pPr>
          </w:p>
        </w:tc>
      </w:tr>
      <w:tr w:rsidR="00230876" w:rsidRPr="001E6B1B" w14:paraId="1D475313" w14:textId="77777777" w:rsidTr="007C5FC0">
        <w:tc>
          <w:tcPr>
            <w:tcW w:w="1843" w:type="dxa"/>
          </w:tcPr>
          <w:p w14:paraId="2E6C33AE" w14:textId="77777777" w:rsidR="00230876" w:rsidRPr="001E6B1B" w:rsidRDefault="00230876" w:rsidP="00230876">
            <w:pPr>
              <w:rPr>
                <w:rFonts w:asciiTheme="minorHAnsi" w:eastAsia="Yu Mincho" w:hAnsiTheme="minorHAnsi" w:cstheme="minorHAnsi"/>
              </w:rPr>
            </w:pPr>
          </w:p>
        </w:tc>
        <w:tc>
          <w:tcPr>
            <w:tcW w:w="7224" w:type="dxa"/>
            <w:gridSpan w:val="2"/>
          </w:tcPr>
          <w:p w14:paraId="08075B54" w14:textId="77777777" w:rsidR="00230876" w:rsidRPr="001E6B1B" w:rsidRDefault="00230876" w:rsidP="00230876">
            <w:pPr>
              <w:rPr>
                <w:rFonts w:asciiTheme="minorHAnsi" w:hAnsiTheme="minorHAnsi" w:cstheme="minorHAnsi"/>
              </w:rPr>
            </w:pPr>
          </w:p>
        </w:tc>
      </w:tr>
      <w:tr w:rsidR="00230876" w:rsidRPr="001E6B1B" w14:paraId="62E5A88A" w14:textId="77777777" w:rsidTr="007C5FC0">
        <w:tc>
          <w:tcPr>
            <w:tcW w:w="1843" w:type="dxa"/>
          </w:tcPr>
          <w:p w14:paraId="544AC429"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535444F1"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28A7CCDA" w14:textId="77777777" w:rsidTr="007C5FC0">
        <w:tc>
          <w:tcPr>
            <w:tcW w:w="1843" w:type="dxa"/>
          </w:tcPr>
          <w:p w14:paraId="1F7FB1EB" w14:textId="77777777" w:rsidR="00230876" w:rsidRPr="001E6B1B" w:rsidRDefault="00230876" w:rsidP="00230876">
            <w:pPr>
              <w:rPr>
                <w:rFonts w:asciiTheme="minorHAnsi" w:eastAsia="Yu Mincho" w:hAnsiTheme="minorHAnsi" w:cstheme="minorHAnsi"/>
              </w:rPr>
            </w:pPr>
          </w:p>
        </w:tc>
        <w:tc>
          <w:tcPr>
            <w:tcW w:w="7224" w:type="dxa"/>
            <w:gridSpan w:val="2"/>
          </w:tcPr>
          <w:p w14:paraId="00D93A8C" w14:textId="77777777" w:rsidR="00230876" w:rsidRPr="001E6B1B" w:rsidRDefault="00230876" w:rsidP="00230876">
            <w:pPr>
              <w:rPr>
                <w:rFonts w:asciiTheme="minorHAnsi" w:hAnsiTheme="minorHAnsi" w:cstheme="minorHAnsi"/>
              </w:rPr>
            </w:pPr>
          </w:p>
        </w:tc>
      </w:tr>
      <w:tr w:rsidR="00230876" w:rsidRPr="001E6B1B" w14:paraId="671ABB40" w14:textId="77777777" w:rsidTr="007C5FC0">
        <w:tc>
          <w:tcPr>
            <w:tcW w:w="1843" w:type="dxa"/>
          </w:tcPr>
          <w:p w14:paraId="486A7F51" w14:textId="77777777" w:rsidR="00230876" w:rsidRPr="001E6B1B" w:rsidRDefault="00230876" w:rsidP="00230876">
            <w:pPr>
              <w:rPr>
                <w:rFonts w:asciiTheme="minorHAnsi" w:eastAsia="Yu Mincho" w:hAnsiTheme="minorHAnsi" w:cstheme="minorHAnsi"/>
              </w:rPr>
            </w:pPr>
          </w:p>
        </w:tc>
        <w:tc>
          <w:tcPr>
            <w:tcW w:w="7224" w:type="dxa"/>
            <w:gridSpan w:val="2"/>
          </w:tcPr>
          <w:p w14:paraId="38A32DA4" w14:textId="77777777" w:rsidR="00230876" w:rsidRPr="001E6B1B" w:rsidRDefault="00230876" w:rsidP="00230876">
            <w:pPr>
              <w:rPr>
                <w:rFonts w:asciiTheme="minorHAnsi" w:hAnsiTheme="minorHAnsi" w:cstheme="minorHAnsi"/>
              </w:rPr>
            </w:pPr>
          </w:p>
        </w:tc>
      </w:tr>
      <w:tr w:rsidR="00230876" w:rsidRPr="001E6B1B" w14:paraId="677D057A" w14:textId="77777777" w:rsidTr="007C5FC0">
        <w:tc>
          <w:tcPr>
            <w:tcW w:w="1843" w:type="dxa"/>
          </w:tcPr>
          <w:p w14:paraId="078E7BD1" w14:textId="77777777" w:rsidR="00230876" w:rsidRPr="001E6B1B" w:rsidRDefault="00230876" w:rsidP="00230876">
            <w:pPr>
              <w:rPr>
                <w:rFonts w:asciiTheme="minorHAnsi" w:eastAsia="Yu Mincho" w:hAnsiTheme="minorHAnsi" w:cstheme="minorHAnsi"/>
              </w:rPr>
            </w:pPr>
          </w:p>
        </w:tc>
        <w:tc>
          <w:tcPr>
            <w:tcW w:w="7224" w:type="dxa"/>
            <w:gridSpan w:val="2"/>
          </w:tcPr>
          <w:p w14:paraId="0030B42E" w14:textId="77777777" w:rsidR="00230876" w:rsidRPr="001E6B1B" w:rsidRDefault="00230876" w:rsidP="00230876">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c"/>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c"/>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afc"/>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lastRenderedPageBreak/>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lastRenderedPageBreak/>
              <w:t>mtk</w:t>
            </w:r>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230876" w:rsidRPr="001E6B1B" w14:paraId="0BA923E5" w14:textId="77777777" w:rsidTr="007C5FC0">
        <w:tc>
          <w:tcPr>
            <w:tcW w:w="1843" w:type="dxa"/>
          </w:tcPr>
          <w:p w14:paraId="0CD2CFB6" w14:textId="77777777" w:rsidR="00230876" w:rsidRPr="001E6B1B" w:rsidRDefault="00230876" w:rsidP="00230876">
            <w:pPr>
              <w:rPr>
                <w:rFonts w:asciiTheme="minorHAnsi" w:eastAsiaTheme="minorEastAsia" w:hAnsiTheme="minorHAnsi" w:cstheme="minorHAnsi"/>
              </w:rPr>
            </w:pPr>
          </w:p>
        </w:tc>
        <w:tc>
          <w:tcPr>
            <w:tcW w:w="7224" w:type="dxa"/>
            <w:gridSpan w:val="2"/>
          </w:tcPr>
          <w:p w14:paraId="0E7723E8" w14:textId="77777777" w:rsidR="00230876" w:rsidRPr="001E6B1B" w:rsidRDefault="00230876" w:rsidP="00230876">
            <w:pPr>
              <w:rPr>
                <w:rFonts w:asciiTheme="minorHAnsi" w:eastAsiaTheme="minorEastAsia" w:hAnsiTheme="minorHAnsi" w:cstheme="minorHAnsi"/>
              </w:rPr>
            </w:pP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a2"/>
        <w:rPr>
          <w:rFonts w:asciiTheme="minorHAnsi" w:hAnsiTheme="minorHAnsi" w:cstheme="minorHAnsi"/>
        </w:rPr>
      </w:pPr>
    </w:p>
    <w:p w14:paraId="0263599D" w14:textId="15B5D6E4" w:rsidR="004E7CA6" w:rsidRPr="001E6B1B" w:rsidRDefault="00DA3A5B">
      <w:pPr>
        <w:pStyle w:val="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a"/>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w:t>
                  </w:r>
                  <w:r w:rsidRPr="001E6B1B">
                    <w:rPr>
                      <w:rFonts w:asciiTheme="minorHAnsi" w:hAnsiTheme="minorHAnsi" w:cstheme="minorHAnsi"/>
                      <w:i/>
                      <w:iCs/>
                    </w:rPr>
                    <w:lastRenderedPageBreak/>
                    <w:t xml:space="preserve">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720EB7"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4"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6"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17"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lastRenderedPageBreak/>
              <w:t>songdan@chinamobile.com</w:t>
            </w:r>
          </w:p>
        </w:tc>
      </w:tr>
      <w:tr w:rsidR="00F55E17" w:rsidRPr="00C96BAC"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C96BAC">
              <w:rPr>
                <w:lang w:val="sv-SE"/>
                <w:rPrChange w:id="4" w:author="作者" w:date="2024-04-12T16:19:00Z">
                  <w:rPr/>
                </w:rPrChange>
              </w:rPr>
              <w:instrText>HYPERLINK "mailto:guan_peng@nec.cn"</w:instrText>
            </w:r>
            <w:r>
              <w:rPr>
                <w:rFonts w:ascii="Times New Roman" w:hAnsi="Times New Roman"/>
              </w:rP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D92AAB"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C96BAC">
              <w:rPr>
                <w:lang w:val="sv-SE"/>
                <w:rPrChange w:id="5" w:author="作者" w:date="2024-04-12T16:19:00Z">
                  <w:rPr/>
                </w:rPrChange>
              </w:rPr>
              <w:instrText>HYPERLINK "mailto:pravjyot.deogun@EMEA.NEC.COM"</w:instrText>
            </w:r>
            <w:r>
              <w:rPr>
                <w:rFonts w:ascii="Times New Roman" w:hAnsi="Times New Roman"/>
              </w:rP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C96BA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0" w:history="1">
              <w:r w:rsidR="00F55E17" w:rsidRPr="001E6B1B">
                <w:rPr>
                  <w:rStyle w:val="af8"/>
                  <w:rFonts w:asciiTheme="minorHAnsi" w:eastAsiaTheme="minorEastAsia" w:hAnsiTheme="minorHAnsi" w:cstheme="minorHAnsi"/>
                  <w:szCs w:val="20"/>
                  <w:lang w:eastAsia="zh-CN"/>
                </w:rPr>
                <w:t>zhaorui@cictci.com</w:t>
              </w:r>
            </w:hyperlink>
          </w:p>
        </w:tc>
      </w:tr>
      <w:tr w:rsidR="00F55E17" w:rsidRPr="00C96BAC"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C96BAC">
              <w:rPr>
                <w:lang w:val="sv-SE"/>
                <w:rPrChange w:id="6" w:author="作者" w:date="2024-04-12T16:19: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720EB7"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720EB7"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720EB7"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C96BAC"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720EB7"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000000" w:rsidP="00905ACC">
            <w:pPr>
              <w:pStyle w:val="a2"/>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720EB7" w14:paraId="6B7D4F63" w14:textId="77777777" w:rsidTr="00686833">
        <w:tc>
          <w:tcPr>
            <w:tcW w:w="2689" w:type="dxa"/>
          </w:tcPr>
          <w:p w14:paraId="143F536C"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F249" w14:textId="77777777" w:rsidR="004F259A" w:rsidRDefault="004F259A">
      <w:pPr>
        <w:spacing w:before="0" w:after="0" w:line="240" w:lineRule="auto"/>
      </w:pPr>
      <w:r>
        <w:separator/>
      </w:r>
    </w:p>
  </w:endnote>
  <w:endnote w:type="continuationSeparator" w:id="0">
    <w:p w14:paraId="1D842449" w14:textId="77777777" w:rsidR="004F259A" w:rsidRDefault="004F2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8135" w14:textId="77777777" w:rsidR="004F259A" w:rsidRDefault="004F259A">
      <w:pPr>
        <w:spacing w:before="0" w:after="0" w:line="240" w:lineRule="auto"/>
      </w:pPr>
      <w:r>
        <w:separator/>
      </w:r>
    </w:p>
  </w:footnote>
  <w:footnote w:type="continuationSeparator" w:id="0">
    <w:p w14:paraId="314FBF1F" w14:textId="77777777" w:rsidR="004F259A" w:rsidRDefault="004F25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1"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678631">
    <w:abstractNumId w:val="23"/>
  </w:num>
  <w:num w:numId="2" w16cid:durableId="494419420">
    <w:abstractNumId w:val="40"/>
  </w:num>
  <w:num w:numId="3" w16cid:durableId="2041196758">
    <w:abstractNumId w:val="42"/>
  </w:num>
  <w:num w:numId="4" w16cid:durableId="1253203302">
    <w:abstractNumId w:val="47"/>
  </w:num>
  <w:num w:numId="5" w16cid:durableId="990211458">
    <w:abstractNumId w:val="4"/>
  </w:num>
  <w:num w:numId="6" w16cid:durableId="1298949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648198">
    <w:abstractNumId w:val="29"/>
  </w:num>
  <w:num w:numId="8" w16cid:durableId="757483191">
    <w:abstractNumId w:val="27"/>
    <w:lvlOverride w:ilvl="0">
      <w:startOverride w:val="1"/>
    </w:lvlOverride>
  </w:num>
  <w:num w:numId="9" w16cid:durableId="1227257472">
    <w:abstractNumId w:val="32"/>
  </w:num>
  <w:num w:numId="10" w16cid:durableId="594940606">
    <w:abstractNumId w:val="45"/>
  </w:num>
  <w:num w:numId="11" w16cid:durableId="202518146">
    <w:abstractNumId w:val="8"/>
  </w:num>
  <w:num w:numId="12" w16cid:durableId="658846133">
    <w:abstractNumId w:val="34"/>
  </w:num>
  <w:num w:numId="13" w16cid:durableId="703136926">
    <w:abstractNumId w:val="46"/>
  </w:num>
  <w:num w:numId="14" w16cid:durableId="313071947">
    <w:abstractNumId w:val="6"/>
  </w:num>
  <w:num w:numId="15" w16cid:durableId="1554344580">
    <w:abstractNumId w:val="50"/>
  </w:num>
  <w:num w:numId="16" w16cid:durableId="61875742">
    <w:abstractNumId w:val="43"/>
  </w:num>
  <w:num w:numId="17" w16cid:durableId="1579745888">
    <w:abstractNumId w:val="7"/>
  </w:num>
  <w:num w:numId="18" w16cid:durableId="2077437976">
    <w:abstractNumId w:val="53"/>
  </w:num>
  <w:num w:numId="19" w16cid:durableId="916400549">
    <w:abstractNumId w:val="9"/>
  </w:num>
  <w:num w:numId="20" w16cid:durableId="15205864">
    <w:abstractNumId w:val="14"/>
  </w:num>
  <w:num w:numId="21" w16cid:durableId="410082634">
    <w:abstractNumId w:val="16"/>
  </w:num>
  <w:num w:numId="22" w16cid:durableId="491220621">
    <w:abstractNumId w:val="41"/>
  </w:num>
  <w:num w:numId="23" w16cid:durableId="447042792">
    <w:abstractNumId w:val="3"/>
  </w:num>
  <w:num w:numId="24" w16cid:durableId="531185228">
    <w:abstractNumId w:val="35"/>
  </w:num>
  <w:num w:numId="25" w16cid:durableId="1467357253">
    <w:abstractNumId w:val="10"/>
  </w:num>
  <w:num w:numId="26" w16cid:durableId="317199551">
    <w:abstractNumId w:val="36"/>
  </w:num>
  <w:num w:numId="27" w16cid:durableId="1952855887">
    <w:abstractNumId w:val="49"/>
  </w:num>
  <w:num w:numId="28" w16cid:durableId="1576741655">
    <w:abstractNumId w:val="2"/>
  </w:num>
  <w:num w:numId="29" w16cid:durableId="1507592462">
    <w:abstractNumId w:val="48"/>
  </w:num>
  <w:num w:numId="30" w16cid:durableId="419638319">
    <w:abstractNumId w:val="44"/>
  </w:num>
  <w:num w:numId="31" w16cid:durableId="1470979045">
    <w:abstractNumId w:val="37"/>
  </w:num>
  <w:num w:numId="32" w16cid:durableId="803349626">
    <w:abstractNumId w:val="21"/>
  </w:num>
  <w:num w:numId="33" w16cid:durableId="677735161">
    <w:abstractNumId w:val="52"/>
  </w:num>
  <w:num w:numId="34" w16cid:durableId="540676093">
    <w:abstractNumId w:val="33"/>
  </w:num>
  <w:num w:numId="35" w16cid:durableId="315455115">
    <w:abstractNumId w:val="18"/>
  </w:num>
  <w:num w:numId="36" w16cid:durableId="1855849245">
    <w:abstractNumId w:val="12"/>
  </w:num>
  <w:num w:numId="37" w16cid:durableId="879366508">
    <w:abstractNumId w:val="17"/>
  </w:num>
  <w:num w:numId="38" w16cid:durableId="648052396">
    <w:abstractNumId w:val="26"/>
  </w:num>
  <w:num w:numId="39" w16cid:durableId="735514835">
    <w:abstractNumId w:val="24"/>
  </w:num>
  <w:num w:numId="40" w16cid:durableId="148519725">
    <w:abstractNumId w:val="28"/>
  </w:num>
  <w:num w:numId="41" w16cid:durableId="88741301">
    <w:abstractNumId w:val="20"/>
  </w:num>
  <w:num w:numId="42" w16cid:durableId="765657999">
    <w:abstractNumId w:val="13"/>
  </w:num>
  <w:num w:numId="43" w16cid:durableId="177277434">
    <w:abstractNumId w:val="22"/>
  </w:num>
  <w:num w:numId="44" w16cid:durableId="263392187">
    <w:abstractNumId w:val="39"/>
  </w:num>
  <w:num w:numId="45" w16cid:durableId="1320420803">
    <w:abstractNumId w:val="30"/>
  </w:num>
  <w:num w:numId="46" w16cid:durableId="711923080">
    <w:abstractNumId w:val="19"/>
  </w:num>
  <w:num w:numId="47" w16cid:durableId="301887581">
    <w:abstractNumId w:val="0"/>
  </w:num>
  <w:num w:numId="48" w16cid:durableId="347758002">
    <w:abstractNumId w:val="15"/>
  </w:num>
  <w:num w:numId="49" w16cid:durableId="545063543">
    <w:abstractNumId w:val="1"/>
  </w:num>
  <w:num w:numId="50" w16cid:durableId="853035996">
    <w:abstractNumId w:val="11"/>
  </w:num>
  <w:num w:numId="51" w16cid:durableId="1266570876">
    <w:abstractNumId w:val="51"/>
  </w:num>
  <w:num w:numId="52" w16cid:durableId="2121678096">
    <w:abstractNumId w:val="38"/>
  </w:num>
  <w:num w:numId="53" w16cid:durableId="57561929">
    <w:abstractNumId w:val="25"/>
  </w:num>
  <w:num w:numId="54" w16cid:durableId="1436973307">
    <w:abstractNumId w:val="31"/>
  </w:num>
  <w:num w:numId="55" w16cid:durableId="662317109">
    <w:abstractNumId w:val="23"/>
    <w:lvlOverride w:ilvl="0">
      <w:startOverride w:val="1"/>
    </w:lvlOverride>
  </w:num>
  <w:num w:numId="56" w16cid:durableId="1329481769">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SimSun"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1F8F24-C7F4-4FB1-A4DF-1878E8E487D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77</Pages>
  <Words>27775</Words>
  <Characters>158320</Characters>
  <Application>Microsoft Office Word</Application>
  <DocSecurity>0</DocSecurity>
  <Lines>1319</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2024-04-15T02:03:00Z</dcterms:created>
  <dcterms:modified xsi:type="dcterms:W3CDTF">2024-04-15T02:29:00Z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