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media/image2.wmf" ContentType="image/x-wmf"/>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lang w:val="de-DE"/>
        </w:rPr>
      </w:pPr>
      <w:r>
        <w:rPr>
          <w:rFonts w:cs="Times New Roman" w:ascii="Times New Roman" w:hAnsi="Times New Roman"/>
          <w:b/>
          <w:bCs/>
          <w:sz w:val="28"/>
          <w:lang w:val="de-DE"/>
        </w:rPr>
        <w:t>3GPP TSG RAN WG1 #116-bis</w:t>
        <w:tab/>
        <w:tab/>
        <w:tab/>
        <w:t>R1-2403067</w:t>
      </w:r>
    </w:p>
    <w:p>
      <w:pPr>
        <w:pStyle w:val="Normal"/>
        <w:tabs>
          <w:tab w:val="clear" w:pos="709"/>
          <w:tab w:val="center" w:pos="4536" w:leader="none"/>
          <w:tab w:val="right" w:pos="9072" w:leader="none"/>
        </w:tabs>
        <w:ind w:right="2" w:hanging="0"/>
        <w:jc w:val="both"/>
        <w:rPr>
          <w:rFonts w:ascii="Times New Roman" w:hAnsi="Times New Roman" w:cs="Times New Roman"/>
        </w:rPr>
      </w:pPr>
      <w:r>
        <w:rPr>
          <w:rFonts w:eastAsia="SimSun" w:cs="Times New Roman" w:ascii="Times New Roman" w:hAnsi="Times New Roman"/>
          <w:b/>
          <w:bCs/>
          <w:sz w:val="28"/>
          <w:szCs w:val="28"/>
          <w:lang w:val="en-US" w:eastAsia="ja-JP"/>
        </w:rPr>
        <w:t>Changsha</w:t>
      </w:r>
      <w:r>
        <w:rPr>
          <w:rFonts w:eastAsia="MS Mincho;‚l‚r –¾’©" w:cs="Times New Roman" w:ascii="Times New Roman" w:hAnsi="Times New Roman"/>
          <w:b/>
          <w:bCs/>
          <w:sz w:val="28"/>
          <w:szCs w:val="28"/>
          <w:lang w:val="en-US" w:eastAsia="ja-JP"/>
        </w:rPr>
        <w:t>, China,</w:t>
      </w:r>
      <w:r>
        <w:rPr>
          <w:rFonts w:eastAsia="MS Mincho;‚l‚r –¾’©" w:cs="Times New Roman" w:ascii="Times New Roman" w:hAnsi="Times New Roman"/>
          <w:b/>
          <w:bCs/>
          <w:sz w:val="28"/>
          <w:lang w:eastAsia="ja-JP"/>
        </w:rPr>
        <w:t xml:space="preserve"> April 15</w:t>
      </w:r>
      <w:r>
        <w:rPr>
          <w:rFonts w:eastAsia="Malgun Gothic" w:cs="Times New Roman" w:ascii="Times New Roman" w:hAnsi="Times New Roman"/>
          <w:b/>
          <w:bCs/>
          <w:sz w:val="28"/>
          <w:vertAlign w:val="superscript"/>
          <w:lang w:eastAsia="ko-KR"/>
        </w:rPr>
        <w:t>th</w:t>
      </w:r>
      <w:r>
        <w:rPr>
          <w:rFonts w:eastAsia="MS Mincho;‚l‚r –¾’©" w:cs="Times New Roman" w:ascii="Times New Roman" w:hAnsi="Times New Roman"/>
          <w:b/>
          <w:bCs/>
          <w:sz w:val="28"/>
          <w:lang w:eastAsia="ja-JP"/>
        </w:rPr>
        <w:t xml:space="preserve"> </w:t>
      </w:r>
      <w:r>
        <w:rPr>
          <w:rFonts w:eastAsia="MS Mincho" w:cs="Times New Roman" w:ascii="Times New Roman" w:hAnsi="Times New Roman"/>
          <w:b/>
          <w:bCs/>
          <w:sz w:val="28"/>
          <w:lang w:eastAsia="ja-JP"/>
        </w:rPr>
        <w:t>– April 19</w:t>
      </w:r>
      <w:r>
        <w:rPr>
          <w:rFonts w:eastAsia="MS Mincho" w:cs="Times New Roman" w:ascii="Times New Roman" w:hAnsi="Times New Roman"/>
          <w:b/>
          <w:bCs/>
          <w:sz w:val="28"/>
          <w:vertAlign w:val="superscript"/>
          <w:lang w:eastAsia="ja-JP"/>
        </w:rPr>
        <w:t>th</w:t>
      </w:r>
      <w:r>
        <w:rPr>
          <w:rFonts w:eastAsia="MS Mincho;‚l‚r –¾’©" w:cs="Times New Roman" w:ascii="Times New Roman" w:hAnsi="Times New Roman"/>
          <w:b/>
          <w:bCs/>
          <w:sz w:val="28"/>
          <w:lang w:eastAsia="ja-JP"/>
        </w:rPr>
        <w:t>, 2024</w:t>
      </w:r>
    </w:p>
    <w:p>
      <w:pPr>
        <w:pStyle w:val="Header"/>
        <w:tabs>
          <w:tab w:val="clear" w:pos="709"/>
          <w:tab w:val="right" w:pos="9639" w:leader="none"/>
        </w:tabs>
        <w:jc w:val="both"/>
        <w:rPr>
          <w:rFonts w:ascii="Times New Roman" w:hAnsi="Times New Roman" w:cs="Times New Roman"/>
          <w:sz w:val="24"/>
          <w:lang w:val="en-GB"/>
        </w:rPr>
      </w:pPr>
      <w:r>
        <w:rPr>
          <w:rFonts w:cs="Times New Roman" w:ascii="Times New Roman" w:hAnsi="Times New Roman"/>
          <w:sz w:val="24"/>
          <w:lang w:val="en-GB"/>
        </w:rPr>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Agenda item:</w:t>
      </w:r>
      <w:r>
        <w:rPr>
          <w:rFonts w:cs="Times New Roman" w:ascii="Times New Roman" w:hAnsi="Times New Roman"/>
        </w:rPr>
        <w:tab/>
        <w:t>9.11.1</w:t>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 xml:space="preserve">Source: </w:t>
        <w:tab/>
      </w:r>
      <w:r>
        <w:rPr>
          <w:rFonts w:cs="Times New Roman" w:ascii="Times New Roman" w:hAnsi="Times New Roman"/>
        </w:rPr>
        <w:t>CEWiT</w:t>
      </w:r>
    </w:p>
    <w:p>
      <w:pPr>
        <w:pStyle w:val="Normal"/>
        <w:ind w:left="1988" w:hanging="1988"/>
        <w:jc w:val="both"/>
        <w:rPr>
          <w:rFonts w:ascii="Times New Roman" w:hAnsi="Times New Roman" w:cs="Times New Roman"/>
        </w:rPr>
      </w:pPr>
      <w:r>
        <w:rPr>
          <w:rFonts w:cs="Times New Roman" w:ascii="Times New Roman" w:hAnsi="Times New Roman"/>
          <w:b/>
        </w:rPr>
        <w:t>Title:</w:t>
      </w:r>
      <w:r>
        <w:rPr>
          <w:rFonts w:cs="Times New Roman" w:ascii="Times New Roman" w:hAnsi="Times New Roman"/>
        </w:rPr>
        <w:t xml:space="preserve"> </w:t>
      </w:r>
      <w:r>
        <w:rPr>
          <w:rFonts w:cs="Times New Roman" w:ascii="Times New Roman" w:hAnsi="Times New Roman"/>
          <w:sz w:val="22"/>
        </w:rPr>
        <w:tab/>
        <w:t>Downlink Coverage Enhancements for NR NTN</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b/>
        </w:rPr>
        <w:t>Document for:</w:t>
      </w:r>
      <w:r>
        <w:rPr>
          <w:rFonts w:cs="Times New Roman" w:ascii="Times New Roman" w:hAnsi="Times New Roman"/>
        </w:rPr>
        <w:tab/>
      </w:r>
      <w:bookmarkStart w:id="0" w:name="DocumentFor"/>
      <w:bookmarkEnd w:id="0"/>
      <w:r>
        <w:rPr>
          <w:rFonts w:cs="Times New Roman" w:ascii="Times New Roman" w:hAnsi="Times New Roman"/>
        </w:rPr>
        <w:t>Discussion and Decision</w:t>
      </w:r>
    </w:p>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Heading1"/>
        <w:numPr>
          <w:ilvl w:val="0"/>
          <w:numId w:val="4"/>
        </w:numPr>
        <w:ind w:left="360" w:hanging="360"/>
        <w:rPr>
          <w:rFonts w:ascii="Times New Roman" w:hAnsi="Times New Roman" w:cs="Times New Roman"/>
          <w:b/>
          <w:b/>
          <w:bCs/>
          <w:color w:val="auto"/>
        </w:rPr>
      </w:pPr>
      <w:r>
        <w:rPr>
          <w:rFonts w:cs="Times New Roman" w:ascii="Times New Roman" w:hAnsi="Times New Roman"/>
          <w:b/>
          <w:bCs/>
          <w:color w:val="auto"/>
        </w:rPr>
        <w:t>Introduction</w:t>
      </w:r>
    </w:p>
    <w:p>
      <w:pPr>
        <w:pStyle w:val="Normal"/>
        <w:rPr/>
      </w:pPr>
      <w:r>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In RAN#102 meeting, a new Work Item on </w:t>
      </w:r>
      <w:r>
        <w:rPr>
          <w:rFonts w:eastAsia="Batang;바탕" w:cs="Times New Roman" w:ascii="Times New Roman" w:hAnsi="Times New Roman"/>
        </w:rPr>
        <w:t>Non-Terrestrial Networks (NTN) for NR Phase 3</w:t>
      </w:r>
      <w:r>
        <w:rPr>
          <w:rFonts w:cs="Times New Roman" w:ascii="Times New Roman" w:hAnsi="Times New Roman"/>
        </w:rPr>
        <w:t xml:space="preserve"> was approved [1]. Multiple RAN1 related objectives has been discussed in RAN #102. This paper specifically addresses the enhancements in downlink coverage for NR NTN.</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eastAsia="Batang" w:cs="Times New Roman" w:ascii="Times New Roman" w:hAnsi="Times New Roman"/>
        </w:rPr>
        <w:t>Detailed objectives of downlink coverage enhancements for NR NTN include:</w:t>
      </w:r>
    </w:p>
    <w:tbl>
      <w:tblPr>
        <w:tblW w:w="9061" w:type="dxa"/>
        <w:jc w:val="left"/>
        <w:tblInd w:w="108" w:type="dxa"/>
        <w:tblCellMar>
          <w:top w:w="0" w:type="dxa"/>
          <w:left w:w="108" w:type="dxa"/>
          <w:bottom w:w="0" w:type="dxa"/>
          <w:right w:w="108" w:type="dxa"/>
        </w:tblCellMar>
        <w:tblLook w:val="0000" w:noHBand="0" w:noVBand="0" w:firstColumn="0" w:lastRow="0" w:lastColumn="0" w:firstRow="0"/>
      </w:tblPr>
      <w:tblGrid>
        <w:gridCol w:w="9061"/>
      </w:tblGrid>
      <w:tr>
        <w:trPr/>
        <w:tc>
          <w:tcPr>
            <w:tcW w:w="9061" w:type="dxa"/>
            <w:tcBorders>
              <w:top w:val="single" w:sz="4" w:space="0" w:color="000000"/>
              <w:left w:val="single" w:sz="4" w:space="0" w:color="000000"/>
              <w:bottom w:val="single" w:sz="4" w:space="0" w:color="000000"/>
              <w:right w:val="single" w:sz="4" w:space="0" w:color="000000"/>
            </w:tcBorders>
          </w:tcPr>
          <w:p>
            <w:pPr>
              <w:pStyle w:val="Normal"/>
              <w:jc w:val="both"/>
              <w:textAlignment w:val="baseline"/>
              <w:rPr>
                <w:rFonts w:ascii="Times New Roman" w:hAnsi="Times New Roman" w:eastAsia="Calibri" w:cs="Times New Roman"/>
                <w:lang w:eastAsia="ko-KR"/>
              </w:rPr>
            </w:pPr>
            <w:r>
              <w:rPr>
                <w:rFonts w:eastAsia="Calibri" w:cs="Times New Roman" w:ascii="Times New Roman" w:hAnsi="Times New Roman"/>
                <w:lang w:eastAsia="ko-KR"/>
              </w:rPr>
              <w:t>Study and specify if beneficial downlink coverage enhancements targeting support for additional reference satellite payload parameters covering both GSO and NGSO constellations operating in FR1-NTN or FR2-NTN [RAN1, RAN2]</w:t>
            </w:r>
          </w:p>
          <w:p>
            <w:pPr>
              <w:pStyle w:val="ListParagraph"/>
              <w:widowControl w:val="false"/>
              <w:numPr>
                <w:ilvl w:val="0"/>
                <w:numId w:val="2"/>
              </w:numPr>
              <w:spacing w:before="0" w:after="0"/>
              <w:contextualSpacing/>
              <w:jc w:val="both"/>
              <w:rPr>
                <w:rFonts w:ascii="Times New Roman" w:hAnsi="Times New Roman" w:cs="Times New Roman"/>
              </w:rPr>
            </w:pPr>
            <w:r>
              <w:rPr>
                <w:rFonts w:cs="Times New Roman" w:ascii="Times New Roman" w:hAnsi="Times New Roma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ListParagraph"/>
              <w:widowControl w:val="false"/>
              <w:numPr>
                <w:ilvl w:val="0"/>
                <w:numId w:val="2"/>
              </w:numPr>
              <w:spacing w:before="0" w:after="0"/>
              <w:contextualSpacing/>
              <w:jc w:val="both"/>
              <w:rPr>
                <w:rFonts w:ascii="Times New Roman" w:hAnsi="Times New Roman" w:cs="Times New Roman"/>
              </w:rPr>
            </w:pPr>
            <w:r>
              <w:rPr>
                <w:rFonts w:cs="Times New Roman" w:ascii="Times New Roman" w:hAnsi="Times New Roman"/>
              </w:rPr>
              <w:t xml:space="preserve">Define the corresponding </w:t>
            </w:r>
            <w:bookmarkStart w:id="1" w:name="_Hlk153196694"/>
            <w:r>
              <w:rPr>
                <w:rFonts w:cs="Times New Roman" w:ascii="Times New Roman" w:hAnsi="Times New Roman"/>
              </w:rPr>
              <w:t>power sharing assumptions</w:t>
            </w:r>
            <w:bookmarkEnd w:id="1"/>
            <w:r>
              <w:rPr>
                <w:rFonts w:cs="Times New Roman" w:ascii="Times New Roman" w:hAnsi="Times New Roman"/>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ListParagraph"/>
              <w:widowControl w:val="false"/>
              <w:numPr>
                <w:ilvl w:val="0"/>
                <w:numId w:val="2"/>
              </w:numPr>
              <w:spacing w:before="0" w:after="0"/>
              <w:contextualSpacing/>
              <w:jc w:val="both"/>
              <w:rPr>
                <w:rFonts w:ascii="Times New Roman" w:hAnsi="Times New Roman" w:cs="Times New Roman"/>
              </w:rPr>
            </w:pPr>
            <w:r>
              <w:rPr>
                <w:rFonts w:cs="Times New Roman" w:ascii="Times New Roman" w:hAnsi="Times New Roman"/>
              </w:rPr>
              <w:t xml:space="preserve">Study and if needed specify solutions, including link level enhancements for FR1-NTN (e.g. for PDCCH, PDSCH) and/or system level enhancements for </w:t>
            </w:r>
            <w:r>
              <w:rPr>
                <w:rFonts w:eastAsia="Calibri" w:cs="Times New Roman" w:ascii="Times New Roman" w:hAnsi="Times New Roman"/>
                <w:lang w:eastAsia="ko-KR"/>
              </w:rPr>
              <w:t>FR1-NTN and/or FR2-NTN</w:t>
            </w:r>
            <w:r>
              <w:rPr>
                <w:rFonts w:cs="Times New Roman" w:ascii="Times New Roman" w:hAnsi="Times New Roman"/>
              </w:rPr>
              <w:t>, allowing dynamic and flexible power sharing between satellite beams or different satellite beam patterns/size (i.e. wide or narrow) across the satellite footprint.</w:t>
            </w:r>
          </w:p>
          <w:p>
            <w:pPr>
              <w:pStyle w:val="ListParagraph"/>
              <w:widowControl w:val="false"/>
              <w:numPr>
                <w:ilvl w:val="0"/>
                <w:numId w:val="2"/>
              </w:numPr>
              <w:spacing w:before="0" w:after="0"/>
              <w:contextualSpacing/>
              <w:jc w:val="both"/>
              <w:rPr>
                <w:rFonts w:ascii="Times New Roman" w:hAnsi="Times New Roman" w:cs="Times New Roman"/>
              </w:rPr>
            </w:pPr>
            <w:r>
              <w:rPr>
                <w:rFonts w:cs="Times New Roman" w:ascii="Times New Roman" w:hAnsi="Times New Roman"/>
              </w:rPr>
              <w:t>Notes for this objective:</w:t>
            </w:r>
          </w:p>
          <w:p>
            <w:pPr>
              <w:pStyle w:val="ListParagraph"/>
              <w:widowControl w:val="false"/>
              <w:numPr>
                <w:ilvl w:val="1"/>
                <w:numId w:val="2"/>
              </w:numPr>
              <w:spacing w:before="0" w:after="0"/>
              <w:contextualSpacing/>
              <w:jc w:val="both"/>
              <w:rPr>
                <w:rFonts w:ascii="Times New Roman" w:hAnsi="Times New Roman" w:cs="Times New Roman"/>
              </w:rPr>
            </w:pPr>
            <w:r>
              <w:rPr>
                <w:rFonts w:cs="Times New Roman" w:ascii="Times New Roman" w:hAnsi="Times New Roman"/>
              </w:rPr>
              <w:t>SSB channel enhancement is not considered</w:t>
            </w:r>
          </w:p>
          <w:p>
            <w:pPr>
              <w:pStyle w:val="ListParagraph"/>
              <w:widowControl w:val="false"/>
              <w:numPr>
                <w:ilvl w:val="1"/>
                <w:numId w:val="2"/>
              </w:numPr>
              <w:spacing w:before="0" w:after="0"/>
              <w:contextualSpacing/>
              <w:jc w:val="both"/>
              <w:rPr>
                <w:rFonts w:ascii="Times New Roman" w:hAnsi="Times New Roman" w:cs="Times New Roman"/>
              </w:rPr>
            </w:pPr>
            <w:r>
              <w:rPr>
                <w:rFonts w:cs="Times New Roman" w:ascii="Times New Roman" w:hAnsi="Times New Roman"/>
              </w:rPr>
              <w:t>Antenna gain of UE shall be assumed to be -5.5dBi in case of smartphone in FR1-NTN, the UE is assumed to be a full duplex UE, and at least 2Rx are considered at the UE</w:t>
            </w:r>
          </w:p>
          <w:p>
            <w:pPr>
              <w:pStyle w:val="ListParagraph"/>
              <w:widowControl w:val="false"/>
              <w:numPr>
                <w:ilvl w:val="1"/>
                <w:numId w:val="2"/>
              </w:numPr>
              <w:spacing w:before="0" w:after="0"/>
              <w:contextualSpacing/>
              <w:jc w:val="both"/>
              <w:rPr>
                <w:rFonts w:ascii="Times New Roman" w:hAnsi="Times New Roman" w:cs="Times New Roman"/>
              </w:rPr>
            </w:pPr>
            <w:r>
              <w:rPr>
                <w:rFonts w:cs="Times New Roman" w:ascii="Times New Roman" w:hAnsi="Times New Roman"/>
              </w:rPr>
              <w:t>NGSO to be considered in priority: LEO Set-1 @ 600 km</w:t>
            </w:r>
          </w:p>
          <w:p>
            <w:pPr>
              <w:pStyle w:val="ListParagraph"/>
              <w:widowControl w:val="false"/>
              <w:numPr>
                <w:ilvl w:val="1"/>
                <w:numId w:val="2"/>
              </w:numPr>
              <w:spacing w:before="0" w:after="0"/>
              <w:contextualSpacing/>
              <w:jc w:val="both"/>
              <w:rPr>
                <w:rFonts w:ascii="Times New Roman" w:hAnsi="Times New Roman" w:eastAsia="Batang" w:cs="Times New Roman"/>
                <w:sz w:val="20"/>
                <w:szCs w:val="20"/>
              </w:rPr>
            </w:pPr>
            <w:r>
              <w:rPr>
                <w:rFonts w:eastAsia="Batang" w:cs="Times New Roman" w:ascii="Times New Roman" w:hAnsi="Times New Roman"/>
                <w:sz w:val="20"/>
                <w:szCs w:val="20"/>
              </w:rPr>
              <w:t>Rel-18 network energy saving techniques should be considered as baseline in the system level study</w:t>
            </w:r>
          </w:p>
        </w:tc>
      </w:tr>
    </w:tbl>
    <w:p>
      <w:pPr>
        <w:pStyle w:val="TextBody"/>
        <w:tabs>
          <w:tab w:val="clear" w:pos="709"/>
          <w:tab w:val="left" w:pos="1985" w:leader="none"/>
        </w:tabs>
        <w:ind w:right="8" w:hanging="0"/>
        <w:jc w:val="both"/>
        <w:rPr>
          <w:rFonts w:ascii="Times New Roman" w:hAnsi="Times New Roman" w:eastAsia="Batang" w:cs="Times New Roman"/>
        </w:rPr>
      </w:pPr>
      <w:r>
        <w:rPr>
          <w:rFonts w:eastAsia="Batang" w:cs="Times New Roman" w:ascii="Times New Roman" w:hAnsi="Times New Roman"/>
        </w:rPr>
        <w:t>This contribution focuses on enhancements at the link level, specifically detailing improvements related to PDCCH.</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Heading2"/>
        <w:numPr>
          <w:ilvl w:val="0"/>
          <w:numId w:val="4"/>
        </w:numPr>
        <w:rPr>
          <w:b/>
          <w:b/>
          <w:bCs/>
          <w:color w:val="000000"/>
          <w:sz w:val="32"/>
          <w:szCs w:val="32"/>
        </w:rPr>
      </w:pPr>
      <w:r>
        <w:rPr>
          <w:b/>
          <w:bCs/>
          <w:color w:val="000000"/>
          <w:sz w:val="32"/>
          <w:szCs w:val="32"/>
        </w:rPr>
        <w:t>Discussion</w:t>
      </w:r>
    </w:p>
    <w:p>
      <w:pPr>
        <w:pStyle w:val="Heading2"/>
        <w:rPr>
          <w:rFonts w:ascii="Times New Roman" w:hAnsi="Times New Roman" w:cs="Times New Roman"/>
          <w:b/>
          <w:b/>
          <w:bCs/>
          <w:sz w:val="36"/>
          <w:szCs w:val="36"/>
        </w:rPr>
      </w:pPr>
      <w:r>
        <w:rPr/>
      </w:r>
    </w:p>
    <w:p>
      <w:pPr>
        <w:pStyle w:val="Normal"/>
        <w:rPr>
          <w:rFonts w:ascii="Times New Roman" w:hAnsi="Times New Roman" w:cs="Times New Roman"/>
        </w:rPr>
      </w:pPr>
      <w:r>
        <w:rPr>
          <w:rFonts w:cs="Times New Roman" w:ascii="Times New Roman" w:hAnsi="Times New Roman"/>
        </w:rPr>
        <w:t xml:space="preserve">The following agreements are made in RAN1#116 [4] for link level simulations to </w:t>
      </w:r>
      <w:r>
        <w:rPr>
          <w:rFonts w:cs="Times New Roman" w:ascii="Times New Roman" w:hAnsi="Times New Roman"/>
          <w:color w:val="000000"/>
        </w:rPr>
        <w:t>identify</w:t>
      </w:r>
      <w:r>
        <w:rPr>
          <w:rFonts w:cs="Times New Roman" w:ascii="Times New Roman" w:hAnsi="Times New Roman"/>
        </w:rPr>
        <w:t xml:space="preserve"> the coverage gap in DL.</w:t>
      </w:r>
    </w:p>
    <w:p>
      <w:pPr>
        <w:pStyle w:val="Normal"/>
        <w:rPr>
          <w:rFonts w:ascii="Times New Roman" w:hAnsi="Times New Roman" w:cs="Times New Roman"/>
          <w:highlight w:val="green"/>
        </w:rPr>
      </w:pPr>
      <w:r>
        <w:rPr>
          <w:rFonts w:cs="Times New Roman" w:ascii="Times New Roman" w:hAnsi="Times New Roman"/>
          <w:highlight w:val="green"/>
        </w:rPr>
      </w:r>
    </w:p>
    <w:p>
      <w:pPr>
        <w:pStyle w:val="Normal"/>
        <w:rPr>
          <w:rFonts w:ascii="Times New Roman" w:hAnsi="Times New Roman" w:cs="Times New Roman"/>
          <w:highlight w:val="green"/>
        </w:rPr>
      </w:pPr>
      <w:r>
        <w:rPr>
          <w:rFonts w:cs="Times New Roman" w:ascii="Times New Roman" w:hAnsi="Times New Roman"/>
          <w:highlight w:val="green"/>
        </w:rPr>
      </w:r>
    </w:p>
    <w:p>
      <w:pPr>
        <w:pStyle w:val="Normal"/>
        <w:pBdr>
          <w:top w:val="single" w:sz="4" w:space="1" w:color="000000"/>
        </w:pBdr>
        <w:rPr>
          <w:rFonts w:ascii="Times New Roman" w:hAnsi="Times New Roman" w:cs="Times New Roman"/>
          <w:highlight w:val="green"/>
        </w:rPr>
      </w:pPr>
      <w:r>
        <w:rPr>
          <w:rFonts w:cs="Times New Roman" w:ascii="Times New Roman" w:hAnsi="Times New Roman"/>
          <w:highlight w:val="green"/>
        </w:rPr>
      </w:r>
    </w:p>
    <w:p>
      <w:pPr>
        <w:pStyle w:val="Normal"/>
        <w:rPr>
          <w:rFonts w:ascii="Times New Roman" w:hAnsi="Times New Roman" w:cs="Times New Roman"/>
          <w:highlight w:val="green"/>
          <w:lang w:val="en-US"/>
        </w:rPr>
      </w:pPr>
      <w:r>
        <w:rPr>
          <w:rFonts w:cs="Times New Roman" w:ascii="Times New Roman" w:hAnsi="Times New Roman"/>
          <w:highlight w:val="green"/>
          <w:lang w:val="en-US"/>
        </w:rPr>
        <w:t>Agreement</w:t>
      </w:r>
    </w:p>
    <w:p>
      <w:pPr>
        <w:pStyle w:val="Normal"/>
        <w:rPr>
          <w:rFonts w:ascii="Times New Roman" w:hAnsi="Times New Roman" w:cs="Times New Roman"/>
          <w:lang w:val="en-US"/>
        </w:rPr>
      </w:pPr>
      <w:r>
        <w:rPr>
          <w:rFonts w:cs="Times New Roman" w:ascii="Times New Roman" w:hAnsi="Times New Roman"/>
          <w:lang w:val="en-US"/>
        </w:rPr>
        <w:t>DL coverage is evaluated at link level with the following considerations:</w:t>
      </w:r>
    </w:p>
    <w:p>
      <w:pPr>
        <w:pStyle w:val="1"/>
        <w:numPr>
          <w:ilvl w:val="0"/>
          <w:numId w:val="3"/>
        </w:numPr>
        <w:rPr/>
      </w:pPr>
      <w:r>
        <w:rPr/>
        <w:t>NGSO at LEO-600 operating in FR1 is considered in priority</w:t>
      </w:r>
    </w:p>
    <w:p>
      <w:pPr>
        <w:pStyle w:val="1"/>
        <w:numPr>
          <w:ilvl w:val="0"/>
          <w:numId w:val="3"/>
        </w:numPr>
        <w:rPr/>
      </w:pPr>
      <w:r>
        <w:rPr/>
        <w:t>Additional satellite payload parameters defined for system level evaluation are used</w:t>
      </w:r>
    </w:p>
    <w:p>
      <w:pPr>
        <w:pStyle w:val="1"/>
        <w:numPr>
          <w:ilvl w:val="0"/>
          <w:numId w:val="3"/>
        </w:numPr>
        <w:rPr/>
      </w:pPr>
      <w:r>
        <w:rPr/>
        <w:t xml:space="preserve">FFS: Antenna gain reduction due to steering loss can be considered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highlight w:val="green"/>
          <w:lang w:val="en-US"/>
        </w:rPr>
      </w:pPr>
      <w:r>
        <w:rPr>
          <w:rFonts w:cs="Times New Roman" w:ascii="Times New Roman" w:hAnsi="Times New Roman"/>
          <w:highlight w:val="green"/>
          <w:lang w:val="en-US"/>
        </w:rPr>
        <w:t>Agreement</w:t>
      </w:r>
    </w:p>
    <w:p>
      <w:pPr>
        <w:pStyle w:val="Normal"/>
        <w:rPr>
          <w:rFonts w:ascii="Times New Roman" w:hAnsi="Times New Roman" w:cs="Times New Roman"/>
          <w:lang w:val="en-US"/>
        </w:rPr>
      </w:pPr>
      <w:r>
        <w:rPr>
          <w:rFonts w:cs="Times New Roman" w:ascii="Times New Roman" w:hAnsi="Times New Roman"/>
          <w:lang w:val="en-US"/>
        </w:rPr>
        <w:t>For the evaluation of NTN downlink coverage at link level, reuse the target data rate from Rel-18 NTN Coverage enhancements:</w:t>
      </w:r>
    </w:p>
    <w:p>
      <w:pPr>
        <w:pStyle w:val="1"/>
        <w:numPr>
          <w:ilvl w:val="0"/>
          <w:numId w:val="3"/>
        </w:numPr>
        <w:rPr/>
      </w:pPr>
      <w:r>
        <w:rPr/>
        <w:t xml:space="preserve">For VoIP: AMR 4.75 kbps (TBS of 184 bits without CRC in physical layer) with 20 ms data arriving interval. </w:t>
      </w:r>
    </w:p>
    <w:p>
      <w:pPr>
        <w:pStyle w:val="1"/>
        <w:numPr>
          <w:ilvl w:val="0"/>
          <w:numId w:val="3"/>
        </w:numPr>
        <w:rPr/>
      </w:pPr>
      <w:r>
        <w:rPr/>
        <w:t>For data rate service: both 3 kbps and 1Mbps can be considered.</w:t>
      </w:r>
    </w:p>
    <w:p>
      <w:pPr>
        <w:pStyle w:val="1"/>
        <w:numPr>
          <w:ilvl w:val="1"/>
          <w:numId w:val="3"/>
        </w:numPr>
        <w:rPr/>
      </w:pPr>
      <w:r>
        <w:rPr/>
        <w:t>Companies can also use the data rates corresponding to the traffic types used for system level evaluations.</w:t>
      </w:r>
    </w:p>
    <w:p>
      <w:pPr>
        <w:pStyle w:val="1"/>
        <w:ind w:left="0" w:hanging="0"/>
        <w:rPr/>
      </w:pPr>
      <w:r>
        <w:rPr/>
      </w:r>
    </w:p>
    <w:p>
      <w:pPr>
        <w:pStyle w:val="Normal"/>
        <w:rPr>
          <w:rFonts w:ascii="Times New Roman" w:hAnsi="Times New Roman" w:cs="Times New Roman"/>
          <w:highlight w:val="green"/>
          <w:lang w:val="en-US"/>
        </w:rPr>
      </w:pPr>
      <w:r>
        <w:rPr>
          <w:rFonts w:cs="Times New Roman" w:ascii="Times New Roman" w:hAnsi="Times New Roman"/>
          <w:highlight w:val="green"/>
          <w:lang w:val="en-US"/>
        </w:rPr>
        <w:t>Agreement</w:t>
      </w:r>
    </w:p>
    <w:p>
      <w:pPr>
        <w:pStyle w:val="Normal"/>
        <w:rPr>
          <w:rFonts w:ascii="Times New Roman" w:hAnsi="Times New Roman" w:cs="Times New Roman"/>
        </w:rPr>
      </w:pPr>
      <w:r>
        <w:rPr>
          <w:rFonts w:cs="Times New Roman" w:ascii="Times New Roman" w:hAnsi="Times New Roman"/>
          <w:lang w:val="en-US"/>
        </w:rPr>
        <w:t>For link-level study, downlink coverage performance in NR NTN is evaluated according to the following steps.</w:t>
      </w:r>
    </w:p>
    <w:p>
      <w:pPr>
        <w:pStyle w:val="Normal"/>
        <w:rPr>
          <w:rFonts w:ascii="Times New Roman" w:hAnsi="Times New Roman" w:cs="Times New Roman"/>
          <w:lang w:val="en-US"/>
        </w:rPr>
      </w:pPr>
      <w:r>
        <w:rPr>
          <w:rFonts w:cs="Times New Roman" w:ascii="Times New Roman" w:hAnsi="Times New Roman"/>
          <w:lang w:val="en-US"/>
        </w:rPr>
        <w:t>Step 1: CNR is calculated as defined in 6.1.3.1 of TR 38.821</w:t>
      </w:r>
    </w:p>
    <w:p>
      <w:pPr>
        <w:pStyle w:val="Normal"/>
        <w:rPr>
          <w:rFonts w:ascii="Times New Roman" w:hAnsi="Times New Roman" w:cs="Times New Roman"/>
          <w:lang w:val="en-US"/>
        </w:rPr>
      </w:pPr>
      <w:r>
        <w:rPr>
          <w:rFonts w:cs="Times New Roman" w:ascii="Times New Roman" w:hAnsi="Times New Roman"/>
          <w:lang w:val="en-US"/>
        </w:rPr>
        <w:t>Step 2: Required SNR of target service is evaluated by LLS</w:t>
      </w:r>
    </w:p>
    <w:p>
      <w:pPr>
        <w:pStyle w:val="Normal"/>
        <w:rPr>
          <w:rFonts w:ascii="Times New Roman" w:hAnsi="Times New Roman" w:cs="Times New Roman"/>
          <w:lang w:val="en-US"/>
        </w:rPr>
      </w:pPr>
      <w:r>
        <w:rPr>
          <w:rFonts w:cs="Times New Roman" w:ascii="Times New Roman" w:hAnsi="Times New Roman"/>
          <w:lang w:val="en-US"/>
        </w:rPr>
        <w:t>Step 3: The CNR and the required SNR are compared</w:t>
      </w:r>
    </w:p>
    <w:p>
      <w:pPr>
        <w:pStyle w:val="Normal"/>
        <w:rPr>
          <w:rFonts w:ascii="Times New Roman" w:hAnsi="Times New Roman" w:cs="Times New Roman"/>
          <w:lang w:val="en-US"/>
        </w:rPr>
      </w:pPr>
      <w:r>
        <w:rPr>
          <w:rFonts w:cs="Times New Roman" w:ascii="Times New Roman" w:hAnsi="Times New Roman"/>
          <w:lang w:val="en-US"/>
        </w:rPr>
      </w:r>
    </w:p>
    <w:p>
      <w:pPr>
        <w:pStyle w:val="Normal"/>
        <w:rPr>
          <w:rFonts w:ascii="Times New Roman" w:hAnsi="Times New Roman" w:cs="Times New Roman"/>
          <w:highlight w:val="green"/>
          <w:lang w:val="en-US"/>
        </w:rPr>
      </w:pPr>
      <w:r>
        <w:rPr>
          <w:rFonts w:cs="Times New Roman" w:ascii="Times New Roman" w:hAnsi="Times New Roman"/>
          <w:highlight w:val="green"/>
          <w:lang w:val="en-US"/>
        </w:rPr>
        <w:t>Agreement</w:t>
      </w:r>
    </w:p>
    <w:p>
      <w:pPr>
        <w:pStyle w:val="Normal"/>
        <w:rPr>
          <w:rFonts w:ascii="Times New Roman" w:hAnsi="Times New Roman" w:cs="Times New Roman"/>
        </w:rPr>
      </w:pPr>
      <w:r>
        <w:rPr>
          <w:rFonts w:cs="Times New Roman" w:ascii="Times New Roman" w:hAnsi="Times New Roman"/>
          <w:lang w:val="en-US"/>
        </w:rPr>
        <w:t>For link-level study, for NR NTN DL coverage enhancement, the following channels/signals can be considered for evaluations:</w:t>
      </w:r>
    </w:p>
    <w:p>
      <w:pPr>
        <w:pStyle w:val="1"/>
        <w:numPr>
          <w:ilvl w:val="0"/>
          <w:numId w:val="3"/>
        </w:numPr>
        <w:rPr/>
      </w:pPr>
      <w:r>
        <w:rPr/>
        <w:t>PDSCH for VoIP</w:t>
      </w:r>
    </w:p>
    <w:p>
      <w:pPr>
        <w:pStyle w:val="1"/>
        <w:numPr>
          <w:ilvl w:val="0"/>
          <w:numId w:val="3"/>
        </w:numPr>
        <w:rPr/>
      </w:pPr>
      <w:r>
        <w:rPr/>
        <w:t>PDSCH for low data rate service</w:t>
      </w:r>
    </w:p>
    <w:p>
      <w:pPr>
        <w:pStyle w:val="1"/>
        <w:numPr>
          <w:ilvl w:val="0"/>
          <w:numId w:val="3"/>
        </w:numPr>
        <w:rPr/>
      </w:pPr>
      <w:r>
        <w:rPr/>
        <w:t>PDSCH Msg.2</w:t>
      </w:r>
    </w:p>
    <w:p>
      <w:pPr>
        <w:pStyle w:val="1"/>
        <w:numPr>
          <w:ilvl w:val="0"/>
          <w:numId w:val="3"/>
        </w:numPr>
        <w:rPr/>
      </w:pPr>
      <w:r>
        <w:rPr/>
        <w:t>PDSCH Msg.4</w:t>
      </w:r>
    </w:p>
    <w:p>
      <w:pPr>
        <w:pStyle w:val="1"/>
        <w:numPr>
          <w:ilvl w:val="0"/>
          <w:numId w:val="3"/>
        </w:numPr>
        <w:rPr/>
      </w:pPr>
      <w:r>
        <w:rPr>
          <w:rFonts w:eastAsia="DengXian;等线"/>
        </w:rPr>
        <w:t>PDSCH carry SIB, e.g., SIB1, SIB 19</w:t>
      </w:r>
    </w:p>
    <w:p>
      <w:pPr>
        <w:pStyle w:val="1"/>
        <w:numPr>
          <w:ilvl w:val="0"/>
          <w:numId w:val="3"/>
        </w:numPr>
        <w:rPr/>
      </w:pPr>
      <w:r>
        <w:rPr/>
        <w:t>PDSCH for paging</w:t>
      </w:r>
    </w:p>
    <w:p>
      <w:pPr>
        <w:pStyle w:val="1"/>
        <w:numPr>
          <w:ilvl w:val="0"/>
          <w:numId w:val="3"/>
        </w:numPr>
        <w:rPr/>
      </w:pPr>
      <w:r>
        <w:rPr/>
        <w:t>PDCCH</w:t>
      </w:r>
    </w:p>
    <w:p>
      <w:pPr>
        <w:pStyle w:val="1"/>
        <w:numPr>
          <w:ilvl w:val="0"/>
          <w:numId w:val="3"/>
        </w:numPr>
        <w:rPr/>
      </w:pPr>
      <w:r>
        <w:rPr/>
        <w:t>Broadcast PDCCH (e.g. PDCCH of Msg.2, paging)</w:t>
      </w:r>
    </w:p>
    <w:p>
      <w:pPr>
        <w:pStyle w:val="1"/>
        <w:numPr>
          <w:ilvl w:val="0"/>
          <w:numId w:val="3"/>
        </w:numPr>
        <w:rPr/>
      </w:pPr>
      <w:r>
        <w:rPr/>
        <w:t>SSB</w:t>
      </w:r>
    </w:p>
    <w:p>
      <w:pPr>
        <w:pStyle w:val="Normal"/>
        <w:rPr>
          <w:rFonts w:ascii="Times New Roman" w:hAnsi="Times New Roman" w:cs="Times New Roman"/>
        </w:rPr>
      </w:pPr>
      <w:r>
        <w:rPr>
          <w:rFonts w:cs="Times New Roman" w:ascii="Times New Roman" w:hAnsi="Times New Roman"/>
        </w:rPr>
        <w:t xml:space="preserve">Note: RAN1 will aim to identify necessary link-level enhancements for these </w:t>
      </w:r>
      <w:r>
        <w:rPr>
          <w:rFonts w:cs="Times New Roman" w:ascii="Times New Roman" w:hAnsi="Times New Roman"/>
          <w:lang w:val="en-US"/>
        </w:rPr>
        <w:t>channels</w:t>
      </w:r>
      <w:r>
        <w:rPr>
          <w:rFonts w:cs="Times New Roman" w:ascii="Times New Roman" w:hAnsi="Times New Roman"/>
        </w:rPr>
        <w:t xml:space="preserve"> in the study phase. At the end of the study phase, RAN1 will further discuss whether the potential link-level enhancements will be specified within Rel-19 framework.</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highlight w:val="green"/>
        </w:rPr>
      </w:pPr>
      <w:r>
        <w:rPr>
          <w:rFonts w:cs="Times New Roman" w:ascii="Times New Roman" w:hAnsi="Times New Roman"/>
          <w:highlight w:val="green"/>
        </w:rPr>
        <w:t>Agreement</w:t>
      </w:r>
    </w:p>
    <w:p>
      <w:pPr>
        <w:pStyle w:val="Normal"/>
        <w:rPr>
          <w:rFonts w:ascii="Times New Roman" w:hAnsi="Times New Roman" w:cs="Times New Roman"/>
        </w:rPr>
      </w:pPr>
      <w:r>
        <w:rPr>
          <w:rFonts w:cs="Times New Roman" w:ascii="Times New Roman" w:hAnsi="Times New Roman"/>
        </w:rPr>
        <w:t>For DL coverage performance evaluation, the following are assumed for all channels/signals</w:t>
      </w:r>
    </w:p>
    <w:p>
      <w:pPr>
        <w:pStyle w:val="1"/>
        <w:numPr>
          <w:ilvl w:val="0"/>
          <w:numId w:val="3"/>
        </w:numPr>
        <w:rPr/>
      </w:pPr>
      <w:r>
        <w:rPr/>
        <w:t>Channel model/Delay spread:</w:t>
      </w:r>
    </w:p>
    <w:p>
      <w:pPr>
        <w:pStyle w:val="1"/>
        <w:numPr>
          <w:ilvl w:val="1"/>
          <w:numId w:val="3"/>
        </w:numPr>
        <w:rPr/>
      </w:pPr>
      <w:r>
        <w:rPr/>
        <w:t>Channel model as in Table 6.1.2-4 of TR38.821, NTN-TDL-C (LOS)</w:t>
      </w:r>
    </w:p>
    <w:p>
      <w:pPr>
        <w:pStyle w:val="1"/>
        <w:numPr>
          <w:ilvl w:val="0"/>
          <w:numId w:val="3"/>
        </w:numPr>
        <w:rPr/>
      </w:pPr>
      <w:r>
        <w:rPr/>
        <w:t>Evaluation scenario:</w:t>
      </w:r>
    </w:p>
    <w:p>
      <w:pPr>
        <w:pStyle w:val="1"/>
        <w:numPr>
          <w:ilvl w:val="1"/>
          <w:numId w:val="3"/>
        </w:numPr>
        <w:rPr/>
      </w:pPr>
      <w:r>
        <w:rPr/>
        <w:t>Rural (LOS)</w:t>
      </w:r>
    </w:p>
    <w:p>
      <w:pPr>
        <w:pStyle w:val="1"/>
        <w:numPr>
          <w:ilvl w:val="0"/>
          <w:numId w:val="3"/>
        </w:numPr>
        <w:rPr/>
      </w:pPr>
      <w:r>
        <w:rPr/>
        <w:t>Channel estimation: Realistic estimation:</w:t>
      </w:r>
    </w:p>
    <w:p>
      <w:pPr>
        <w:pStyle w:val="1"/>
        <w:numPr>
          <w:ilvl w:val="1"/>
          <w:numId w:val="3"/>
        </w:numPr>
        <w:rPr/>
      </w:pPr>
      <w:r>
        <w:rPr/>
        <w:t>Companies are encouraged to report channel estimation method.</w:t>
      </w:r>
    </w:p>
    <w:p>
      <w:pPr>
        <w:pStyle w:val="1"/>
        <w:numPr>
          <w:ilvl w:val="0"/>
          <w:numId w:val="3"/>
        </w:numPr>
        <w:rPr/>
      </w:pPr>
      <w:r>
        <w:rPr/>
        <w:t>SCS:</w:t>
      </w:r>
    </w:p>
    <w:p>
      <w:pPr>
        <w:pStyle w:val="1"/>
        <w:numPr>
          <w:ilvl w:val="1"/>
          <w:numId w:val="3"/>
        </w:numPr>
        <w:rPr/>
      </w:pPr>
      <w:r>
        <w:rPr/>
        <w:t>15 kHz only</w:t>
      </w:r>
    </w:p>
    <w:p>
      <w:pPr>
        <w:pStyle w:val="1"/>
        <w:numPr>
          <w:ilvl w:val="0"/>
          <w:numId w:val="3"/>
        </w:numPr>
        <w:rPr/>
      </w:pPr>
      <w:r>
        <w:rPr/>
        <w:t>UE speed: 3 km/h</w:t>
      </w:r>
    </w:p>
    <w:p>
      <w:pPr>
        <w:pStyle w:val="1"/>
        <w:numPr>
          <w:ilvl w:val="0"/>
          <w:numId w:val="3"/>
        </w:numPr>
        <w:rPr/>
      </w:pPr>
      <w:r>
        <w:rPr/>
        <w:t>Frequency drift: TBD</w:t>
      </w:r>
    </w:p>
    <w:p>
      <w:pPr>
        <w:pStyle w:val="1"/>
        <w:numPr>
          <w:ilvl w:val="0"/>
          <w:numId w:val="3"/>
        </w:numPr>
        <w:rPr/>
      </w:pPr>
      <w:r>
        <w:rPr/>
        <w:t>Frequency offset: 0.1 ppm</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highlight w:val="green"/>
        </w:rPr>
      </w:pPr>
      <w:r>
        <w:rPr>
          <w:rFonts w:cs="Times New Roman" w:ascii="Times New Roman" w:hAnsi="Times New Roman"/>
          <w:highlight w:val="green"/>
        </w:rPr>
        <w:t>Agreement</w:t>
      </w:r>
    </w:p>
    <w:p>
      <w:pPr>
        <w:pStyle w:val="Normal"/>
        <w:rPr>
          <w:rFonts w:ascii="Times New Roman" w:hAnsi="Times New Roman" w:cs="Times New Roman"/>
        </w:rPr>
      </w:pPr>
      <w:r>
        <w:rPr>
          <w:rFonts w:cs="Times New Roman" w:ascii="Times New Roman" w:hAnsi="Times New Roman"/>
        </w:rPr>
        <w:t>For link budget calculation, parameters in the following table are assumed:</w:t>
      </w:r>
    </w:p>
    <w:p>
      <w:pPr>
        <w:pStyle w:val="Normal"/>
        <w:rPr>
          <w:rFonts w:ascii="Times New Roman" w:hAnsi="Times New Roman" w:cs="Times New Roman"/>
        </w:rPr>
      </w:pPr>
      <w:r>
        <w:rPr>
          <w:rFonts w:cs="Times New Roman" w:ascii="Times New Roman" w:hAnsi="Times New Roman"/>
        </w:rPr>
      </w:r>
    </w:p>
    <w:tbl>
      <w:tblPr>
        <w:tblW w:w="7587" w:type="dxa"/>
        <w:jc w:val="left"/>
        <w:tblInd w:w="-113" w:type="dxa"/>
        <w:tblCellMar>
          <w:top w:w="0" w:type="dxa"/>
          <w:left w:w="108" w:type="dxa"/>
          <w:bottom w:w="0" w:type="dxa"/>
          <w:right w:w="108" w:type="dxa"/>
        </w:tblCellMar>
        <w:tblLook w:val="0000" w:noHBand="0" w:noVBand="0" w:firstColumn="0" w:lastRow="0" w:lastColumn="0" w:firstRow="0"/>
      </w:tblPr>
      <w:tblGrid>
        <w:gridCol w:w="3395"/>
        <w:gridCol w:w="4191"/>
      </w:tblGrid>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Parameters</w:t>
            </w:r>
          </w:p>
        </w:tc>
        <w:tc>
          <w:tcPr>
            <w:tcW w:w="4191" w:type="dxa"/>
            <w:tcBorders>
              <w:top w:val="single" w:sz="4" w:space="0" w:color="FFFFFF"/>
              <w:bottom w:val="single" w:sz="4" w:space="0" w:color="FFFFFF"/>
              <w:right w:val="single" w:sz="4" w:space="0" w:color="FFFFFF"/>
            </w:tcBorders>
            <w:shd w:color="auto" w:fill="00B0F0" w:val="clear"/>
          </w:tcPr>
          <w:p>
            <w:pPr>
              <w:pStyle w:val="Normal"/>
              <w:snapToGrid w:val="false"/>
              <w:jc w:val="center"/>
              <w:rPr>
                <w:rFonts w:ascii="Times New Roman" w:hAnsi="Times New Roman" w:cs="Times New Roman"/>
                <w:b/>
                <w:b/>
                <w:bCs/>
                <w:color w:val="FFFFFF"/>
              </w:rPr>
            </w:pPr>
            <w:r>
              <w:rPr>
                <w:rFonts w:cs="Times New Roman" w:ascii="Times New Roman" w:hAnsi="Times New Roman"/>
                <w:b/>
                <w:bCs/>
                <w:color w:val="FFFFFF"/>
              </w:rPr>
            </w:r>
          </w:p>
        </w:tc>
      </w:tr>
      <w:tr>
        <w:trPr>
          <w:trHeight w:val="23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Carrier frequency</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2 GHz for DL (S-band)</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Satellite altitude</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600 km</w:t>
            </w:r>
          </w:p>
        </w:tc>
      </w:tr>
      <w:tr>
        <w:trPr>
          <w:trHeight w:val="23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Target elevation angle</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30° (LEO)</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Atmospheric loss</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Equation (6.6-8) in [38.811]</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Shadowing margin</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3 dB</w:t>
            </w:r>
          </w:p>
        </w:tc>
      </w:tr>
      <w:tr>
        <w:trPr>
          <w:trHeight w:val="694"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Scintillation loss</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Section 6.6.6 in [38.811]</w:t>
            </w:r>
          </w:p>
          <w:p>
            <w:pPr>
              <w:pStyle w:val="Normal"/>
              <w:rPr>
                <w:rFonts w:ascii="Times New Roman" w:hAnsi="Times New Roman" w:cs="Times New Roman"/>
              </w:rPr>
            </w:pPr>
            <w:r>
              <w:rPr>
                <w:rFonts w:cs="Times New Roman" w:ascii="Times New Roman" w:hAnsi="Times New Roman"/>
              </w:rPr>
              <w:t>Ionospheric loss: = 2.2 dB</w:t>
            </w:r>
          </w:p>
          <w:p>
            <w:pPr>
              <w:pStyle w:val="Normal"/>
              <w:rPr>
                <w:rFonts w:ascii="Times New Roman" w:hAnsi="Times New Roman" w:cs="Times New Roman"/>
              </w:rPr>
            </w:pPr>
            <w:r>
              <w:rPr>
                <w:rFonts w:cs="Times New Roman" w:ascii="Times New Roman" w:hAnsi="Times New Roman"/>
              </w:rPr>
              <w:t>Tropospheric loss: Table 6.6.6.2.1-1 of [38.811]</w:t>
            </w:r>
          </w:p>
        </w:tc>
      </w:tr>
      <w:tr>
        <w:trPr>
          <w:trHeight w:val="23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Additional loss</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 xml:space="preserve">0 dB </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Clear sky conditions</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Yes</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Satellite antenna polarization</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Circular polarization</w:t>
            </w:r>
          </w:p>
        </w:tc>
      </w:tr>
      <w:tr>
        <w:trPr>
          <w:trHeight w:val="23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Terminal type</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[S band: (M, N, P) = (1,1,2)]</w:t>
            </w:r>
          </w:p>
        </w:tc>
      </w:tr>
      <w:tr>
        <w:trPr>
          <w:trHeight w:val="23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UE antenna gain</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eastAsia="DengXian;等线" w:cs="Times New Roman"/>
              </w:rPr>
            </w:pPr>
            <w:r>
              <w:rPr>
                <w:rFonts w:eastAsia="DengXian;等线" w:cs="Times New Roman" w:ascii="Times New Roman" w:hAnsi="Times New Roman"/>
              </w:rPr>
              <w:t>-5.5dBi</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Free space path loss</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Equation (6.6-2) in [38.811]</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Polarization loss</w:t>
            </w:r>
          </w:p>
        </w:tc>
        <w:tc>
          <w:tcPr>
            <w:tcW w:w="4191" w:type="dxa"/>
            <w:tcBorders>
              <w:top w:val="single" w:sz="4" w:space="0" w:color="FFFFFF"/>
              <w:left w:val="single" w:sz="4" w:space="0" w:color="FFFFFF"/>
              <w:bottom w:val="single" w:sz="4" w:space="0" w:color="FFFFFF"/>
              <w:right w:val="single" w:sz="4" w:space="0" w:color="FFFFFF"/>
            </w:tcBorders>
            <w:shd w:color="auto" w:fill="DBE5F1" w:val="clear"/>
          </w:tcPr>
          <w:p>
            <w:pPr>
              <w:pStyle w:val="Normal"/>
              <w:rPr>
                <w:rFonts w:ascii="Times New Roman" w:hAnsi="Times New Roman" w:cs="Times New Roman"/>
              </w:rPr>
            </w:pPr>
            <w:r>
              <w:rPr>
                <w:rFonts w:cs="Times New Roman" w:ascii="Times New Roman" w:hAnsi="Times New Roman"/>
              </w:rPr>
              <w:t>3dB</w:t>
            </w:r>
          </w:p>
        </w:tc>
      </w:tr>
      <w:tr>
        <w:trPr>
          <w:trHeight w:val="228" w:hRule="atLeast"/>
        </w:trPr>
        <w:tc>
          <w:tcPr>
            <w:tcW w:w="3395" w:type="dxa"/>
            <w:tcBorders>
              <w:top w:val="single" w:sz="4" w:space="0" w:color="FFFFFF"/>
              <w:left w:val="single" w:sz="4" w:space="0" w:color="FFFFFF"/>
              <w:bottom w:val="single" w:sz="4" w:space="0" w:color="FFFFFF"/>
            </w:tcBorders>
            <w:shd w:color="auto" w:fill="00B0F0" w:val="clear"/>
          </w:tcPr>
          <w:p>
            <w:pPr>
              <w:pStyle w:val="Normal"/>
              <w:rPr>
                <w:rFonts w:ascii="Times New Roman" w:hAnsi="Times New Roman" w:cs="Times New Roman"/>
                <w:b/>
                <w:b/>
                <w:bCs/>
                <w:color w:val="FFFFFF"/>
              </w:rPr>
            </w:pPr>
            <w:r>
              <w:rPr>
                <w:rFonts w:cs="Times New Roman" w:ascii="Times New Roman" w:hAnsi="Times New Roman"/>
                <w:b/>
                <w:bCs/>
                <w:color w:val="FFFFFF"/>
              </w:rPr>
              <w:t>Outcome</w:t>
            </w:r>
          </w:p>
        </w:tc>
        <w:tc>
          <w:tcPr>
            <w:tcW w:w="4191" w:type="dxa"/>
            <w:tcBorders>
              <w:top w:val="single" w:sz="4" w:space="0" w:color="FFFFFF"/>
              <w:left w:val="single" w:sz="4" w:space="0" w:color="FFFFFF"/>
              <w:bottom w:val="single" w:sz="4" w:space="0" w:color="FFFFFF"/>
              <w:right w:val="single" w:sz="4" w:space="0" w:color="FFFFFF"/>
            </w:tcBorders>
            <w:shd w:color="auto" w:fill="B4C6E7" w:val="clear"/>
          </w:tcPr>
          <w:p>
            <w:pPr>
              <w:pStyle w:val="Normal"/>
              <w:rPr>
                <w:rFonts w:ascii="Times New Roman" w:hAnsi="Times New Roman" w:cs="Times New Roman"/>
              </w:rPr>
            </w:pPr>
            <w:r>
              <w:rPr>
                <w:rFonts w:cs="Times New Roman" w:ascii="Times New Roman" w:hAnsi="Times New Roman"/>
              </w:rPr>
              <w:t>CNR</w:t>
            </w:r>
          </w:p>
        </w:tc>
      </w:tr>
    </w:tbl>
    <w:p>
      <w:pPr>
        <w:pStyle w:val="Normal"/>
        <w:pBdr>
          <w:bottom w:val="single" w:sz="4" w:space="1" w:color="000000"/>
        </w:pBdr>
        <w:tabs>
          <w:tab w:val="clear" w:pos="709"/>
          <w:tab w:val="left" w:pos="1985" w:leader="none"/>
        </w:tabs>
        <w:ind w:right="-441" w:hanging="0"/>
        <w:jc w:val="both"/>
        <w:rPr>
          <w:rFonts w:ascii="Times New Roman" w:hAnsi="Times New Roman" w:cs="Times New Roman"/>
          <w:b/>
          <w:b/>
          <w:bCs/>
          <w:sz w:val="36"/>
          <w:szCs w:val="36"/>
        </w:rPr>
      </w:pPr>
      <w:r>
        <w:rPr>
          <w:rFonts w:cs="Times New Roman" w:ascii="Times New Roman" w:hAnsi="Times New Roman"/>
          <w:b/>
          <w:bCs/>
          <w:sz w:val="36"/>
          <w:szCs w:val="36"/>
        </w:rPr>
      </w:r>
    </w:p>
    <w:p>
      <w:pPr>
        <w:pStyle w:val="Heading1"/>
        <w:numPr>
          <w:ilvl w:val="0"/>
          <w:numId w:val="4"/>
        </w:numPr>
        <w:ind w:left="360" w:hanging="360"/>
        <w:rPr>
          <w:rFonts w:ascii="Times New Roman" w:hAnsi="Times New Roman" w:cs="Times New Roman"/>
          <w:b/>
          <w:b/>
          <w:bCs/>
          <w:color w:val="auto"/>
        </w:rPr>
      </w:pPr>
      <w:r>
        <w:rPr>
          <w:rFonts w:cs="Times New Roman" w:ascii="Times New Roman" w:hAnsi="Times New Roman"/>
          <w:b/>
          <w:bCs/>
          <w:color w:val="auto"/>
        </w:rPr>
        <w:t>PDCCH Enhancements</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t>PDCCH enhancements can happen in the following ways:</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Heading2"/>
        <w:numPr>
          <w:ilvl w:val="0"/>
          <w:numId w:val="6"/>
        </w:numPr>
        <w:rPr>
          <w:color w:val="auto"/>
        </w:rPr>
      </w:pPr>
      <w:r>
        <w:rPr>
          <w:rStyle w:val="Heading2Char"/>
          <w:rFonts w:cs="Times New Roman" w:ascii="Times New Roman" w:hAnsi="Times New Roman"/>
          <w:b/>
          <w:bCs/>
          <w:color w:val="auto"/>
        </w:rPr>
        <w:t>Higher number of repetitions</w:t>
      </w:r>
    </w:p>
    <w:p>
      <w:pPr>
        <w:pStyle w:val="Normal"/>
        <w:tabs>
          <w:tab w:val="clear" w:pos="709"/>
          <w:tab w:val="left" w:pos="1985" w:leader="none"/>
        </w:tabs>
        <w:spacing w:before="120" w:after="0"/>
        <w:jc w:val="both"/>
        <w:rPr>
          <w:rFonts w:ascii="Times New Roman" w:hAnsi="Times New Roman" w:cs="Times New Roman"/>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rFonts w:cs="Times New Roman" w:ascii="Times New Roman" w:hAnsi="Times New Roman"/>
        </w:rPr>
        <w:t>he link quality can be enhanced through increased PDCCH repetitions. Presently TS 38.213 Clause 10.1 considers only two repetitions for PDCCH. For NTN point of view, the maximum number of repetitions can be extended beyond two.</w:t>
      </w:r>
    </w:p>
    <w:p>
      <w:pPr>
        <w:pStyle w:val="Normal"/>
        <w:tabs>
          <w:tab w:val="clear" w:pos="709"/>
          <w:tab w:val="left" w:pos="1985" w:leader="none"/>
        </w:tabs>
        <w:spacing w:before="120" w:after="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rPr>
        <w:t xml:space="preserve">Proposal 1: </w:t>
      </w:r>
      <w:r>
        <w:rPr>
          <w:rFonts w:cs="Times New Roman" w:ascii="Times New Roman" w:hAnsi="Times New Roman"/>
          <w:i/>
          <w:iCs/>
        </w:rPr>
        <w:t xml:space="preserve">The maximum number of repetitions for PDCCH can be extended beyond two for NR NTN DL coverage enhancements. </w:t>
      </w:r>
    </w:p>
    <w:p>
      <w:pPr>
        <w:pStyle w:val="Normal"/>
        <w:jc w:val="both"/>
        <w:rPr>
          <w:rFonts w:ascii="Times New Roman" w:hAnsi="Times New Roman" w:cs="Times New Roman"/>
        </w:rPr>
      </w:pPr>
      <w:r>
        <w:rPr>
          <w:rFonts w:cs="Times New Roman" w:ascii="Times New Roman" w:hAnsi="Times New Roman"/>
        </w:rPr>
      </w:r>
    </w:p>
    <w:p>
      <w:pPr>
        <w:pStyle w:val="Heading2"/>
        <w:numPr>
          <w:ilvl w:val="0"/>
          <w:numId w:val="6"/>
        </w:numPr>
        <w:rPr>
          <w:rStyle w:val="Heading2Char"/>
          <w:rFonts w:ascii="Times New Roman" w:hAnsi="Times New Roman" w:cs="Times New Roman"/>
          <w:b/>
          <w:b/>
          <w:bCs/>
          <w:color w:val="auto"/>
        </w:rPr>
      </w:pPr>
      <w:r>
        <w:rPr>
          <w:rStyle w:val="Heading2Char"/>
          <w:rFonts w:cs="Times New Roman" w:ascii="Times New Roman" w:hAnsi="Times New Roman"/>
          <w:b/>
          <w:bCs/>
          <w:color w:val="auto"/>
        </w:rPr>
        <w:t>Dynamic Aggregation Level</w:t>
      </w:r>
    </w:p>
    <w:p>
      <w:pPr>
        <w:pStyle w:val="Normal"/>
        <w:tabs>
          <w:tab w:val="clear" w:pos="709"/>
          <w:tab w:val="left" w:pos="1985" w:leader="none"/>
        </w:tabs>
        <w:ind w:right="-441" w:hanging="0"/>
        <w:jc w:val="both"/>
        <w:rPr>
          <w:rStyle w:val="Heading2Char"/>
          <w:rFonts w:ascii="Times New Roman" w:hAnsi="Times New Roman" w:cs="Times New Roman"/>
          <w:b/>
          <w:b/>
          <w:bCs/>
          <w:color w:val="auto"/>
        </w:rPr>
      </w:pPr>
      <w:r>
        <w:rPr>
          <w:rFonts w:cs="Times New Roman" w:ascii="Times New Roman" w:hAnsi="Times New Roman"/>
          <w:b/>
          <w:bCs/>
          <w:color w:val="auto"/>
        </w:rPr>
      </w:r>
    </w:p>
    <w:p>
      <w:pPr>
        <w:pStyle w:val="TextBody"/>
        <w:spacing w:before="0" w:after="0"/>
        <w:jc w:val="both"/>
        <w:rPr>
          <w:rFonts w:ascii="Times New Roman" w:hAnsi="Times New Roman" w:cs="Times New Roman"/>
        </w:rPr>
      </w:pPr>
      <w:r>
        <w:rPr>
          <w:rFonts w:cs="Times New Roman" w:ascii="Times New Roman" w:hAnsi="Times New Roman"/>
        </w:rPr>
        <w:t>Currently, higher aggregation levels are selected for areas with poor coverage, while lower aggregation levels are chosen for regions with better coverage. Various aggregation levels, including 1, 2, 4, 8, and 16, exist. In the context of NTN, the link quality is very poor, resulting in inadequate coverage performance. Therefore, higher aggregation levels, such as 32 and 64, can be introduced.  As the aggregation level increases, the demand for resources for control signalling also increases. These aggregation levels are typically suited for delay-tolerant applications, which is often the case in NR NTN.</w:t>
      </w:r>
    </w:p>
    <w:p>
      <w:pPr>
        <w:pStyle w:val="TextBody"/>
        <w:spacing w:before="0" w:after="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rPr>
        <w:t xml:space="preserve">Proposal 2: </w:t>
      </w:r>
      <w:r>
        <w:rPr>
          <w:rFonts w:cs="Times New Roman" w:ascii="Times New Roman" w:hAnsi="Times New Roman"/>
          <w:i/>
          <w:iCs/>
        </w:rPr>
        <w:t xml:space="preserve">The higher aggregation level can be supported, such as 32 and 64, to improve the link margin of PDCCH for DL coverage enhancement of NR NTN. </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TextBody"/>
        <w:spacing w:before="0" w:after="0"/>
        <w:jc w:val="both"/>
        <w:rPr>
          <w:rFonts w:ascii="Times New Roman" w:hAnsi="Times New Roman" w:cs="Times New Roman"/>
        </w:rPr>
      </w:pPr>
      <w:r>
        <w:rPr>
          <w:rFonts w:cs="Times New Roman" w:ascii="Times New Roman" w:hAnsi="Times New Roman"/>
        </w:rPr>
        <w:t>There's a necessity to improve the coverage by increasing PDCCH repetitions. To further enhance coverage, a higher aggregation level has been introduced. Maintaining a constant aggregation level for all repetitions would only result in a constant gain. Conversely, employing different aggregation levels for each repetition may yield additional gains in terms of coding and diversity. For example, in the case of four repetitions of PDCCH, each repetition can employ different aggregation levels sequentially, such as 32, 16, 8, and 4. This method yields coding and diversity gains.</w:t>
      </w:r>
    </w:p>
    <w:p>
      <w:pPr>
        <w:pStyle w:val="TextBody"/>
        <w:spacing w:before="0" w:after="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 xml:space="preserve">Observation 1: </w:t>
      </w:r>
      <w:r>
        <w:rPr>
          <w:rFonts w:cs="Times New Roman" w:ascii="Times New Roman" w:hAnsi="Times New Roman"/>
          <w:i/>
          <w:iCs/>
        </w:rPr>
        <w:t xml:space="preserve">Supporting dynamic aggregation levels for each PDCCH repetition can yield diversity gain which leads to DL coverage enhancements in NR NTN. </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3:</w:t>
      </w:r>
      <w:r>
        <w:rPr>
          <w:rFonts w:cs="Times New Roman" w:ascii="Times New Roman" w:hAnsi="Times New Roman"/>
          <w:i/>
          <w:iCs/>
        </w:rPr>
        <w:t xml:space="preserve"> For PDCCH, dynamic aggregation level per repetition can be configured to improve the DL coverage of NR NTN. </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Heading2"/>
        <w:numPr>
          <w:ilvl w:val="0"/>
          <w:numId w:val="6"/>
        </w:numPr>
        <w:rPr>
          <w:rStyle w:val="Heading2Char"/>
          <w:rFonts w:ascii="Times New Roman" w:hAnsi="Times New Roman" w:cs="Times New Roman"/>
          <w:b/>
          <w:b/>
          <w:bCs/>
          <w:color w:val="auto"/>
        </w:rPr>
      </w:pPr>
      <w:r>
        <w:rPr>
          <w:rStyle w:val="Heading2Char"/>
          <w:rFonts w:cs="Times New Roman" w:ascii="Times New Roman" w:hAnsi="Times New Roman"/>
          <w:b/>
          <w:bCs/>
          <w:color w:val="auto"/>
        </w:rPr>
        <w:t>DCI Segmentations</w:t>
      </w:r>
    </w:p>
    <w:p>
      <w:pPr>
        <w:pStyle w:val="Normal"/>
        <w:tabs>
          <w:tab w:val="clear" w:pos="709"/>
          <w:tab w:val="left" w:pos="1985" w:leader="none"/>
        </w:tabs>
        <w:ind w:right="-441" w:hanging="0"/>
        <w:jc w:val="both"/>
        <w:rPr>
          <w:rStyle w:val="Heading2Char"/>
          <w:rFonts w:ascii="Times New Roman" w:hAnsi="Times New Roman" w:cs="Times New Roman"/>
          <w:b/>
          <w:b/>
          <w:bCs/>
          <w:color w:val="auto"/>
        </w:rPr>
      </w:pPr>
      <w:r>
        <w:rPr>
          <w:rFonts w:cs="Times New Roman" w:ascii="Times New Roman" w:hAnsi="Times New Roman"/>
          <w:b/>
          <w:bCs/>
          <w:color w:val="auto"/>
        </w:rPr>
      </w:r>
    </w:p>
    <w:p>
      <w:pPr>
        <w:pStyle w:val="Normal"/>
        <w:jc w:val="both"/>
        <w:rPr>
          <w:rFonts w:ascii="Times New Roman" w:hAnsi="Times New Roman" w:cs="Times New Roman"/>
        </w:rPr>
      </w:pPr>
      <w:r>
        <w:rPr>
          <w:rFonts w:cs="Times New Roman" w:ascii="Times New Roman" w:hAnsi="Times New Roman"/>
        </w:rPr>
        <w:t>Within PDCCH, DCIs are transmitted. Each DCI consists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pPr>
        <w:pStyle w:val="Normal"/>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 xml:space="preserve">Proposal 4: </w:t>
      </w:r>
      <w:r>
        <w:rPr>
          <w:rFonts w:cs="Times New Roman" w:ascii="Times New Roman" w:hAnsi="Times New Roman"/>
          <w:i/>
          <w:iCs/>
        </w:rPr>
        <w:t>Each DCI format can be segmented depends on the size of the DCI to provide better coverage for NR NTN</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Heading2"/>
        <w:numPr>
          <w:ilvl w:val="0"/>
          <w:numId w:val="6"/>
        </w:numPr>
        <w:rPr>
          <w:rStyle w:val="Heading2Char"/>
          <w:rFonts w:ascii="Times New Roman" w:hAnsi="Times New Roman" w:cs="Times New Roman"/>
          <w:b/>
          <w:b/>
          <w:bCs/>
          <w:color w:val="auto"/>
        </w:rPr>
      </w:pPr>
      <w:r>
        <w:rPr>
          <w:rStyle w:val="Heading2Char"/>
          <w:rFonts w:cs="Times New Roman" w:ascii="Times New Roman" w:hAnsi="Times New Roman"/>
          <w:b/>
          <w:bCs/>
          <w:color w:val="auto"/>
        </w:rPr>
        <w:t>Elevation Angle based adaptation.</w:t>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rPr>
        <w:t>The number of repetitions,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5:</w:t>
      </w:r>
      <w:r>
        <w:rPr>
          <w:rFonts w:cs="Times New Roman" w:ascii="Times New Roman" w:hAnsi="Times New Roman"/>
        </w:rPr>
        <w:t xml:space="preserve"> </w:t>
      </w:r>
      <w:r>
        <w:rPr>
          <w:rFonts w:cs="Times New Roman" w:ascii="Times New Roman" w:hAnsi="Times New Roman"/>
          <w:i/>
          <w:iCs/>
        </w:rPr>
        <w:t xml:space="preserve">Study the effect of choosing the number of repetitions, aggregation level and number of segmentations based on the elevation angle, for PDCCH, to improve both coverage and spectral efficiency of NR NTN. </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Heading2"/>
        <w:numPr>
          <w:ilvl w:val="0"/>
          <w:numId w:val="6"/>
        </w:numPr>
        <w:rPr>
          <w:rStyle w:val="Heading2Char"/>
          <w:rFonts w:ascii="Times New Roman" w:hAnsi="Times New Roman" w:cs="Times New Roman"/>
          <w:b/>
          <w:b/>
          <w:bCs/>
          <w:color w:val="auto"/>
        </w:rPr>
      </w:pPr>
      <w:r>
        <w:rPr>
          <w:rStyle w:val="Heading2Char"/>
          <w:rFonts w:cs="Times New Roman" w:ascii="Times New Roman" w:hAnsi="Times New Roman"/>
          <w:b/>
          <w:bCs/>
          <w:color w:val="auto"/>
        </w:rPr>
        <w:t>On Number of DMRS</w:t>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rPr>
        <w:t>At present, 25% of PDCCH resources are being occupied by the DMRS. A forementioned methods to improve the coverage uses more resources. Thus, it is important to use the existing resources efficiently. Since the satellite maintains line-of-sight communication, it doesn't require a high number of DMRS in PDCCH. Small scale fading is negligible in satellite environments, and the line-of-sight probability changing primarily with elevation angle. Therefore, the satellite can determine the appropriate number of DMRS based on the elevation angle. A single DMRS is sufficient when the elevation angle is 90 degrees. As the elevation angle decreases, increasing the number of DMRS helps to increase the reliability. A study should be conducted to determine the optimal number of DMRS for each elevation angle.</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6:</w:t>
      </w:r>
      <w:r>
        <w:rPr>
          <w:rFonts w:cs="Times New Roman" w:ascii="Times New Roman" w:hAnsi="Times New Roman"/>
        </w:rPr>
        <w:t xml:space="preserve"> </w:t>
      </w:r>
      <w:r>
        <w:rPr>
          <w:rFonts w:cs="Times New Roman" w:ascii="Times New Roman" w:hAnsi="Times New Roman"/>
          <w:i/>
          <w:iCs/>
        </w:rPr>
        <w:t xml:space="preserve">Study the adoption of number of DMRS based on the elevation angle to improve the spectral efficiency in NR NTN. </w:t>
      </w:r>
    </w:p>
    <w:p>
      <w:pPr>
        <w:pStyle w:val="Normal"/>
        <w:tabs>
          <w:tab w:val="clear" w:pos="709"/>
          <w:tab w:val="left" w:pos="1985" w:leader="none"/>
        </w:tabs>
        <w:ind w:right="-441" w:hanging="0"/>
        <w:jc w:val="both"/>
        <w:rPr>
          <w:rFonts w:ascii="Times New Roman" w:hAnsi="Times New Roman" w:cs="Times New Roman"/>
          <w:b/>
          <w:b/>
          <w:bCs/>
          <w:i/>
          <w:i/>
          <w:iCs/>
        </w:rPr>
      </w:pPr>
      <w:r>
        <w:rPr>
          <w:rFonts w:cs="Times New Roman" w:ascii="Times New Roman" w:hAnsi="Times New Roman"/>
          <w:b/>
          <w:bCs/>
          <w:i/>
          <w:iCs/>
        </w:rPr>
      </w:r>
    </w:p>
    <w:p>
      <w:pPr>
        <w:pStyle w:val="Heading1"/>
        <w:numPr>
          <w:ilvl w:val="0"/>
          <w:numId w:val="4"/>
        </w:numPr>
        <w:ind w:left="360" w:hanging="360"/>
        <w:rPr>
          <w:rFonts w:ascii="Times New Roman" w:hAnsi="Times New Roman" w:cs="Times New Roman"/>
          <w:b/>
          <w:b/>
          <w:bCs/>
          <w:spacing w:val="-10"/>
          <w:kern w:val="2"/>
          <w:szCs w:val="28"/>
        </w:rPr>
      </w:pPr>
      <w:r>
        <w:rPr>
          <w:rFonts w:cs="Times New Roman" w:ascii="Times New Roman" w:hAnsi="Times New Roman"/>
          <w:b/>
          <w:bCs/>
          <w:color w:val="auto"/>
        </w:rPr>
        <w:t>PDSCH Enhancements</w:t>
      </w:r>
    </w:p>
    <w:p>
      <w:pPr>
        <w:pStyle w:val="Normal"/>
        <w:tabs>
          <w:tab w:val="clear" w:pos="709"/>
          <w:tab w:val="left" w:pos="1985" w:leader="none"/>
        </w:tabs>
        <w:ind w:right="8" w:hanging="0"/>
        <w:jc w:val="both"/>
        <w:rPr>
          <w:rFonts w:ascii="Times New Roman" w:hAnsi="Times New Roman" w:cs="Times New Roman"/>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rFonts w:cs="Times New Roman" w:ascii="Times New Roman" w:hAnsi="Times New Roman"/>
        </w:rPr>
        <w:t xml:space="preserve">he link quality can be enhanced through increased PDSCH repetitions. At present, </w:t>
      </w:r>
      <w:r>
        <w:rPr>
          <w:rFonts w:cs="Times New Roman" w:ascii="Times New Roman" w:hAnsi="Times New Roman"/>
          <w:i/>
          <w:iCs/>
        </w:rPr>
        <w:t>pdsch-aggregationfactor</w:t>
      </w:r>
      <w:r>
        <w:rPr>
          <w:rFonts w:cs="Times New Roman" w:ascii="Times New Roman" w:hAnsi="Times New Roman"/>
        </w:rPr>
        <w:t xml:space="preserve"> can be n2, n4 or n8 [TS 38.331, </w:t>
      </w:r>
      <w:r>
        <w:rPr>
          <w:rFonts w:cs="Times New Roman" w:ascii="Times New Roman" w:hAnsi="Times New Roman"/>
          <w:i/>
          <w:iCs/>
        </w:rPr>
        <w:t>pdsch-config</w:t>
      </w:r>
      <w:r>
        <w:rPr>
          <w:rFonts w:cs="Times New Roman" w:ascii="Times New Roman" w:hAnsi="Times New Roman"/>
        </w:rPr>
        <w:t xml:space="preserve">]. Therefore, the maximum number of repetitions that the PSSCH is configured with, is 8. To improve the reliability further, the maximum number of repetitions can be increased to 16 or 32 for NTN scenarios. </w:t>
      </w:r>
    </w:p>
    <w:p>
      <w:pPr>
        <w:pStyle w:val="Normal"/>
        <w:tabs>
          <w:tab w:val="clear" w:pos="709"/>
          <w:tab w:val="left" w:pos="1985" w:leader="none"/>
        </w:tabs>
        <w:ind w:right="-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7:</w:t>
      </w:r>
      <w:r>
        <w:rPr>
          <w:rFonts w:cs="Times New Roman" w:ascii="Times New Roman" w:hAnsi="Times New Roman"/>
          <w:i/>
          <w:iCs/>
        </w:rPr>
        <w:t xml:space="preserve"> The maximum number of repetitions can be increased to 16 or 32 to improve the coverage of NR NTN. </w:t>
      </w:r>
    </w:p>
    <w:p>
      <w:pPr>
        <w:pStyle w:val="Normal"/>
        <w:tabs>
          <w:tab w:val="clear" w:pos="709"/>
          <w:tab w:val="left" w:pos="1985" w:leader="none"/>
        </w:tabs>
        <w:ind w:right="8" w:hanging="0"/>
        <w:jc w:val="both"/>
        <w:rPr>
          <w:rFonts w:ascii="Times New Roman" w:hAnsi="Times New Roman" w:cs="Times New Roman"/>
        </w:rPr>
      </w:pPr>
      <w:r>
        <w:rPr/>
      </w:r>
    </w:p>
    <w:p>
      <w:pPr>
        <w:pStyle w:val="Heading1"/>
        <w:numPr>
          <w:ilvl w:val="0"/>
          <w:numId w:val="4"/>
        </w:numPr>
        <w:pBdr>
          <w:top w:val="single" w:sz="4" w:space="1" w:color="000000"/>
        </w:pBdr>
        <w:ind w:left="360" w:hanging="360"/>
        <w:rPr>
          <w:rFonts w:ascii="Times New Roman" w:hAnsi="Times New Roman" w:cs="Times New Roman"/>
          <w:b/>
          <w:b/>
          <w:bCs/>
          <w:color w:val="auto"/>
        </w:rPr>
      </w:pPr>
      <w:r>
        <w:rPr>
          <w:rFonts w:cs="Times New Roman" w:ascii="Times New Roman" w:hAnsi="Times New Roman"/>
          <w:b/>
          <w:bCs/>
          <w:color w:val="auto"/>
        </w:rPr>
        <w:t>Conclusion</w:t>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rPr>
        <w:t>This contribution has been addressed methods to enhance the link quality between the UE and the satellite, with a specific focus on discussing PDCCH enhancements.</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rPr>
        <w:t xml:space="preserve">Proposal 1: </w:t>
      </w:r>
      <w:r>
        <w:rPr>
          <w:rFonts w:cs="Times New Roman" w:ascii="Times New Roman" w:hAnsi="Times New Roman"/>
          <w:i/>
          <w:iCs/>
        </w:rPr>
        <w:t xml:space="preserve">The maximum number of repetitions for PDCCH can be extended beyond two for NR NTN DL coverage enhancements. </w:t>
      </w:r>
    </w:p>
    <w:p>
      <w:pPr>
        <w:pStyle w:val="Normal"/>
        <w:tabs>
          <w:tab w:val="clear" w:pos="709"/>
          <w:tab w:val="left" w:pos="1985" w:leader="none"/>
        </w:tabs>
        <w:ind w:right="8" w:hanging="0"/>
        <w:jc w:val="both"/>
        <w:rPr>
          <w:rFonts w:ascii="Times New Roman" w:hAnsi="Times New Roman" w:cs="Times New Roman"/>
          <w:i/>
          <w:i/>
        </w:rPr>
      </w:pPr>
      <w:r>
        <w:rPr>
          <w:rFonts w:cs="Times New Roman" w:ascii="Times New Roman" w:hAnsi="Times New Roman"/>
          <w:i/>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rPr>
        <w:t xml:space="preserve">Proposal 2: </w:t>
      </w:r>
      <w:r>
        <w:rPr>
          <w:rFonts w:cs="Times New Roman" w:ascii="Times New Roman" w:hAnsi="Times New Roman"/>
          <w:i/>
          <w:iCs/>
        </w:rPr>
        <w:t xml:space="preserve">The higher aggregation level can be supported, such as 32 and 64, to improve the link margin of PDCCH for DL coverage enhancement of NR NTN. </w:t>
      </w:r>
    </w:p>
    <w:p>
      <w:pPr>
        <w:pStyle w:val="Normal"/>
        <w:tabs>
          <w:tab w:val="clear" w:pos="709"/>
          <w:tab w:val="left" w:pos="1985" w:leader="none"/>
        </w:tabs>
        <w:ind w:right="8"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 xml:space="preserve">Observation 1: </w:t>
      </w:r>
      <w:r>
        <w:rPr>
          <w:rFonts w:cs="Times New Roman" w:ascii="Times New Roman" w:hAnsi="Times New Roman"/>
          <w:i/>
          <w:iCs/>
        </w:rPr>
        <w:t xml:space="preserve">Supporting dynamic aggregation levels for each PDCCH repetition can yield diversity gain which leads to DL coverage enhancements in NR NTN. </w:t>
      </w:r>
    </w:p>
    <w:p>
      <w:pPr>
        <w:pStyle w:val="Normal"/>
        <w:tabs>
          <w:tab w:val="clear" w:pos="709"/>
          <w:tab w:val="left" w:pos="1985" w:leader="none"/>
        </w:tabs>
        <w:ind w:right="8"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3:</w:t>
      </w:r>
      <w:r>
        <w:rPr>
          <w:rFonts w:cs="Times New Roman" w:ascii="Times New Roman" w:hAnsi="Times New Roman"/>
          <w:i/>
          <w:iCs/>
        </w:rPr>
        <w:t xml:space="preserve"> For PDCCH, dynamic aggregation level per repetition can be configured to improve the DL coverage of NR NTN. </w:t>
      </w:r>
    </w:p>
    <w:p>
      <w:pPr>
        <w:pStyle w:val="Normal"/>
        <w:tabs>
          <w:tab w:val="clear" w:pos="709"/>
          <w:tab w:val="left" w:pos="1985" w:leader="none"/>
        </w:tabs>
        <w:ind w:right="8"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 xml:space="preserve">Proposal 4: </w:t>
      </w:r>
      <w:r>
        <w:rPr>
          <w:rFonts w:cs="Times New Roman" w:ascii="Times New Roman" w:hAnsi="Times New Roman"/>
          <w:i/>
          <w:iCs/>
        </w:rPr>
        <w:t>Each DCI format can be segmented depends on the size of the DCI to provide better coverage for NR NTN</w:t>
      </w:r>
    </w:p>
    <w:p>
      <w:pPr>
        <w:pStyle w:val="Normal"/>
        <w:tabs>
          <w:tab w:val="clear" w:pos="709"/>
          <w:tab w:val="left" w:pos="1985" w:leader="none"/>
        </w:tabs>
        <w:ind w:right="-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5:</w:t>
      </w:r>
      <w:r>
        <w:rPr>
          <w:rFonts w:cs="Times New Roman" w:ascii="Times New Roman" w:hAnsi="Times New Roman"/>
          <w:i/>
          <w:iCs/>
        </w:rPr>
        <w:t xml:space="preserve"> Study the effect of choosing the number of repetitions, aggregation level and number of segmentations based on the elevation angle, for PDCCH, to improve both coverage and spectral efficiency of NR NTN. </w:t>
      </w:r>
    </w:p>
    <w:p>
      <w:pPr>
        <w:pStyle w:val="Normal"/>
        <w:tabs>
          <w:tab w:val="clear" w:pos="709"/>
          <w:tab w:val="left" w:pos="1985" w:leader="none"/>
        </w:tabs>
        <w:ind w:right="8"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6:</w:t>
      </w:r>
      <w:r>
        <w:rPr>
          <w:rFonts w:cs="Times New Roman" w:ascii="Times New Roman" w:hAnsi="Times New Roman"/>
          <w:i/>
          <w:iCs/>
        </w:rPr>
        <w:t xml:space="preserve"> Study the adoption of number of DMRS based on the elevation angle to improve the spectral efficiency in NR NTN. </w:t>
      </w:r>
    </w:p>
    <w:p>
      <w:pPr>
        <w:pStyle w:val="Normal"/>
        <w:tabs>
          <w:tab w:val="clear" w:pos="709"/>
          <w:tab w:val="left" w:pos="1985" w:leader="none"/>
        </w:tabs>
        <w:ind w:right="8"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right="8" w:hanging="0"/>
        <w:jc w:val="both"/>
        <w:rPr>
          <w:rFonts w:ascii="Times New Roman" w:hAnsi="Times New Roman" w:cs="Times New Roman"/>
        </w:rPr>
      </w:pPr>
      <w:r>
        <w:rPr>
          <w:rFonts w:cs="Times New Roman" w:ascii="Times New Roman" w:hAnsi="Times New Roman"/>
          <w:b/>
          <w:bCs/>
          <w:i/>
          <w:iCs/>
        </w:rPr>
        <w:t>Proposal 7:</w:t>
      </w:r>
      <w:r>
        <w:rPr>
          <w:rFonts w:cs="Times New Roman" w:ascii="Times New Roman" w:hAnsi="Times New Roman"/>
          <w:i/>
          <w:iCs/>
        </w:rPr>
        <w:t xml:space="preserve"> The maximum number of repetitions can be increased to 16 or 32 to improve the coverage of NR NTN. </w:t>
      </w:r>
    </w:p>
    <w:p>
      <w:pPr>
        <w:pStyle w:val="Normal"/>
        <w:tabs>
          <w:tab w:val="clear" w:pos="709"/>
          <w:tab w:val="left" w:pos="1985" w:leader="none"/>
        </w:tabs>
        <w:ind w:right="8" w:hanging="0"/>
        <w:jc w:val="both"/>
        <w:rPr>
          <w:rFonts w:ascii="Times New Roman" w:hAnsi="Times New Roman" w:cs="Times New Roman"/>
          <w:i/>
          <w:i/>
          <w:iCs/>
        </w:rPr>
      </w:pPr>
      <w:r>
        <w:rPr>
          <w:rFonts w:cs="Times New Roman" w:ascii="Times New Roman" w:hAnsi="Times New Roman"/>
          <w:i/>
          <w:iCs/>
        </w:rPr>
      </w:r>
    </w:p>
    <w:p>
      <w:pPr>
        <w:pStyle w:val="Heading1"/>
        <w:numPr>
          <w:ilvl w:val="0"/>
          <w:numId w:val="4"/>
        </w:numPr>
        <w:pBdr>
          <w:top w:val="single" w:sz="4" w:space="1" w:color="000000"/>
        </w:pBdr>
        <w:ind w:left="360" w:hanging="360"/>
        <w:rPr>
          <w:rFonts w:ascii="Times New Roman" w:hAnsi="Times New Roman" w:cs="Times New Roman"/>
          <w:b/>
          <w:b/>
          <w:bCs/>
          <w:color w:val="auto"/>
        </w:rPr>
      </w:pPr>
      <w:r>
        <w:rPr>
          <w:rFonts w:cs="Times New Roman" w:ascii="Times New Roman" w:hAnsi="Times New Roman"/>
          <w:b/>
          <w:bCs/>
          <w:color w:val="auto"/>
        </w:rPr>
        <w:t>References</w:t>
      </w:r>
    </w:p>
    <w:p>
      <w:pPr>
        <w:pStyle w:val="Normal"/>
        <w:rPr/>
      </w:pPr>
      <w:r>
        <w:rPr/>
      </w:r>
    </w:p>
    <w:p>
      <w:pPr>
        <w:pStyle w:val="ListParagraph"/>
        <w:numPr>
          <w:ilvl w:val="0"/>
          <w:numId w:val="5"/>
        </w:numPr>
        <w:tabs>
          <w:tab w:val="clear" w:pos="709"/>
          <w:tab w:val="left" w:pos="1985" w:leader="none"/>
        </w:tabs>
        <w:ind w:left="360" w:right="-441" w:hanging="360"/>
        <w:jc w:val="both"/>
        <w:rPr>
          <w:rFonts w:ascii="Times New Roman" w:hAnsi="Times New Roman" w:cs="Times New Roman"/>
        </w:rPr>
      </w:pPr>
      <w:r>
        <w:rPr>
          <w:rFonts w:cs="Times New Roman" w:ascii="Times New Roman" w:hAnsi="Times New Roman"/>
          <w:lang w:eastAsia="en-IN"/>
        </w:rPr>
        <w:t xml:space="preserve">RP-233108, </w:t>
      </w:r>
      <w:r>
        <w:rPr>
          <w:rFonts w:cs="Times New Roman" w:ascii="Times New Roman" w:hAnsi="Times New Roman"/>
        </w:rPr>
        <w:t xml:space="preserve">New WI: Non-Terrestrial Networks (NTN) </w:t>
      </w:r>
      <w:r>
        <w:rPr>
          <w:rFonts w:eastAsia="Batang;바탕" w:cs="Times New Roman" w:ascii="Times New Roman" w:hAnsi="Times New Roman"/>
        </w:rPr>
        <w:t>for NR Phase 3, RAN#102, Dec. 2023</w:t>
      </w:r>
    </w:p>
    <w:p>
      <w:pPr>
        <w:pStyle w:val="EX"/>
        <w:numPr>
          <w:ilvl w:val="0"/>
          <w:numId w:val="5"/>
        </w:numPr>
        <w:ind w:left="360" w:hanging="360"/>
        <w:jc w:val="both"/>
        <w:rPr>
          <w:rFonts w:ascii="Times New Roman" w:hAnsi="Times New Roman" w:cs="Times New Roman"/>
        </w:rPr>
      </w:pPr>
      <w:r>
        <w:rPr>
          <w:rFonts w:cs="Times New Roman" w:ascii="Times New Roman" w:hAnsi="Times New Roman"/>
        </w:rPr>
        <w:t>3GPP TR 38.811 v15.2.0: "Study on New Radio (NR) to support non-terrestrial networks (Release 15)".</w:t>
      </w:r>
    </w:p>
    <w:p>
      <w:pPr>
        <w:pStyle w:val="ListParagraph"/>
        <w:keepLines/>
        <w:numPr>
          <w:ilvl w:val="0"/>
          <w:numId w:val="5"/>
        </w:numPr>
        <w:tabs>
          <w:tab w:val="clear" w:pos="709"/>
          <w:tab w:val="left" w:pos="1985" w:leader="none"/>
        </w:tabs>
        <w:ind w:left="360" w:hanging="360"/>
        <w:jc w:val="both"/>
        <w:rPr>
          <w:rFonts w:ascii="Times New Roman" w:hAnsi="Times New Roman" w:cs="Times New Roman"/>
        </w:rPr>
      </w:pPr>
      <w:r>
        <w:rPr>
          <w:rFonts w:cs="Times New Roman" w:ascii="Times New Roman" w:hAnsi="Times New Roman"/>
        </w:rPr>
        <w:t>3GPP TR 38.821: “</w:t>
      </w:r>
      <w:r>
        <w:rPr>
          <w:rFonts w:cs="Times New Roman" w:ascii="Times New Roman" w:hAnsi="Times New Roman"/>
          <w:lang w:eastAsia="ja-JP"/>
        </w:rPr>
        <w:t>Solutions for NR to support non-terrestrial networks (NTN)</w:t>
      </w:r>
      <w:r>
        <w:rPr>
          <w:rFonts w:cs="Times New Roman" w:ascii="Times New Roman" w:hAnsi="Times New Roman"/>
        </w:rPr>
        <w:t xml:space="preserve"> (Release 16)”. </w:t>
      </w:r>
    </w:p>
    <w:p>
      <w:pPr>
        <w:pStyle w:val="ListParagraph"/>
        <w:numPr>
          <w:ilvl w:val="0"/>
          <w:numId w:val="5"/>
        </w:numPr>
        <w:tabs>
          <w:tab w:val="clear" w:pos="709"/>
          <w:tab w:val="left" w:pos="1985" w:leader="none"/>
        </w:tabs>
        <w:ind w:left="360" w:hanging="360"/>
        <w:jc w:val="both"/>
        <w:rPr>
          <w:rFonts w:ascii="Times New Roman" w:hAnsi="Times New Roman" w:cs="Times New Roman"/>
        </w:rPr>
      </w:pPr>
      <w:r>
        <w:rPr>
          <w:rFonts w:cs="Times New Roman" w:ascii="Times New Roman" w:hAnsi="Times New Roman"/>
          <w:sz w:val="22"/>
          <w:szCs w:val="22"/>
        </w:rPr>
        <w:t xml:space="preserve">Chair notes RAN1#116 eom0, </w:t>
      </w:r>
      <w:r>
        <w:rPr>
          <w:rFonts w:eastAsia="Batang;바탕" w:cs="Times New Roman" w:ascii="Times New Roman" w:hAnsi="Times New Roman"/>
          <w:sz w:val="22"/>
          <w:szCs w:val="22"/>
        </w:rPr>
        <w:t>RAN1#116, Feb. 2024.</w:t>
      </w:r>
    </w:p>
    <w:p>
      <w:pPr>
        <w:pStyle w:val="Normal"/>
        <w:tabs>
          <w:tab w:val="clear" w:pos="709"/>
          <w:tab w:val="left" w:pos="1985" w:leader="none"/>
        </w:tabs>
        <w:ind w:right="-441" w:hanging="0"/>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9"/>
          <w:tab w:val="left" w:pos="1985" w:leader="none"/>
        </w:tabs>
        <w:ind w:left="360" w:right="-441" w:hanging="0"/>
        <w:jc w:val="both"/>
        <w:rPr>
          <w:rFonts w:ascii="Times New Roman" w:hAnsi="Times New Roman" w:cs="Times New Roman"/>
        </w:rPr>
      </w:pPr>
      <w:r>
        <w:rPr>
          <w:rFonts w:cs="Times New Roman" w:ascii="Times New Roman" w:hAnsi="Times New Roman"/>
        </w:rPr>
      </w:r>
    </w:p>
    <w:p>
      <w:pPr>
        <w:pStyle w:val="Heading2"/>
        <w:rPr/>
      </w:pPr>
      <w:r>
        <w:rPr/>
        <w:t>Annex A:</w:t>
      </w:r>
    </w:p>
    <w:p>
      <w:pPr>
        <w:pStyle w:val="Normal"/>
        <w:keepNext w:val="true"/>
        <w:keepLines/>
        <w:spacing w:before="60" w:after="180"/>
        <w:jc w:val="both"/>
        <w:rPr>
          <w:rFonts w:ascii="Times New Roman" w:hAnsi="Times New Roman" w:cs="Times New Roman"/>
        </w:rPr>
      </w:pPr>
      <w:bookmarkStart w:id="2" w:name="_Ref102020722"/>
      <w:r>
        <w:rPr>
          <w:rFonts w:cs="Times New Roman" w:ascii="Times New Roman" w:hAnsi="Times New Roman"/>
          <w:b/>
          <w:sz w:val="20"/>
          <w:szCs w:val="20"/>
          <w:lang w:val="en-GB"/>
        </w:rPr>
        <w:t xml:space="preserve">Table </w:t>
      </w:r>
      <w:r>
        <w:rPr>
          <w:rFonts w:cs="Times New Roman" w:ascii="Times New Roman" w:hAnsi="Times New Roman"/>
          <w:b/>
          <w:sz w:val="20"/>
          <w:szCs w:val="20"/>
          <w:lang w:val="en-GB"/>
        </w:rPr>
        <w:fldChar w:fldCharType="begin"/>
      </w:r>
      <w:r>
        <w:rPr>
          <w:sz w:val="20"/>
          <w:b/>
          <w:szCs w:val="20"/>
          <w:rFonts w:cs="Times New Roman" w:ascii="Times New Roman" w:hAnsi="Times New Roman"/>
          <w:lang w:val="en-GB"/>
        </w:rPr>
        <w:instrText> SEQ Table \* ARABIC </w:instrText>
      </w:r>
      <w:r>
        <w:rPr>
          <w:sz w:val="20"/>
          <w:b/>
          <w:szCs w:val="20"/>
          <w:rFonts w:cs="Times New Roman" w:ascii="Times New Roman" w:hAnsi="Times New Roman"/>
          <w:lang w:val="en-GB"/>
        </w:rPr>
        <w:fldChar w:fldCharType="separate"/>
      </w:r>
      <w:r>
        <w:rPr>
          <w:sz w:val="20"/>
          <w:b/>
          <w:szCs w:val="20"/>
          <w:rFonts w:cs="Times New Roman" w:ascii="Times New Roman" w:hAnsi="Times New Roman"/>
          <w:lang w:val="en-GB"/>
        </w:rPr>
        <w:t>1</w:t>
      </w:r>
      <w:r>
        <w:rPr>
          <w:sz w:val="20"/>
          <w:b/>
          <w:szCs w:val="20"/>
          <w:rFonts w:cs="Times New Roman" w:ascii="Times New Roman" w:hAnsi="Times New Roman"/>
          <w:lang w:val="en-GB"/>
        </w:rPr>
        <w:fldChar w:fldCharType="end"/>
      </w:r>
      <w:bookmarkEnd w:id="2"/>
      <w:r>
        <w:rPr>
          <w:rFonts w:cs="Times New Roman" w:ascii="Times New Roman" w:hAnsi="Times New Roman"/>
          <w:b/>
          <w:sz w:val="20"/>
          <w:szCs w:val="20"/>
          <w:lang w:val="en-GB"/>
        </w:rPr>
        <w:t>: Parameter configuration for link budget analysis</w:t>
      </w:r>
    </w:p>
    <w:tbl>
      <w:tblPr>
        <w:tblW w:w="9533" w:type="dxa"/>
        <w:jc w:val="center"/>
        <w:tblInd w:w="0" w:type="dxa"/>
        <w:tblCellMar>
          <w:top w:w="0" w:type="dxa"/>
          <w:left w:w="108" w:type="dxa"/>
          <w:bottom w:w="0" w:type="dxa"/>
          <w:right w:w="108" w:type="dxa"/>
        </w:tblCellMar>
        <w:tblLook w:val="0000" w:noHBand="0" w:noVBand="0" w:firstColumn="0" w:lastRow="0" w:lastColumn="0" w:firstRow="0"/>
      </w:tblPr>
      <w:tblGrid>
        <w:gridCol w:w="3245"/>
        <w:gridCol w:w="6287"/>
      </w:tblGrid>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Parameters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Notes</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Carrier frequency</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2 GHz for DL and UL (S-band),</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System bandwidth</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30 MHz (S-band)</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Channel bandwidth</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DL: system bandwidth/ frequency reuse factor</w:t>
            </w:r>
          </w:p>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UL:</w:t>
            </w:r>
          </w:p>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UL in S-band (handheld UE): 360 kHz</w:t>
            </w:r>
          </w:p>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Otherwise: system bandwidth/ frequency reuse factor</w:t>
            </w:r>
          </w:p>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Note: The UL bandwidth may be a challenge.</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Satellite altitude</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600 km, 1200 km, 35786 km</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Atmospheric loss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Equation (6.6-8) in [2]</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Shadowing margin</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 xml:space="preserve">3 dB </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Scintillation loss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 xml:space="preserve">Section 6.6.6 in </w:t>
            </w:r>
            <w:r>
              <w:rPr>
                <w:rFonts w:cs="Times New Roman" w:ascii="Times New Roman" w:hAnsi="Times New Roman"/>
                <w:sz w:val="18"/>
                <w:szCs w:val="20"/>
                <w:lang w:val="en-GB"/>
              </w:rPr>
              <w:t>[2]</w:t>
            </w:r>
          </w:p>
          <w:p>
            <w:pPr>
              <w:pStyle w:val="Normal"/>
              <w:keepNext w:val="true"/>
              <w:keepLines/>
              <w:jc w:val="both"/>
              <w:rPr>
                <w:rFonts w:ascii="Times New Roman" w:hAnsi="Times New Roman" w:cs="Times New Roman"/>
              </w:rPr>
            </w:pPr>
            <w:r>
              <w:rPr>
                <w:rFonts w:cs="Times New Roman" w:ascii="Times New Roman" w:hAnsi="Times New Roman"/>
                <w:sz w:val="18"/>
                <w:szCs w:val="20"/>
                <w:lang w:val="en-GB"/>
              </w:rPr>
              <w:t xml:space="preserve">Ionospheric loss: </w:t>
            </w:r>
            <w:r>
              <w:rPr/>
              <w:drawing>
                <wp:inline distT="0" distB="0" distL="0" distR="0">
                  <wp:extent cx="228600" cy="228600"/>
                  <wp:effectExtent l="0" t="0" r="0" b="0"/>
                  <wp:docPr id="1" name="图片 1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9" descr=""/>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r>
              <w:rPr>
                <w:rFonts w:cs="Times New Roman" w:ascii="Times New Roman" w:hAnsi="Times New Roman"/>
                <w:sz w:val="18"/>
                <w:szCs w:val="20"/>
                <w:lang w:val="en-GB"/>
              </w:rPr>
              <w:t>= 2.2 dB (note 1)</w:t>
            </w:r>
          </w:p>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Tropospheric loss: Table 6.6.6.2.1-1 of [2]</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Additional loss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0 dB</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Clear sky conditions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Yes</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Frequency reuse factor</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1, 2, 3</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 xml:space="preserve">Average CIR within a satellite beam based on </w:t>
            </w:r>
            <w:r>
              <w:rPr>
                <w:rFonts w:cs="Times New Roman" w:ascii="Times New Roman" w:hAnsi="Times New Roman"/>
                <w:sz w:val="18"/>
                <w:szCs w:val="20"/>
                <w:lang w:val="en-GB"/>
              </w:rPr>
              <w:t xml:space="preserve">logarithmic mean </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r>
          </w:p>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For DL calibration,</w:t>
            </w:r>
            <w:r>
              <w:rPr>
                <w:rFonts w:cs="Times New Roman" w:ascii="Times New Roman" w:hAnsi="Times New Roman"/>
                <w:sz w:val="18"/>
                <w:szCs w:val="20"/>
                <w:lang w:val="en-GB"/>
              </w:rPr>
              <w:t xml:space="preserve"> CIR is computed by averaging CIR over UEs randomly distributed over the reference beam (UE distribution assumption of Table 6.1.1.1-5). (See Figure 6.1.3.2-1 for UE bandwidth allocation, and Figure 6.1.1.1-1 and Figure 6.1.1.1-2 </w:t>
            </w:r>
            <w:r>
              <w:rPr>
                <w:rFonts w:eastAsia="SimSun" w:cs="Times New Roman" w:ascii="Times New Roman" w:hAnsi="Times New Roman"/>
                <w:sz w:val="20"/>
                <w:szCs w:val="20"/>
                <w:lang w:val="en-GB"/>
              </w:rPr>
              <w:t xml:space="preserve">in [3] </w:t>
            </w:r>
            <w:r>
              <w:rPr>
                <w:rFonts w:cs="Times New Roman" w:ascii="Times New Roman" w:hAnsi="Times New Roman"/>
                <w:sz w:val="18"/>
                <w:szCs w:val="20"/>
                <w:lang w:val="en-GB"/>
              </w:rPr>
              <w:t>for beam deployment).</w:t>
            </w:r>
          </w:p>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r>
          </w:p>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 xml:space="preserve">For UL calibration, </w:t>
            </w:r>
            <w:r>
              <w:rPr>
                <w:rFonts w:cs="Times New Roman" w:ascii="Times New Roman" w:hAnsi="Times New Roman"/>
                <w:sz w:val="18"/>
                <w:szCs w:val="20"/>
                <w:lang w:val="en-GB"/>
              </w:rPr>
              <w:t>For Handheld device, the channel bandwidth is 360 kHz.</w:t>
            </w:r>
          </w:p>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For VSAT, the channel bandwidth equals the system bandwidth allocated to each beam divided by 10.</w:t>
            </w:r>
          </w:p>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The devices in one beam are allocated on adjacent frequency resources. The same resource allocation is assumed for all the beams.</w:t>
            </w:r>
          </w:p>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 xml:space="preserve">CIR is computed by averaging over 10 simultaneously transmitting UEs randomly distributed over the reference beam (UE distribution assumption of Table 6.1.1.1-5). (See Figure 6.1.3.2-2 for UE bandwidth allocation, and Figure 6.1.1.1-1 and Figure 6.1.1.1-2 </w:t>
            </w:r>
            <w:r>
              <w:rPr>
                <w:rFonts w:eastAsia="SimSun" w:cs="Times New Roman" w:ascii="Times New Roman" w:hAnsi="Times New Roman"/>
                <w:sz w:val="20"/>
                <w:szCs w:val="20"/>
                <w:lang w:val="en-GB"/>
              </w:rPr>
              <w:t>in[3]</w:t>
            </w:r>
            <w:r>
              <w:rPr>
                <w:rFonts w:eastAsia="Calibri" w:cs="Times New Roman" w:ascii="Times New Roman" w:hAnsi="Times New Roman"/>
                <w:sz w:val="18"/>
                <w:szCs w:val="20"/>
                <w:lang w:val="en-GB"/>
              </w:rPr>
              <w:t>for beam deployment)</w:t>
            </w:r>
          </w:p>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The averaging should be performed over multiple realizations.</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Satellite antenna polarization</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Circular polarization</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Polarization reuse</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Enable if frequency reuse factor = 2 is considered.</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Terminal type</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sz w:val="18"/>
                <w:szCs w:val="20"/>
                <w:lang w:val="en-GB"/>
              </w:rPr>
            </w:pPr>
            <w:r>
              <w:rPr>
                <w:rFonts w:cs="Times New Roman" w:ascii="Times New Roman" w:hAnsi="Times New Roman"/>
                <w:sz w:val="18"/>
                <w:szCs w:val="20"/>
                <w:lang w:val="en-GB"/>
              </w:rPr>
              <w:t>S band: (M, N, P) = (1,1,2)</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Free space path loss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Equation (6.6-2) in [2]</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Terminal RF parameters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Table 6.1.1-3</w:t>
            </w:r>
            <w:r>
              <w:rPr>
                <w:rFonts w:eastAsia="SimSun" w:cs="Times New Roman" w:ascii="Times New Roman" w:hAnsi="Times New Roman"/>
                <w:sz w:val="20"/>
                <w:szCs w:val="20"/>
                <w:lang w:val="en-GB"/>
              </w:rPr>
              <w:t xml:space="preserve"> in[3]</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Satellite RF parameters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rPr>
            </w:pPr>
            <w:r>
              <w:rPr>
                <w:rFonts w:eastAsia="Calibri" w:cs="Times New Roman" w:ascii="Times New Roman" w:hAnsi="Times New Roman"/>
                <w:sz w:val="18"/>
                <w:szCs w:val="20"/>
                <w:lang w:val="en-GB"/>
              </w:rPr>
              <w:t>Set-1 in Table 6.1.1-1 and Set-2 in Table 6.1.1-2</w:t>
            </w:r>
            <w:r>
              <w:rPr>
                <w:rFonts w:eastAsia="SimSun" w:cs="Times New Roman" w:ascii="Times New Roman" w:hAnsi="Times New Roman"/>
                <w:sz w:val="18"/>
                <w:szCs w:val="20"/>
                <w:lang w:val="en-GB"/>
              </w:rPr>
              <w:t xml:space="preserve"> in[3]</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Polarization loss</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cs="Times New Roman"/>
              </w:rPr>
            </w:pPr>
            <w:r>
              <w:rPr>
                <w:rFonts w:cs="Times New Roman" w:ascii="Times New Roman" w:hAnsi="Times New Roman"/>
                <w:sz w:val="18"/>
                <w:szCs w:val="20"/>
                <w:lang w:val="en-GB"/>
              </w:rPr>
              <w:t xml:space="preserve">The considerations of Section 6.1.1.1 </w:t>
            </w:r>
            <w:r>
              <w:rPr>
                <w:rFonts w:eastAsia="SimSun" w:cs="Times New Roman" w:ascii="Times New Roman" w:hAnsi="Times New Roman"/>
                <w:sz w:val="20"/>
                <w:szCs w:val="20"/>
                <w:lang w:val="en-GB"/>
              </w:rPr>
              <w:t>in[3]</w:t>
            </w:r>
            <w:r>
              <w:rPr>
                <w:rFonts w:cs="Times New Roman" w:ascii="Times New Roman" w:hAnsi="Times New Roman"/>
                <w:sz w:val="18"/>
                <w:szCs w:val="20"/>
                <w:lang w:val="en-GB"/>
              </w:rPr>
              <w:t>on Polarization loss apply.</w:t>
            </w:r>
          </w:p>
        </w:tc>
      </w:tr>
      <w:tr>
        <w:trPr/>
        <w:tc>
          <w:tcPr>
            <w:tcW w:w="3245"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Outcome</w:t>
            </w:r>
          </w:p>
        </w:tc>
        <w:tc>
          <w:tcPr>
            <w:tcW w:w="6287" w:type="dxa"/>
            <w:tcBorders>
              <w:top w:val="single" w:sz="4" w:space="0" w:color="000000"/>
              <w:left w:val="single" w:sz="4" w:space="0" w:color="000000"/>
              <w:bottom w:val="single" w:sz="4" w:space="0" w:color="000000"/>
              <w:right w:val="single" w:sz="4" w:space="0" w:color="000000"/>
            </w:tcBorders>
          </w:tcPr>
          <w:p>
            <w:pPr>
              <w:pStyle w:val="Normal"/>
              <w:keepNext w:val="true"/>
              <w:keepLines/>
              <w:jc w:val="both"/>
              <w:rPr>
                <w:rFonts w:ascii="Times New Roman" w:hAnsi="Times New Roman" w:eastAsia="Calibri" w:cs="Times New Roman"/>
                <w:sz w:val="18"/>
                <w:szCs w:val="20"/>
                <w:lang w:val="en-GB"/>
              </w:rPr>
            </w:pPr>
            <w:r>
              <w:rPr>
                <w:rFonts w:eastAsia="Calibri" w:cs="Times New Roman" w:ascii="Times New Roman" w:hAnsi="Times New Roman"/>
                <w:sz w:val="18"/>
                <w:szCs w:val="20"/>
                <w:lang w:val="en-GB"/>
              </w:rPr>
              <w:t>CNIR</w:t>
            </w:r>
          </w:p>
        </w:tc>
      </w:tr>
      <w:tr>
        <w:trPr/>
        <w:tc>
          <w:tcPr>
            <w:tcW w:w="9532" w:type="dxa"/>
            <w:gridSpan w:val="2"/>
            <w:tcBorders>
              <w:top w:val="single" w:sz="4" w:space="0" w:color="000000"/>
              <w:left w:val="single" w:sz="4" w:space="0" w:color="000000"/>
              <w:bottom w:val="single" w:sz="4" w:space="0" w:color="000000"/>
              <w:right w:val="single" w:sz="4" w:space="0" w:color="000000"/>
            </w:tcBorders>
          </w:tcPr>
          <w:p>
            <w:pPr>
              <w:pStyle w:val="Normal"/>
              <w:keepNext w:val="true"/>
              <w:keepLines/>
              <w:ind w:left="1140" w:hanging="0"/>
              <w:jc w:val="both"/>
              <w:rPr>
                <w:rFonts w:ascii="Times New Roman" w:hAnsi="Times New Roman" w:cs="Times New Roman"/>
              </w:rPr>
            </w:pPr>
            <w:r>
              <w:rPr>
                <w:rFonts w:eastAsia="Calibri" w:cs="Times New Roman" w:ascii="Times New Roman" w:hAnsi="Times New Roman"/>
                <w:sz w:val="18"/>
                <w:szCs w:val="20"/>
                <w:lang w:val="en-GB"/>
              </w:rPr>
              <w:t>NOTE 1:</w:t>
              <w:tab/>
              <w:t xml:space="preserve">Based on P3 curve for 1% of time from Figure 6.6.6.1.4-1 of </w:t>
            </w:r>
            <w:r>
              <w:rPr>
                <w:rFonts w:cs="Times New Roman" w:ascii="Times New Roman" w:hAnsi="Times New Roman"/>
                <w:sz w:val="18"/>
                <w:szCs w:val="20"/>
                <w:lang w:val="en-GB"/>
              </w:rPr>
              <w:t>[2]</w:t>
            </w:r>
            <w:r>
              <w:rPr>
                <w:rFonts w:eastAsia="Calibri" w:cs="Times New Roman" w:ascii="Times New Roman" w:hAnsi="Times New Roman"/>
                <w:sz w:val="18"/>
                <w:szCs w:val="20"/>
                <w:lang w:val="en-GB"/>
              </w:rPr>
              <w:t xml:space="preserve"> after frequency scaling.</w:t>
            </w:r>
          </w:p>
          <w:p>
            <w:pPr>
              <w:pStyle w:val="Normal"/>
              <w:keepNext w:val="true"/>
              <w:keepLines/>
              <w:ind w:left="1140" w:hanging="0"/>
              <w:jc w:val="both"/>
              <w:rPr>
                <w:rFonts w:ascii="Times New Roman" w:hAnsi="Times New Roman" w:cs="Times New Roman"/>
              </w:rPr>
            </w:pPr>
            <w:r>
              <w:rPr/>
              <w:drawing>
                <wp:inline distT="0" distB="0" distL="0" distR="0">
                  <wp:extent cx="3237865" cy="191135"/>
                  <wp:effectExtent l="0" t="0" r="0" b="0"/>
                  <wp:docPr id="2" name="图片 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8" descr=""/>
                          <pic:cNvPicPr>
                            <a:picLocks noChangeAspect="1" noChangeArrowheads="1"/>
                          </pic:cNvPicPr>
                        </pic:nvPicPr>
                        <pic:blipFill>
                          <a:blip r:embed="rId3"/>
                          <a:stretch>
                            <a:fillRect/>
                          </a:stretch>
                        </pic:blipFill>
                        <pic:spPr bwMode="auto">
                          <a:xfrm>
                            <a:off x="0" y="0"/>
                            <a:ext cx="3237865" cy="191135"/>
                          </a:xfrm>
                          <a:prstGeom prst="rect">
                            <a:avLst/>
                          </a:prstGeom>
                        </pic:spPr>
                      </pic:pic>
                    </a:graphicData>
                  </a:graphic>
                </wp:inline>
              </w:drawing>
            </w:r>
            <w:r>
              <w:rPr>
                <w:rFonts w:eastAsia="Calibri" w:cs="Times New Roman" w:ascii="Times New Roman" w:hAnsi="Times New Roman"/>
                <w:sz w:val="18"/>
                <w:szCs w:val="20"/>
                <w:lang w:val="en-GB"/>
              </w:rPr>
              <w:t>dB</w:t>
            </w:r>
          </w:p>
        </w:tc>
      </w:tr>
    </w:tbl>
    <w:p>
      <w:pPr>
        <w:pStyle w:val="Normal"/>
        <w:keepNext w:val="true"/>
        <w:spacing w:before="0" w:after="180"/>
        <w:jc w:val="both"/>
        <w:rPr>
          <w:rFonts w:ascii="Times New Roman" w:hAnsi="Times New Roman" w:cs="Times New Roman"/>
          <w:sz w:val="20"/>
          <w:lang w:val="en-GB"/>
        </w:rPr>
      </w:pPr>
      <w:r>
        <w:rPr/>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Display">
    <w:charset w:val="01"/>
    <w:family w:val="roman"/>
    <w:pitch w:val="variable"/>
  </w:font>
  <w:font w:name="OpenSymbol">
    <w:altName w:val="Arial Unicode MS"/>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Calibri">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link w:val="Heading1Char"/>
    <w:uiPriority w:val="9"/>
    <w:qFormat/>
    <w:rsid w:val="00552d3d"/>
    <w:pPr>
      <w:keepNext w:val="true"/>
      <w:keepLines/>
      <w:spacing w:before="240" w:after="0"/>
      <w:outlineLvl w:val="0"/>
    </w:pPr>
    <w:rPr>
      <w:rFonts w:ascii="Aptos Display" w:hAnsi="Aptos Display" w:eastAsia="" w:cs="Mangal" w:asciiTheme="majorHAnsi" w:eastAsiaTheme="majorEastAsia" w:hAnsiTheme="majorHAnsi"/>
      <w:color w:val="0F4761" w:themeColor="accent1" w:themeShade="bf"/>
      <w:sz w:val="32"/>
      <w:szCs w:val="29"/>
    </w:rPr>
  </w:style>
  <w:style w:type="paragraph" w:styleId="Heading2">
    <w:name w:val="Heading 2"/>
    <w:basedOn w:val="Normal"/>
    <w:next w:val="Normal"/>
    <w:link w:val="Heading2Char"/>
    <w:uiPriority w:val="9"/>
    <w:unhideWhenUsed/>
    <w:qFormat/>
    <w:rsid w:val="00552d3d"/>
    <w:pPr>
      <w:keepNext w:val="true"/>
      <w:keepLines/>
      <w:spacing w:before="40" w:after="0"/>
      <w:outlineLvl w:val="1"/>
    </w:pPr>
    <w:rPr>
      <w:rFonts w:ascii="Aptos Display" w:hAnsi="Aptos Display" w:eastAsia="" w:cs="Mangal" w:asciiTheme="majorHAnsi" w:eastAsiaTheme="majorEastAsia" w:hAnsiTheme="majorHAnsi"/>
      <w:color w:val="0F4761" w:themeColor="accent1" w:themeShade="bf"/>
      <w:sz w:val="26"/>
      <w:szCs w:val="23"/>
    </w:rPr>
  </w:style>
  <w:style w:type="character" w:styleId="DefaultParagraphFont" w:default="1">
    <w:name w:val="Default Paragraph Font"/>
    <w:uiPriority w:val="1"/>
    <w:semiHidden/>
    <w:unhideWhenUsed/>
    <w:qFormat/>
    <w:rPr/>
  </w:style>
  <w:style w:type="character" w:styleId="Bullets" w:customStyle="1">
    <w:name w:val="Bullets"/>
    <w:qFormat/>
    <w:rPr>
      <w:rFonts w:ascii="OpenSymbol" w:hAnsi="OpenSymbol" w:eastAsia="OpenSymbol" w:cs="OpenSymbol"/>
    </w:rPr>
  </w:style>
  <w:style w:type="character" w:styleId="Uiprovider" w:customStyle="1">
    <w:name w:val="ui-provider"/>
    <w:qFormat/>
    <w:rPr/>
  </w:style>
  <w:style w:type="character" w:styleId="WW8Num20z0" w:customStyle="1">
    <w:name w:val="WW8Num20z0"/>
    <w:qFormat/>
    <w:rPr>
      <w:rFonts w:ascii="Symbol" w:hAnsi="Symbol" w:cs="Symbol"/>
    </w:rPr>
  </w:style>
  <w:style w:type="character" w:styleId="WW8Num20z1" w:customStyle="1">
    <w:name w:val="WW8Num20z1"/>
    <w:qFormat/>
    <w:rPr>
      <w:rFonts w:ascii="Courier New" w:hAnsi="Courier New" w:cs="Courier New"/>
      <w:sz w:val="20"/>
      <w:szCs w:val="20"/>
    </w:rPr>
  </w:style>
  <w:style w:type="character" w:styleId="WW8Num20z2" w:customStyle="1">
    <w:name w:val="WW8Num20z2"/>
    <w:qFormat/>
    <w:rPr>
      <w:rFonts w:ascii="Wingdings" w:hAnsi="Wingdings" w:cs="Wingdings"/>
    </w:rPr>
  </w:style>
  <w:style w:type="character" w:styleId="WW8Num20z3" w:customStyle="1">
    <w:name w:val="WW8Num20z3"/>
    <w:qFormat/>
    <w:rPr>
      <w:rFonts w:ascii="Calibri" w:hAnsi="Calibri" w:eastAsia="Calibri" w:cs="Times New Roman"/>
    </w:rPr>
  </w:style>
  <w:style w:type="character" w:styleId="WW8Num9z0" w:customStyle="1">
    <w:name w:val="WW8Num9z0"/>
    <w:qFormat/>
    <w:rPr>
      <w:rFonts w:ascii="Symbol" w:hAnsi="Symbol" w:cs="Symbo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TitleChar" w:customStyle="1">
    <w:name w:val="Title Char"/>
    <w:basedOn w:val="DefaultParagraphFont"/>
    <w:link w:val="Title"/>
    <w:uiPriority w:val="10"/>
    <w:qFormat/>
    <w:rsid w:val="00501ba5"/>
    <w:rPr>
      <w:rFonts w:ascii="Aptos Display" w:hAnsi="Aptos Display" w:eastAsia="" w:cs="Mangal" w:asciiTheme="majorHAnsi" w:eastAsiaTheme="majorEastAsia" w:hAnsiTheme="majorHAnsi"/>
      <w:spacing w:val="-10"/>
      <w:kern w:val="2"/>
      <w:sz w:val="56"/>
      <w:szCs w:val="50"/>
    </w:rPr>
  </w:style>
  <w:style w:type="character" w:styleId="Heading1Char" w:customStyle="1">
    <w:name w:val="Heading 1 Char"/>
    <w:basedOn w:val="DefaultParagraphFont"/>
    <w:link w:val="Heading1"/>
    <w:uiPriority w:val="9"/>
    <w:qFormat/>
    <w:rsid w:val="00552d3d"/>
    <w:rPr>
      <w:rFonts w:ascii="Aptos Display" w:hAnsi="Aptos Display" w:eastAsia="" w:cs="Mangal" w:asciiTheme="majorHAnsi" w:eastAsiaTheme="majorEastAsia" w:hAnsiTheme="majorHAnsi"/>
      <w:color w:val="0F4761" w:themeColor="accent1" w:themeShade="bf"/>
      <w:sz w:val="32"/>
      <w:szCs w:val="29"/>
    </w:rPr>
  </w:style>
  <w:style w:type="character" w:styleId="Heading2Char" w:customStyle="1">
    <w:name w:val="Heading 2 Char"/>
    <w:basedOn w:val="DefaultParagraphFont"/>
    <w:link w:val="Heading2"/>
    <w:uiPriority w:val="9"/>
    <w:qFormat/>
    <w:rsid w:val="00552d3d"/>
    <w:rPr>
      <w:rFonts w:ascii="Aptos Display" w:hAnsi="Aptos Display" w:eastAsia="" w:cs="Mangal" w:asciiTheme="majorHAnsi" w:eastAsiaTheme="majorEastAsia" w:hAnsiTheme="majorHAnsi"/>
      <w:color w:val="0F4761" w:themeColor="accent1" w:themeShade="bf"/>
      <w:sz w:val="26"/>
      <w:szCs w:val="23"/>
    </w:rPr>
  </w:style>
  <w:style w:type="character" w:styleId="NumberingSymbols">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next w:val="Normal"/>
    <w:qFormat/>
    <w:pPr>
      <w:spacing w:before="120" w:after="120"/>
      <w:textAlignment w:val="baseline"/>
    </w:pPr>
    <w:rPr>
      <w:rFonts w:eastAsia="SimSun"/>
      <w:b/>
      <w:bCs/>
      <w:lang w:val="en-US"/>
    </w:rPr>
  </w:style>
  <w:style w:type="paragraph" w:styleId="HeaderandFooter" w:customStyle="1">
    <w:name w:val="Header and Footer"/>
    <w:basedOn w:val="Normal"/>
    <w:qFormat/>
    <w:pPr>
      <w:suppressLineNumbers/>
      <w:tabs>
        <w:tab w:val="clear" w:pos="709"/>
        <w:tab w:val="center" w:pos="4819" w:leader="none"/>
        <w:tab w:val="right" w:pos="9638" w:leader="none"/>
      </w:tabs>
    </w:pPr>
    <w:rPr/>
  </w:style>
  <w:style w:type="paragraph" w:styleId="Header">
    <w:name w:val="Header"/>
    <w:pPr>
      <w:widowControl w:val="false"/>
      <w:suppressAutoHyphens w:val="true"/>
      <w:bidi w:val="0"/>
      <w:spacing w:before="0" w:after="0"/>
      <w:jc w:val="left"/>
      <w:textAlignment w:val="baseline"/>
    </w:pPr>
    <w:rPr>
      <w:rFonts w:ascii="Arial" w:hAnsi="Arial" w:eastAsia="Noto Serif CJK SC" w:cs="Lohit Devanagari"/>
      <w:b/>
      <w:color w:val="auto"/>
      <w:kern w:val="2"/>
      <w:sz w:val="18"/>
      <w:szCs w:val="24"/>
      <w:lang w:val="en-IN" w:eastAsia="zh-CN" w:bidi="hi-IN"/>
    </w:rPr>
  </w:style>
  <w:style w:type="paragraph" w:styleId="TAC" w:customStyle="1">
    <w:name w:val="TAC"/>
    <w:basedOn w:val="Normal"/>
    <w:qFormat/>
    <w:pPr>
      <w:keepNext w:val="true"/>
      <w:keepLines/>
      <w:jc w:val="center"/>
      <w:textAlignment w:val="baseline"/>
    </w:pPr>
    <w:rPr>
      <w:rFonts w:ascii="Arial" w:hAnsi="Arial"/>
      <w:sz w:val="18"/>
      <w:lang w:eastAsia="en-GB"/>
    </w:rPr>
  </w:style>
  <w:style w:type="paragraph" w:styleId="Tabletext" w:customStyle="1">
    <w:name w:val="Table_text"/>
    <w:basedOn w:val="Normal"/>
    <w:qFormat/>
    <w:pPr>
      <w:tabs>
        <w:tab w:val="clear" w:pos="709"/>
        <w:tab w:val="left" w:pos="704" w:leader="none"/>
        <w:tab w:val="left" w:pos="987" w:leader="none"/>
        <w:tab w:val="left" w:pos="1271" w:leader="none"/>
        <w:tab w:val="left" w:pos="1554" w:leader="none"/>
        <w:tab w:val="left" w:pos="1838" w:leader="none"/>
        <w:tab w:val="left" w:pos="2121" w:leader="none"/>
        <w:tab w:val="left" w:pos="2405" w:leader="none"/>
        <w:tab w:val="left" w:pos="2688" w:leader="none"/>
        <w:tab w:val="left" w:pos="2972" w:leader="none"/>
        <w:tab w:val="left" w:pos="3255" w:leader="none"/>
        <w:tab w:val="left" w:pos="3539" w:leader="none"/>
        <w:tab w:val="left" w:pos="3822" w:leader="none"/>
        <w:tab w:val="left" w:pos="4106" w:leader="none"/>
        <w:tab w:val="left" w:pos="4389" w:leader="none"/>
      </w:tabs>
      <w:spacing w:lineRule="auto" w:line="259" w:before="40" w:after="40"/>
      <w:ind w:left="420" w:hanging="0"/>
    </w:pPr>
    <w:rPr>
      <w:rFonts w:eastAsia="Calibri"/>
      <w:sz w:val="22"/>
      <w:szCs w:val="22"/>
      <w:lang w:val="en-US"/>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ListParagraph">
    <w:name w:val="List Paragraph"/>
    <w:basedOn w:val="Normal"/>
    <w:qFormat/>
    <w:pPr/>
    <w:rPr>
      <w:rFonts w:eastAsia="SimSun" w:cs="Calibri"/>
      <w:szCs w:val="21"/>
    </w:rPr>
  </w:style>
  <w:style w:type="paragraph" w:styleId="Reference" w:customStyle="1">
    <w:name w:val="Reference"/>
    <w:basedOn w:val="TextBody"/>
    <w:qFormat/>
    <w:pPr/>
    <w:rPr/>
  </w:style>
  <w:style w:type="paragraph" w:styleId="EX" w:customStyle="1">
    <w:name w:val="EX"/>
    <w:basedOn w:val="Normal"/>
    <w:qFormat/>
    <w:pPr>
      <w:keepLines/>
      <w:ind w:left="1702" w:hanging="1418"/>
    </w:pPr>
    <w:rPr/>
  </w:style>
  <w:style w:type="paragraph" w:styleId="Title">
    <w:name w:val="Title"/>
    <w:basedOn w:val="Normal"/>
    <w:next w:val="Normal"/>
    <w:link w:val="TitleChar"/>
    <w:uiPriority w:val="10"/>
    <w:qFormat/>
    <w:rsid w:val="00501ba5"/>
    <w:pPr>
      <w:spacing w:before="0" w:after="0"/>
      <w:contextualSpacing/>
    </w:pPr>
    <w:rPr>
      <w:rFonts w:ascii="Aptos Display" w:hAnsi="Aptos Display" w:eastAsia="" w:cs="Mangal" w:asciiTheme="majorHAnsi" w:eastAsiaTheme="majorEastAsia" w:hAnsiTheme="majorHAnsi"/>
      <w:spacing w:val="-10"/>
      <w:kern w:val="2"/>
      <w:sz w:val="56"/>
      <w:szCs w:val="50"/>
    </w:rPr>
  </w:style>
  <w:style w:type="paragraph" w:styleId="1">
    <w:name w:val="リスト段落1"/>
    <w:basedOn w:val="Normal"/>
    <w:qFormat/>
    <w:pPr>
      <w:ind w:left="720" w:hanging="0"/>
    </w:pPr>
    <w:rPr>
      <w:rFonts w:ascii="Times New Roman" w:hAnsi="Times New Roman" w:eastAsia="SimSun;宋体" w:cs="Times New Roman"/>
      <w:lang w:val="en-US"/>
    </w:rPr>
  </w:style>
  <w:style w:type="numbering" w:styleId="NoList" w:default="1">
    <w:name w:val="No List"/>
    <w:uiPriority w:val="99"/>
    <w:semiHidden/>
    <w:unhideWhenUsed/>
    <w:qFormat/>
  </w:style>
  <w:style w:type="numbering" w:styleId="WW8Num20" w:customStyle="1">
    <w:name w:val="WW8Num20"/>
    <w:qFormat/>
  </w:style>
  <w:style w:type="numbering" w:styleId="WW8Num9" w:customStyle="1">
    <w:name w:val="WW8Num9"/>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Application>LibreOffice/6.4.7.2$Linux_X86_64 LibreOffice_project/40$Build-2</Application>
  <Pages>7</Pages>
  <Words>2329</Words>
  <Characters>12812</Characters>
  <CharactersWithSpaces>14985</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2024-02-19T09:49:00Z</dcterms:created>
  <dc:creator>Abhijeet Masal</dc:creator>
  <dc:description/>
  <dc:language>en-IN</dc:language>
  <cp:lastModifiedBy/>
  <dcterms:modified xsi:type="dcterms:W3CDTF">2024-04-05T19:15:26Z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