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hint="default" w:ascii="Arial" w:hAnsi="Arial" w:eastAsia="宋体"/>
          <w:b/>
          <w:sz w:val="24"/>
          <w:szCs w:val="24"/>
          <w:lang w:val="en-US" w:eastAsia="zh-CN"/>
        </w:rPr>
      </w:pPr>
      <w:bookmarkStart w:id="0" w:name="OLE_LINK3"/>
      <w:bookmarkStart w:id="1" w:name="OLE_LINK4"/>
      <w:r>
        <w:rPr>
          <w:rFonts w:hint="eastAsia" w:ascii="Arial" w:hAnsi="Arial"/>
          <w:b/>
          <w:sz w:val="24"/>
          <w:szCs w:val="24"/>
          <w:lang w:val="en-US" w:eastAsia="ja-JP"/>
        </w:rPr>
        <w:t>3GPP TSG RAN WG1 #116</w:t>
      </w:r>
      <w:r>
        <w:rPr>
          <w:rFonts w:hint="eastAsia" w:ascii="Arial" w:hAnsi="Arial"/>
          <w:b/>
          <w:sz w:val="24"/>
          <w:szCs w:val="24"/>
          <w:lang w:val="en-US" w:eastAsia="zh-CN"/>
        </w:rPr>
        <w:t>bis</w:t>
      </w:r>
      <w:r>
        <w:rPr>
          <w:rFonts w:ascii="Arial" w:hAnsi="Arial"/>
          <w:b/>
          <w:sz w:val="24"/>
          <w:szCs w:val="24"/>
          <w:lang w:val="en-US" w:eastAsia="ja-JP"/>
        </w:rPr>
        <w:tab/>
      </w:r>
      <w:r>
        <w:rPr>
          <w:rFonts w:hint="eastAsia" w:ascii="Arial" w:hAnsi="Arial"/>
          <w:b/>
          <w:sz w:val="24"/>
          <w:szCs w:val="24"/>
          <w:lang w:val="en-US" w:eastAsia="ja-JP"/>
        </w:rPr>
        <w:t>R1-2402802</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szCs w:val="24"/>
          <w:lang w:val="en-US" w:eastAsia="ja-JP"/>
        </w:rPr>
      </w:pPr>
      <w:r>
        <w:rPr>
          <w:rFonts w:hint="eastAsia" w:ascii="Arial" w:hAnsi="Arial"/>
          <w:b/>
          <w:sz w:val="24"/>
          <w:szCs w:val="24"/>
          <w:lang w:val="en-US" w:eastAsia="ja-JP"/>
        </w:rPr>
        <w:t>Changsha, Hunan Province, China, April 15th – 19th, 2024</w:t>
      </w:r>
    </w:p>
    <w:p>
      <w:pPr>
        <w:keepNext/>
        <w:tabs>
          <w:tab w:val="left" w:pos="1843"/>
        </w:tabs>
        <w:spacing w:before="0" w:after="120"/>
        <w:ind w:left="1843" w:hanging="1843"/>
        <w:jc w:val="both"/>
        <w:rPr>
          <w:rFonts w:ascii="Arial" w:hAnsi="Arial" w:eastAsia="Batang" w:cs="Arial"/>
          <w:b/>
          <w:sz w:val="22"/>
          <w:szCs w:val="22"/>
          <w:lang w:val="en-US" w:eastAsia="zh-CN"/>
        </w:rPr>
      </w:pPr>
      <w:r>
        <w:rPr>
          <w:rFonts w:ascii="Arial" w:hAnsi="Arial" w:eastAsia="Batang" w:cs="Arial"/>
          <w:b/>
          <w:sz w:val="22"/>
          <w:szCs w:val="22"/>
          <w:lang w:val="en-US" w:eastAsia="zh-CN"/>
        </w:rPr>
        <w:t xml:space="preserve">Source: </w:t>
      </w:r>
      <w:r>
        <w:rPr>
          <w:rFonts w:ascii="Arial" w:hAnsi="Arial" w:eastAsia="Batang" w:cs="Arial"/>
          <w:b/>
          <w:sz w:val="22"/>
          <w:szCs w:val="22"/>
          <w:lang w:val="en-US" w:eastAsia="zh-CN"/>
        </w:rPr>
        <w:tab/>
      </w:r>
      <w:r>
        <w:rPr>
          <w:rFonts w:ascii="Arial" w:hAnsi="Arial" w:eastAsia="Batang" w:cs="Arial"/>
          <w:b/>
          <w:sz w:val="22"/>
          <w:szCs w:val="22"/>
          <w:lang w:val="en-US" w:eastAsia="zh-CN"/>
        </w:rPr>
        <w:t>CMCC</w:t>
      </w:r>
    </w:p>
    <w:p>
      <w:pPr>
        <w:keepNext/>
        <w:tabs>
          <w:tab w:val="left" w:pos="1843"/>
        </w:tabs>
        <w:spacing w:before="0" w:after="120"/>
        <w:ind w:left="1843" w:hanging="1843"/>
        <w:jc w:val="both"/>
        <w:rPr>
          <w:rFonts w:hint="eastAsia" w:ascii="Arial" w:hAnsi="Arial" w:eastAsia="Batang" w:cs="Arial"/>
          <w:b/>
          <w:sz w:val="22"/>
          <w:szCs w:val="22"/>
          <w:lang w:val="en-US" w:eastAsia="zh-CN"/>
        </w:rPr>
      </w:pPr>
      <w:r>
        <w:rPr>
          <w:rFonts w:ascii="Arial" w:hAnsi="Arial" w:eastAsia="Batang" w:cs="Arial"/>
          <w:b/>
          <w:sz w:val="22"/>
          <w:szCs w:val="22"/>
          <w:lang w:val="en-US" w:eastAsia="zh-CN"/>
        </w:rPr>
        <w:t>Title:</w:t>
      </w:r>
      <w:bookmarkStart w:id="2" w:name="Title"/>
      <w:bookmarkEnd w:id="2"/>
      <w:r>
        <w:rPr>
          <w:rFonts w:ascii="Arial" w:hAnsi="Arial" w:eastAsia="Batang" w:cs="Arial"/>
          <w:b/>
          <w:sz w:val="22"/>
          <w:szCs w:val="22"/>
          <w:lang w:val="en-US" w:eastAsia="zh-CN"/>
        </w:rPr>
        <w:tab/>
      </w:r>
      <w:r>
        <w:rPr>
          <w:rFonts w:hint="eastAsia" w:ascii="Arial" w:hAnsi="Arial" w:eastAsia="Batang" w:cs="Arial"/>
          <w:b/>
          <w:sz w:val="22"/>
          <w:szCs w:val="22"/>
          <w:lang w:val="en-US" w:eastAsia="zh-CN"/>
        </w:rPr>
        <w:t>Discussion on RAN2 LS on 2-step RA for eRedCap</w:t>
      </w:r>
    </w:p>
    <w:p>
      <w:pPr>
        <w:keepNext/>
        <w:tabs>
          <w:tab w:val="left" w:pos="1843"/>
        </w:tabs>
        <w:spacing w:before="0" w:after="120"/>
        <w:ind w:left="1843" w:hanging="1843"/>
        <w:jc w:val="both"/>
        <w:rPr>
          <w:rFonts w:ascii="Arial" w:hAnsi="Arial" w:eastAsia="Batang" w:cs="Arial"/>
          <w:b/>
          <w:sz w:val="22"/>
          <w:szCs w:val="22"/>
          <w:lang w:val="en-US" w:eastAsia="zh-CN"/>
        </w:rPr>
      </w:pPr>
      <w:r>
        <w:rPr>
          <w:rFonts w:ascii="Arial" w:hAnsi="Arial" w:eastAsia="Batang" w:cs="Arial"/>
          <w:b/>
          <w:sz w:val="22"/>
          <w:szCs w:val="22"/>
          <w:lang w:val="en-US" w:eastAsia="zh-CN"/>
        </w:rPr>
        <w:t>Agenda item:</w:t>
      </w:r>
      <w:r>
        <w:rPr>
          <w:rFonts w:ascii="Arial" w:hAnsi="Arial" w:eastAsia="Batang" w:cs="Arial"/>
          <w:b/>
          <w:sz w:val="22"/>
          <w:szCs w:val="22"/>
          <w:lang w:val="en-US" w:eastAsia="zh-CN"/>
        </w:rPr>
        <w:tab/>
      </w:r>
      <w:r>
        <w:rPr>
          <w:rFonts w:hint="default" w:ascii="Arial" w:hAnsi="Arial" w:eastAsia="Batang" w:cs="Arial"/>
          <w:b/>
          <w:sz w:val="22"/>
          <w:szCs w:val="22"/>
          <w:lang w:val="en-US" w:eastAsia="zh-CN"/>
        </w:rPr>
        <w:t>5</w:t>
      </w:r>
    </w:p>
    <w:p>
      <w:pPr>
        <w:keepNext/>
        <w:tabs>
          <w:tab w:val="left" w:pos="1843"/>
        </w:tabs>
        <w:spacing w:before="0" w:after="120"/>
        <w:ind w:left="1843" w:hanging="1843"/>
        <w:jc w:val="both"/>
        <w:rPr>
          <w:rFonts w:ascii="Arial" w:hAnsi="Arial" w:eastAsia="Batang" w:cs="Arial"/>
          <w:b/>
          <w:sz w:val="22"/>
          <w:szCs w:val="22"/>
          <w:lang w:val="en-US" w:eastAsia="zh-CN"/>
        </w:rPr>
      </w:pPr>
      <w:r>
        <w:rPr>
          <w:rFonts w:ascii="Arial" w:hAnsi="Arial" w:eastAsia="Batang" w:cs="Arial"/>
          <w:b/>
          <w:sz w:val="22"/>
          <w:szCs w:val="22"/>
          <w:lang w:val="en-US" w:eastAsia="zh-CN"/>
        </w:rPr>
        <w:t>Document for:</w:t>
      </w:r>
      <w:bookmarkStart w:id="3" w:name="DocumentFor"/>
      <w:bookmarkEnd w:id="3"/>
      <w:r>
        <w:rPr>
          <w:rFonts w:ascii="Arial" w:hAnsi="Arial" w:eastAsia="Batang" w:cs="Arial"/>
          <w:b/>
          <w:sz w:val="22"/>
          <w:szCs w:val="22"/>
          <w:lang w:val="en-US" w:eastAsia="zh-CN"/>
        </w:rPr>
        <w:tab/>
      </w:r>
      <w:r>
        <w:rPr>
          <w:rFonts w:ascii="Arial" w:hAnsi="Arial" w:eastAsia="Batang" w:cs="Arial"/>
          <w:b/>
          <w:sz w:val="22"/>
          <w:szCs w:val="22"/>
          <w:lang w:val="en-US" w:eastAsia="zh-CN"/>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lang w:val="en-US" w:eastAsia="ko-KR"/>
        </w:rPr>
      </w:pPr>
      <w:r>
        <w:rPr>
          <w:rFonts w:hint="default"/>
          <w:bCs/>
          <w:lang w:val="en-US" w:eastAsia="zh-CN"/>
        </w:rPr>
        <w:t xml:space="preserve">RAN1 has received a LS from RAN2 </w:t>
      </w:r>
      <w:r>
        <w:rPr>
          <w:rFonts w:hint="default"/>
          <w:lang w:val="en-US" w:eastAsia="ko-KR"/>
        </w:rPr>
        <w:t>about</w:t>
      </w:r>
      <w:r>
        <w:rPr>
          <w:lang w:eastAsia="ko-KR"/>
        </w:rPr>
        <w:t xml:space="preserve"> </w:t>
      </w:r>
      <w:r>
        <w:rPr>
          <w:rFonts w:hint="default"/>
          <w:lang w:val="en-US" w:eastAsia="ko-KR"/>
        </w:rPr>
        <w:t>support</w:t>
      </w:r>
      <w:r>
        <w:rPr>
          <w:rFonts w:hint="eastAsia"/>
          <w:lang w:val="en-US" w:eastAsia="zh-CN"/>
        </w:rPr>
        <w:t>ing</w:t>
      </w:r>
      <w:r>
        <w:rPr>
          <w:rFonts w:hint="default"/>
          <w:lang w:val="en-US" w:eastAsia="ko-KR"/>
        </w:rPr>
        <w:t xml:space="preserve"> 2-step RA for eRedCap UEs on 2-step eRedCap resources[1],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pPr>
              <w:pStyle w:val="38"/>
              <w:tabs>
                <w:tab w:val="center" w:pos="4153"/>
                <w:tab w:val="right" w:pos="8306"/>
              </w:tabs>
              <w:jc w:val="both"/>
              <w:rPr>
                <w:rFonts w:ascii="Arial" w:hAnsi="Arial" w:cs="Arial"/>
                <w:b w:val="0"/>
                <w:bCs/>
              </w:rPr>
            </w:pPr>
            <w:r>
              <w:rPr>
                <w:rFonts w:ascii="Arial" w:hAnsi="Arial" w:cs="Arial"/>
                <w:b w:val="0"/>
                <w:bCs/>
              </w:rPr>
              <w:t xml:space="preserve">RAN2 had a discussion on how to configure 2-step RA resources for eRedCap UEs. RAN2 decided to recommend RAN1 to support 2-step RA for eRedCap UEs on 2-step eRedCap resources. If this is not agreeable RAN2 will assume that </w:t>
            </w:r>
            <w:bookmarkStart w:id="5" w:name="OLE_LINK2"/>
            <w:r>
              <w:rPr>
                <w:rFonts w:ascii="Arial" w:hAnsi="Arial" w:cs="Arial"/>
                <w:b w:val="0"/>
                <w:bCs/>
              </w:rPr>
              <w:t>2-step RA for eRedCap is not supported at all</w:t>
            </w:r>
            <w:bookmarkEnd w:id="5"/>
            <w:r>
              <w:rPr>
                <w:rFonts w:ascii="Arial" w:hAnsi="Arial" w:cs="Arial"/>
                <w:b w:val="0"/>
                <w:bCs/>
              </w:rPr>
              <w:t>.</w:t>
            </w:r>
          </w:p>
          <w:p>
            <w:pPr>
              <w:pStyle w:val="38"/>
              <w:tabs>
                <w:tab w:val="center" w:pos="4153"/>
                <w:tab w:val="right" w:pos="8306"/>
              </w:tabs>
              <w:jc w:val="both"/>
              <w:rPr>
                <w:rFonts w:ascii="Arial" w:hAnsi="Arial" w:cs="Arial"/>
                <w:b w:val="0"/>
                <w:bCs/>
              </w:rPr>
            </w:pPr>
          </w:p>
          <w:p>
            <w:pPr>
              <w:pStyle w:val="38"/>
              <w:tabs>
                <w:tab w:val="center" w:pos="4153"/>
                <w:tab w:val="right" w:pos="8306"/>
              </w:tabs>
              <w:jc w:val="both"/>
              <w:rPr>
                <w:rFonts w:ascii="Arial" w:hAnsi="Arial" w:cs="Arial"/>
                <w:b w:val="0"/>
                <w:bCs/>
              </w:rPr>
            </w:pPr>
            <w:r>
              <w:rPr>
                <w:rFonts w:ascii="Arial" w:hAnsi="Arial" w:cs="Arial"/>
                <w:b w:val="0"/>
                <w:bCs/>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pPr>
              <w:rPr>
                <w:rFonts w:ascii="Arial" w:hAnsi="Arial" w:cs="Arial"/>
                <w:sz w:val="20"/>
                <w:szCs w:val="20"/>
                <w:lang w:eastAsia="zh-CN"/>
              </w:rPr>
            </w:pPr>
          </w:p>
          <w:p>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2. Actions:</w:t>
            </w:r>
          </w:p>
          <w:p>
            <w:pPr>
              <w:autoSpaceDE/>
              <w:autoSpaceDN/>
              <w:adjustRightInd/>
              <w:snapToGrid/>
              <w:ind w:left="1985" w:hanging="1985"/>
              <w:jc w:val="left"/>
              <w:rPr>
                <w:rFonts w:ascii="Arial" w:hAnsi="Arial" w:cs="Arial"/>
                <w:b/>
                <w:color w:val="000000"/>
                <w:sz w:val="20"/>
                <w:szCs w:val="20"/>
                <w:lang w:val="en-GB"/>
              </w:rPr>
            </w:pPr>
            <w:r>
              <w:rPr>
                <w:rFonts w:ascii="Arial" w:hAnsi="Arial" w:cs="Arial"/>
                <w:b/>
                <w:color w:val="000000"/>
                <w:sz w:val="20"/>
                <w:szCs w:val="20"/>
                <w:lang w:val="en-GB"/>
              </w:rPr>
              <w:t>To RAN1</w:t>
            </w:r>
          </w:p>
          <w:p>
            <w:pPr>
              <w:autoSpaceDE/>
              <w:autoSpaceDN/>
              <w:adjustRightInd/>
              <w:snapToGrid/>
              <w:ind w:left="993" w:hanging="993"/>
              <w:jc w:val="left"/>
              <w:rPr>
                <w:rFonts w:hint="default"/>
                <w:vertAlign w:val="baseline"/>
                <w:lang w:val="en-US" w:eastAsia="ko-KR"/>
              </w:rPr>
            </w:pPr>
            <w:r>
              <w:rPr>
                <w:rFonts w:ascii="Arial" w:hAnsi="Arial" w:cs="Arial"/>
                <w:b/>
                <w:color w:val="000000"/>
                <w:sz w:val="20"/>
                <w:szCs w:val="20"/>
                <w:lang w:val="en-GB"/>
              </w:rPr>
              <w:t xml:space="preserve">ACTION: </w:t>
            </w:r>
            <w:r>
              <w:rPr>
                <w:rFonts w:ascii="Arial" w:hAnsi="Arial" w:cs="Arial"/>
                <w:b/>
                <w:color w:val="000000"/>
                <w:sz w:val="20"/>
                <w:szCs w:val="20"/>
                <w:lang w:val="en-GB"/>
              </w:rPr>
              <w:tab/>
            </w:r>
            <w:r>
              <w:rPr>
                <w:rFonts w:ascii="Arial" w:hAnsi="Arial" w:cs="Arial"/>
                <w:bCs/>
                <w:color w:val="000000"/>
                <w:sz w:val="20"/>
                <w:szCs w:val="20"/>
                <w:lang w:val="en-GB"/>
              </w:rPr>
              <w:t xml:space="preserve">RAN2 kindly asks RAN1 to take the information above into consideration and recommends RAN1 to respond before the RAN2#126 meeting </w:t>
            </w:r>
            <w:r>
              <w:rPr>
                <w:rFonts w:ascii="Arial" w:hAnsi="Arial" w:cs="Arial"/>
                <w:b/>
                <w:color w:val="000000"/>
                <w:sz w:val="20"/>
                <w:szCs w:val="20"/>
                <w:lang w:val="en-GB"/>
              </w:rPr>
              <w:t>at the latest</w:t>
            </w:r>
            <w:r>
              <w:rPr>
                <w:rFonts w:ascii="Arial" w:hAnsi="Arial" w:cs="Arial"/>
                <w:bCs/>
                <w:color w:val="000000"/>
                <w:sz w:val="20"/>
                <w:szCs w:val="20"/>
                <w:lang w:val="en-GB"/>
              </w:rPr>
              <w:t>.</w:t>
            </w:r>
          </w:p>
        </w:tc>
      </w:tr>
    </w:tbl>
    <w:p>
      <w:pPr>
        <w:overflowPunct w:val="0"/>
        <w:autoSpaceDE w:val="0"/>
        <w:autoSpaceDN w:val="0"/>
        <w:adjustRightInd w:val="0"/>
        <w:spacing w:before="0"/>
        <w:jc w:val="both"/>
        <w:textAlignment w:val="baseline"/>
        <w:rPr>
          <w:rFonts w:hint="eastAsia"/>
          <w:lang w:val="en-US" w:eastAsia="zh-CN"/>
        </w:rPr>
      </w:pPr>
    </w:p>
    <w:p>
      <w:pPr>
        <w:overflowPunct w:val="0"/>
        <w:autoSpaceDE w:val="0"/>
        <w:autoSpaceDN w:val="0"/>
        <w:adjustRightInd w:val="0"/>
        <w:spacing w:before="0"/>
        <w:jc w:val="both"/>
        <w:textAlignment w:val="baseline"/>
        <w:rPr>
          <w:rFonts w:hint="default"/>
          <w:lang w:val="en-US" w:eastAsia="ko-KR"/>
        </w:rPr>
      </w:pPr>
      <w:r>
        <w:rPr>
          <w:rFonts w:hint="eastAsia"/>
          <w:lang w:val="en-US" w:eastAsia="zh-CN"/>
        </w:rPr>
        <w:t>In this contribution, we give our consideration on this LS.</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2-step RACH for eRedCap</w:t>
      </w:r>
      <w:r>
        <w:rPr>
          <w:rFonts w:hint="default" w:ascii="Times New Roman" w:hAnsi="Times New Roman" w:eastAsiaTheme="minorEastAsia"/>
          <w:lang w:val="en-US" w:eastAsia="zh-CN"/>
        </w:rPr>
        <w:t xml:space="preserve"> </w:t>
      </w:r>
    </w:p>
    <w:p>
      <w:pPr>
        <w:numPr>
          <w:numId w:val="0"/>
        </w:numPr>
        <w:ind w:leftChars="0"/>
        <w:jc w:val="left"/>
        <w:rPr>
          <w:rFonts w:hint="eastAsia"/>
          <w:sz w:val="20"/>
          <w:szCs w:val="20"/>
          <w:lang w:val="en-US" w:eastAsia="zh-CN"/>
        </w:rPr>
      </w:pPr>
      <w:r>
        <w:rPr>
          <w:rFonts w:hint="eastAsia"/>
          <w:sz w:val="20"/>
          <w:szCs w:val="20"/>
          <w:lang w:val="en-US" w:eastAsia="zh-CN"/>
        </w:rPr>
        <w:t>Whether to support separate PRACH resources for eRedCap UE early identification had been debated for a long time in RAN1</w:t>
      </w:r>
      <w:r>
        <w:rPr>
          <w:rFonts w:hint="default"/>
          <w:sz w:val="20"/>
          <w:szCs w:val="20"/>
          <w:lang w:val="en-US" w:eastAsia="zh-CN"/>
        </w:rPr>
        <w:t>.</w:t>
      </w:r>
      <w:r>
        <w:rPr>
          <w:rFonts w:hint="eastAsia"/>
          <w:sz w:val="20"/>
          <w:szCs w:val="20"/>
          <w:lang w:val="en-US" w:eastAsia="zh-CN"/>
        </w:rPr>
        <w:t xml:space="preserve"> </w:t>
      </w:r>
    </w:p>
    <w:p>
      <w:pPr>
        <w:numPr>
          <w:numId w:val="0"/>
        </w:numPr>
        <w:ind w:leftChars="0"/>
        <w:jc w:val="left"/>
        <w:rPr>
          <w:rFonts w:hint="eastAsia"/>
          <w:sz w:val="20"/>
          <w:szCs w:val="20"/>
          <w:lang w:val="en-US" w:eastAsia="zh-CN"/>
        </w:rPr>
      </w:pPr>
      <w:r>
        <w:rPr>
          <w:rFonts w:hint="eastAsia"/>
          <w:sz w:val="20"/>
          <w:szCs w:val="20"/>
          <w:lang w:val="en-US" w:eastAsia="zh-CN"/>
        </w:rPr>
        <w:t>For 4-step RACH, the reason for support of early identification is,</w:t>
      </w:r>
    </w:p>
    <w:p>
      <w:pPr>
        <w:numPr>
          <w:ilvl w:val="0"/>
          <w:numId w:val="7"/>
        </w:numPr>
        <w:ind w:left="420" w:leftChars="0" w:hanging="420" w:firstLineChars="0"/>
        <w:jc w:val="left"/>
        <w:rPr>
          <w:rFonts w:hint="default" w:cs="Times New Roman"/>
          <w:lang w:val="en-US" w:eastAsia="zh-CN"/>
        </w:rPr>
      </w:pPr>
      <w:r>
        <w:rPr>
          <w:rFonts w:hint="eastAsia"/>
          <w:sz w:val="20"/>
          <w:szCs w:val="20"/>
          <w:lang w:val="en-US" w:eastAsia="zh-CN"/>
        </w:rPr>
        <w:t>gNB can make proper scheduling for RAR and Msg.3 with early indication in PRACH</w:t>
      </w:r>
    </w:p>
    <w:p>
      <w:pPr>
        <w:numPr>
          <w:ilvl w:val="0"/>
          <w:numId w:val="7"/>
        </w:numPr>
        <w:ind w:left="420" w:leftChars="0" w:hanging="420" w:firstLineChars="0"/>
        <w:jc w:val="left"/>
        <w:rPr>
          <w:rFonts w:hint="default" w:cs="Times New Roman"/>
          <w:lang w:val="en-US" w:eastAsia="zh-CN"/>
        </w:rPr>
      </w:pPr>
      <w:r>
        <w:rPr>
          <w:rFonts w:hint="eastAsia"/>
          <w:sz w:val="20"/>
          <w:szCs w:val="20"/>
          <w:lang w:val="en-US" w:eastAsia="zh-CN"/>
        </w:rPr>
        <w:t>Similar mechanism as R17 RedCap has been supported, reusing this early identification can provide flexibility for gNB</w:t>
      </w:r>
    </w:p>
    <w:p>
      <w:pPr>
        <w:numPr>
          <w:numId w:val="0"/>
        </w:numPr>
        <w:ind w:leftChars="0"/>
        <w:jc w:val="left"/>
        <w:rPr>
          <w:rFonts w:hint="eastAsia" w:cs="Times New Roman"/>
          <w:lang w:val="en-US" w:eastAsia="zh-CN"/>
        </w:rPr>
      </w:pPr>
      <w:r>
        <w:rPr>
          <w:rFonts w:hint="eastAsia" w:cs="Times New Roman"/>
          <w:lang w:val="en-US" w:eastAsia="zh-CN"/>
        </w:rPr>
        <w:t>The reason not to support is,</w:t>
      </w:r>
    </w:p>
    <w:p>
      <w:pPr>
        <w:numPr>
          <w:ilvl w:val="0"/>
          <w:numId w:val="7"/>
        </w:numPr>
        <w:ind w:left="420" w:leftChars="0" w:hanging="420" w:firstLineChars="0"/>
        <w:jc w:val="left"/>
        <w:rPr>
          <w:rFonts w:hint="eastAsia" w:cs="Times New Roman"/>
          <w:lang w:val="en-US" w:eastAsia="zh-CN"/>
        </w:rPr>
      </w:pPr>
      <w:r>
        <w:rPr>
          <w:rFonts w:hint="eastAsia" w:eastAsiaTheme="minorEastAsia"/>
          <w:lang w:val="en-US" w:eastAsia="zh-CN"/>
        </w:rPr>
        <w:t xml:space="preserve">For eRedCap, </w:t>
      </w:r>
      <w:r>
        <w:rPr>
          <w:rFonts w:eastAsiaTheme="minorEastAsia"/>
          <w:lang w:val="en-US" w:eastAsia="zh-CN"/>
        </w:rPr>
        <w:t>Msg.2 BW can be scheduled within or larger than 5MHz depending on the time gap between RAR PDSCH and corresponding Msg.3, and Msg.3 scheduling is most likely to be within 5MHz.</w:t>
      </w:r>
      <w:r>
        <w:rPr>
          <w:rFonts w:hint="eastAsia" w:cs="Times New Roman"/>
          <w:lang w:val="en-US" w:eastAsia="zh-CN"/>
        </w:rPr>
        <w:t xml:space="preserve"> So even gNB does not identify eRedCap, it can still work.</w:t>
      </w:r>
    </w:p>
    <w:p>
      <w:pPr>
        <w:numPr>
          <w:ilvl w:val="0"/>
          <w:numId w:val="7"/>
        </w:numPr>
        <w:ind w:left="420" w:leftChars="0" w:hanging="420" w:firstLineChars="0"/>
        <w:jc w:val="left"/>
        <w:rPr>
          <w:rFonts w:hint="eastAsia" w:cs="Times New Roman"/>
          <w:lang w:val="en-US" w:eastAsia="zh-CN"/>
        </w:rPr>
      </w:pPr>
      <w:r>
        <w:rPr>
          <w:rFonts w:hint="eastAsia" w:cs="Times New Roman"/>
          <w:lang w:val="en-US" w:eastAsia="zh-CN"/>
        </w:rPr>
        <w:t>RACH resource have been</w:t>
      </w:r>
      <w:r>
        <w:rPr>
          <w:rFonts w:eastAsiaTheme="minorEastAsia"/>
          <w:lang w:val="en-US" w:eastAsia="zh-CN"/>
        </w:rPr>
        <w:t xml:space="preserve"> fragmented by several features</w:t>
      </w:r>
      <w:r>
        <w:rPr>
          <w:rFonts w:hint="eastAsia" w:eastAsiaTheme="minorEastAsia"/>
          <w:lang w:val="en-US" w:eastAsia="zh-CN"/>
        </w:rPr>
        <w:t>, introducing additional partition for eRedCap will further result in RACH congestion.</w:t>
      </w:r>
    </w:p>
    <w:p>
      <w:pPr>
        <w:numPr>
          <w:numId w:val="0"/>
        </w:numPr>
        <w:ind w:leftChars="0"/>
        <w:jc w:val="left"/>
        <w:rPr>
          <w:rFonts w:hint="eastAsia"/>
          <w:lang w:val="en-US" w:eastAsia="zh-CN"/>
        </w:rPr>
      </w:pPr>
      <w:r>
        <w:rPr>
          <w:rFonts w:hint="eastAsia" w:cs="Times New Roman"/>
          <w:lang w:val="en-US" w:eastAsia="zh-CN"/>
        </w:rPr>
        <w:t xml:space="preserve">At last, a compromise agreement is </w:t>
      </w:r>
      <w:r>
        <w:rPr>
          <w:rFonts w:hint="default" w:cs="Times New Roman"/>
          <w:lang w:val="en-US" w:eastAsia="zh-CN"/>
        </w:rPr>
        <w:t>“</w:t>
      </w:r>
      <w:r>
        <w:rPr>
          <w:lang w:val="en-US"/>
        </w:rPr>
        <w:t>A network-configurable additional separate early indication in Msg1 for Rel-18 eRedCap UEs is supported</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When Msg1 indication for Rel-18 eRedCap UEs is not configured while Msg1 indication for Rel-17 RedCap UEs is configured, Rel-18 eRedCap UEs shall share the PRACH that is configured for Rel-17 RedCap UEs</w:t>
      </w:r>
      <w:r>
        <w:rPr>
          <w:rFonts w:hint="default"/>
          <w:lang w:val="en-US" w:eastAsia="zh-CN"/>
        </w:rPr>
        <w:t>”</w:t>
      </w:r>
      <w:r>
        <w:rPr>
          <w:rFonts w:hint="eastAsia"/>
          <w:lang w:val="en-US" w:eastAsia="zh-CN"/>
        </w:rPr>
        <w:t xml:space="preserve">. </w:t>
      </w:r>
    </w:p>
    <w:p>
      <w:pPr>
        <w:numPr>
          <w:numId w:val="0"/>
        </w:numPr>
        <w:ind w:leftChars="0"/>
        <w:jc w:val="left"/>
        <w:rPr>
          <w:rFonts w:hint="default" w:eastAsia="宋体"/>
          <w:lang w:val="en-US" w:eastAsia="zh-CN"/>
        </w:rPr>
      </w:pPr>
      <w:r>
        <w:rPr>
          <w:rFonts w:hint="eastAsia"/>
          <w:lang w:val="en-US" w:eastAsia="zh-CN"/>
        </w:rPr>
        <w:t xml:space="preserve">However for 2-step RACH, things are different, there is no motivation from early identification perspective to configure separate MsgA PRACH since </w:t>
      </w:r>
      <w:r>
        <w:rPr>
          <w:lang w:val="en-US"/>
        </w:rPr>
        <w:t>MsgA PUSCH indication</w:t>
      </w:r>
      <w:r>
        <w:rPr>
          <w:rFonts w:hint="eastAsia"/>
          <w:lang w:val="en-US" w:eastAsia="zh-CN"/>
        </w:rPr>
        <w:t xml:space="preserve"> anyway will be transmitted. So RAN1 made the following agreements for 2-step RACH. R18 eRedCap UE will share the same 2-step RACH resource as for R17 RedCap.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rPr>
                <w:rFonts w:hint="default" w:eastAsia="宋体"/>
                <w:color w:val="auto"/>
                <w:highlight w:val="none"/>
                <w:lang w:val="en-US" w:eastAsia="zh-CN"/>
              </w:rPr>
            </w:pPr>
            <w:r>
              <w:rPr>
                <w:rFonts w:hint="eastAsia"/>
                <w:color w:val="auto"/>
                <w:highlight w:val="none"/>
                <w:lang w:val="en-US" w:eastAsia="zh-CN"/>
              </w:rPr>
              <w:t>RAN1#113</w:t>
            </w:r>
          </w:p>
          <w:p>
            <w:pPr>
              <w:rPr>
                <w:highlight w:val="green"/>
                <w:lang w:val="en-US"/>
              </w:rPr>
            </w:pPr>
            <w:r>
              <w:rPr>
                <w:highlight w:val="green"/>
                <w:lang w:val="en-US"/>
              </w:rPr>
              <w:t>Agreement</w:t>
            </w:r>
          </w:p>
          <w:p>
            <w:pPr>
              <w:numPr>
                <w:ilvl w:val="0"/>
                <w:numId w:val="8"/>
              </w:numPr>
              <w:rPr>
                <w:lang w:val="en-US"/>
              </w:rPr>
            </w:pPr>
            <w:r>
              <w:rPr>
                <w:lang w:val="en-US"/>
              </w:rPr>
              <w:t>For the “FFS: value(s) of X”,</w:t>
            </w:r>
          </w:p>
          <w:p>
            <w:pPr>
              <w:numPr>
                <w:ilvl w:val="1"/>
                <w:numId w:val="8"/>
              </w:numPr>
              <w:rPr>
                <w:lang w:val="en-US"/>
              </w:rPr>
            </w:pPr>
            <w:r>
              <w:rPr>
                <w:lang w:val="en-US"/>
              </w:rPr>
              <w:t>X = 1/0.5 ms for 15/30 kHz SCS</w:t>
            </w:r>
          </w:p>
          <w:p>
            <w:pPr>
              <w:numPr>
                <w:ilvl w:val="0"/>
                <w:numId w:val="8"/>
              </w:numPr>
              <w:rPr>
                <w:lang w:val="en-US"/>
              </w:rPr>
            </w:pPr>
            <w:r>
              <w:rPr>
                <w:lang w:val="en-US"/>
              </w:rPr>
              <w:t>Legacy default TDRA table and Δ are reused.</w:t>
            </w:r>
          </w:p>
          <w:p>
            <w:pPr>
              <w:numPr>
                <w:ilvl w:val="0"/>
                <w:numId w:val="8"/>
              </w:numPr>
              <w:rPr>
                <w:lang w:val="en-US"/>
              </w:rPr>
            </w:pPr>
            <w:r>
              <w:rPr>
                <w:lang w:val="en-US"/>
              </w:rPr>
              <w:t>A network-configurable additional separate early indication in Msg1 for Rel-18 eRedCap UEs is supported.</w:t>
            </w:r>
          </w:p>
          <w:p>
            <w:pPr>
              <w:numPr>
                <w:ilvl w:val="1"/>
                <w:numId w:val="8"/>
              </w:numPr>
              <w:rPr>
                <w:lang w:val="en-US"/>
              </w:rPr>
            </w:pPr>
            <w:r>
              <w:rPr>
                <w:lang w:val="en-US"/>
              </w:rPr>
              <w:t>When Msg1 indication for Rel-18 eRedCap UEs is configured, it is used by Rel-18 eRedCap UEs (with or without UE BB bandwidth reduction).</w:t>
            </w:r>
          </w:p>
          <w:p>
            <w:pPr>
              <w:numPr>
                <w:ilvl w:val="0"/>
                <w:numId w:val="8"/>
              </w:numPr>
              <w:rPr>
                <w:lang w:val="en-US"/>
              </w:rPr>
            </w:pPr>
            <w:bookmarkStart w:id="6" w:name="OLE_LINK1"/>
            <w:r>
              <w:rPr>
                <w:lang w:val="en-US"/>
              </w:rPr>
              <w:t>When Msg1 indication for Rel-18 eRedCap UEs is not configured while Msg1 indication for Rel-17 RedCap UEs is co</w:t>
            </w:r>
          </w:p>
          <w:p>
            <w:pPr>
              <w:numPr>
                <w:ilvl w:val="0"/>
                <w:numId w:val="8"/>
              </w:numPr>
              <w:rPr>
                <w:lang w:val="en-US"/>
              </w:rPr>
            </w:pPr>
            <w:r>
              <w:rPr>
                <w:lang w:val="en-US"/>
              </w:rPr>
              <w:t>nfigured, Rel-18 eRedCap UEs shall share the PRACH that is configured for Rel-17 RedCap UEs</w:t>
            </w:r>
            <w:bookmarkEnd w:id="6"/>
            <w:r>
              <w:rPr>
                <w:lang w:val="en-US"/>
              </w:rPr>
              <w:t>.</w:t>
            </w:r>
          </w:p>
          <w:p>
            <w:pPr>
              <w:numPr>
                <w:ilvl w:val="1"/>
                <w:numId w:val="8"/>
              </w:numPr>
              <w:rPr>
                <w:lang w:val="en-US"/>
              </w:rPr>
            </w:pPr>
            <w:r>
              <w:rPr>
                <w:lang w:val="en-US"/>
              </w:rPr>
              <w:t>Note: Rel-18 eRedCap UEs will be differentiated from Rel-17 RedCap UEs based on Msg3 of Rel-18 eRedCap UEs.</w:t>
            </w:r>
          </w:p>
          <w:p>
            <w:pPr>
              <w:numPr>
                <w:ilvl w:val="0"/>
                <w:numId w:val="8"/>
              </w:numPr>
              <w:rPr>
                <w:lang w:val="en-US"/>
              </w:rPr>
            </w:pPr>
            <w:r>
              <w:rPr>
                <w:lang w:val="en-US"/>
              </w:rPr>
              <w:t>Additional early indication in MsgA PRACH is not supported.</w:t>
            </w:r>
          </w:p>
          <w:p>
            <w:pPr>
              <w:numPr>
                <w:numId w:val="0"/>
              </w:numPr>
              <w:jc w:val="left"/>
              <w:rPr>
                <w:rFonts w:hint="default"/>
                <w:vertAlign w:val="baseline"/>
                <w:lang w:val="en-US" w:eastAsia="zh-CN"/>
              </w:rPr>
            </w:pPr>
          </w:p>
          <w:p>
            <w:pPr>
              <w:rPr>
                <w:rFonts w:eastAsia="等线"/>
                <w:highlight w:val="green"/>
                <w:lang w:val="en-US" w:eastAsia="zh-CN"/>
              </w:rPr>
            </w:pPr>
            <w:r>
              <w:rPr>
                <w:rFonts w:hint="eastAsia" w:eastAsia="等线"/>
                <w:highlight w:val="green"/>
                <w:lang w:val="en-US" w:eastAsia="zh-CN"/>
              </w:rPr>
              <w:t>Agreement</w:t>
            </w:r>
          </w:p>
          <w:p>
            <w:pPr>
              <w:rPr>
                <w:lang w:val="en-US"/>
              </w:rPr>
            </w:pPr>
            <w:r>
              <w:rPr>
                <w:lang w:val="en-US"/>
              </w:rPr>
              <w:t>For UE BB bandwidth reduction, for 2-step RACH, assuming that MsgA PUSCH indication is transmitted</w:t>
            </w:r>
            <w:r>
              <w:rPr>
                <w:rFonts w:eastAsia="宋体"/>
                <w:lang w:val="en-US" w:eastAsia="ja-JP"/>
              </w:rPr>
              <w:t>:</w:t>
            </w:r>
          </w:p>
          <w:p>
            <w:pPr>
              <w:numPr>
                <w:ilvl w:val="0"/>
                <w:numId w:val="9"/>
              </w:numPr>
              <w:tabs>
                <w:tab w:val="left" w:pos="1200"/>
              </w:tabs>
              <w:spacing w:after="180" w:line="252" w:lineRule="auto"/>
              <w:contextualSpacing/>
              <w:rPr>
                <w:rFonts w:ascii="Times New Roman" w:hAnsi="Times New Roman"/>
                <w:szCs w:val="20"/>
                <w:lang w:val="en-US" w:eastAsia="zh-CN"/>
              </w:rPr>
            </w:pPr>
            <w:r>
              <w:rPr>
                <w:rFonts w:ascii="Times New Roman" w:hAnsi="Times New Roman"/>
                <w:szCs w:val="20"/>
                <w:lang w:val="en-US" w:eastAsia="zh-CN"/>
              </w:rPr>
              <w:t>The bandwidth of a MsgB scheduled with MSGB-RNTI should be limited in a similar way as Msg2.</w:t>
            </w:r>
          </w:p>
          <w:p>
            <w:pPr>
              <w:numPr>
                <w:ilvl w:val="1"/>
                <w:numId w:val="9"/>
              </w:numPr>
              <w:spacing w:after="180" w:line="252" w:lineRule="auto"/>
              <w:contextualSpacing/>
              <w:rPr>
                <w:rFonts w:ascii="Times New Roman" w:hAnsi="Times New Roman"/>
                <w:szCs w:val="20"/>
                <w:lang w:val="en-US" w:eastAsia="zh-CN"/>
              </w:rPr>
            </w:pPr>
            <w:r>
              <w:rPr>
                <w:rFonts w:ascii="Times New Roman" w:hAnsi="Times New Roman"/>
                <w:szCs w:val="20"/>
                <w:lang w:val="en-US" w:eastAsia="zh-CN"/>
              </w:rPr>
              <w:t>The same timeline relaxation as for the Msg2-Msg3 timeline (i.e., 1 slot for Msg2 PDSCH larger than 25 PRBs for 15 kHz SCS and 12 PRBs for 30 kHz SCS) applies at least for the following cases:</w:t>
            </w:r>
          </w:p>
          <w:p>
            <w:pPr>
              <w:numPr>
                <w:ilvl w:val="2"/>
                <w:numId w:val="9"/>
              </w:numPr>
              <w:spacing w:after="180" w:line="252" w:lineRule="auto"/>
              <w:contextualSpacing/>
              <w:rPr>
                <w:rFonts w:ascii="Times New Roman" w:hAnsi="Times New Roman"/>
                <w:sz w:val="18"/>
                <w:szCs w:val="18"/>
                <w:lang w:val="en-US" w:eastAsia="zh-CN"/>
              </w:rPr>
            </w:pPr>
            <w:r>
              <w:rPr>
                <w:color w:val="000000"/>
                <w:szCs w:val="22"/>
                <w:lang w:val="en-US" w:eastAsia="zh-CN"/>
              </w:rPr>
              <w:t>Case 2a: Between reception of fallbackRAR and transmission of Msg3</w:t>
            </w:r>
          </w:p>
          <w:p>
            <w:pPr>
              <w:numPr>
                <w:ilvl w:val="2"/>
                <w:numId w:val="9"/>
              </w:numPr>
              <w:spacing w:after="180" w:line="252" w:lineRule="auto"/>
              <w:contextualSpacing/>
              <w:rPr>
                <w:rFonts w:ascii="Times New Roman" w:hAnsi="Times New Roman"/>
                <w:sz w:val="18"/>
                <w:szCs w:val="18"/>
                <w:lang w:val="en-US" w:eastAsia="zh-CN"/>
              </w:rPr>
            </w:pPr>
            <w:r>
              <w:rPr>
                <w:color w:val="000000"/>
                <w:szCs w:val="22"/>
                <w:lang w:val="en-US" w:eastAsia="zh-CN"/>
              </w:rPr>
              <w:t>Case 2b: Between reception of successRAR and transmission of corresponding HARQ-ACK</w:t>
            </w:r>
          </w:p>
          <w:p>
            <w:pPr>
              <w:numPr>
                <w:ilvl w:val="0"/>
                <w:numId w:val="9"/>
              </w:numPr>
              <w:tabs>
                <w:tab w:val="left" w:pos="1200"/>
              </w:tabs>
              <w:spacing w:after="180" w:line="252" w:lineRule="auto"/>
              <w:contextualSpacing/>
              <w:rPr>
                <w:rFonts w:ascii="Times New Roman" w:hAnsi="Times New Roman"/>
                <w:szCs w:val="20"/>
                <w:lang w:val="en-US" w:eastAsia="zh-CN"/>
              </w:rPr>
            </w:pPr>
            <w:r>
              <w:rPr>
                <w:rFonts w:ascii="Times New Roman" w:hAnsi="Times New Roman"/>
                <w:szCs w:val="20"/>
                <w:lang w:val="en-US" w:eastAsia="zh-CN"/>
              </w:rPr>
              <w:t>The bandwidth of a MsgB scheduled with C-RNTI should be limited in a similar way as Msg4.</w:t>
            </w:r>
          </w:p>
          <w:p>
            <w:pPr>
              <w:numPr>
                <w:numId w:val="0"/>
              </w:numPr>
              <w:jc w:val="left"/>
              <w:rPr>
                <w:rFonts w:hint="default"/>
                <w:vertAlign w:val="baseline"/>
                <w:lang w:val="en-US" w:eastAsia="zh-CN"/>
              </w:rPr>
            </w:pPr>
          </w:p>
          <w:p>
            <w:pPr>
              <w:numPr>
                <w:numId w:val="0"/>
              </w:numPr>
              <w:jc w:val="left"/>
              <w:rPr>
                <w:rFonts w:hint="eastAsia"/>
                <w:vertAlign w:val="baseline"/>
                <w:lang w:val="en-US" w:eastAsia="zh-CN"/>
              </w:rPr>
            </w:pPr>
            <w:r>
              <w:rPr>
                <w:rFonts w:hint="eastAsia"/>
                <w:vertAlign w:val="baseline"/>
                <w:lang w:val="en-US" w:eastAsia="zh-CN"/>
              </w:rPr>
              <w:t>RAN1#115</w:t>
            </w:r>
          </w:p>
          <w:p>
            <w:pPr>
              <w:rPr>
                <w:bCs/>
                <w:lang w:val="en-US"/>
              </w:rPr>
            </w:pPr>
            <w:r>
              <w:rPr>
                <w:bCs/>
                <w:highlight w:val="green"/>
                <w:lang w:val="en-US"/>
              </w:rPr>
              <w:t>Agreement</w:t>
            </w:r>
          </w:p>
          <w:p>
            <w:pPr>
              <w:numPr>
                <w:ilvl w:val="0"/>
                <w:numId w:val="10"/>
              </w:numPr>
              <w:spacing w:after="180" w:line="252" w:lineRule="auto"/>
              <w:contextualSpacing/>
              <w:jc w:val="both"/>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p>
          <w:p>
            <w:pPr>
              <w:numPr>
                <w:ilvl w:val="1"/>
                <w:numId w:val="10"/>
              </w:numPr>
              <w:spacing w:after="180" w:line="252" w:lineRule="auto"/>
              <w:contextualSpacing/>
              <w:jc w:val="both"/>
              <w:rPr>
                <w:bCs/>
                <w:szCs w:val="22"/>
                <w:lang w:val="en-US" w:eastAsia="zh-CN"/>
              </w:rPr>
            </w:pPr>
            <w:r>
              <w:rPr>
                <w:bCs/>
                <w:szCs w:val="22"/>
                <w:lang w:val="en-US" w:eastAsia="zh-CN"/>
              </w:rPr>
              <w:t>Send LS to RAN2 to inform about this agreement.</w:t>
            </w:r>
          </w:p>
          <w:p>
            <w:pPr>
              <w:numPr>
                <w:numId w:val="0"/>
              </w:numPr>
              <w:jc w:val="left"/>
              <w:rPr>
                <w:rFonts w:hint="default"/>
                <w:vertAlign w:val="baseline"/>
                <w:lang w:val="en-US" w:eastAsia="zh-CN"/>
              </w:rPr>
            </w:pPr>
          </w:p>
        </w:tc>
      </w:tr>
    </w:tbl>
    <w:p>
      <w:pPr>
        <w:numPr>
          <w:numId w:val="0"/>
        </w:numPr>
        <w:ind w:leftChars="0"/>
        <w:jc w:val="left"/>
        <w:rPr>
          <w:rFonts w:hint="eastAsia"/>
          <w:lang w:val="en-US" w:eastAsia="zh-CN"/>
        </w:rPr>
      </w:pPr>
      <w:r>
        <w:rPr>
          <w:rFonts w:hint="eastAsia"/>
          <w:lang w:val="en-US" w:eastAsia="zh-CN"/>
        </w:rPr>
        <w:t xml:space="preserve">And now there is still no technical reason to change the agreement, R18 eRedCap sharing the same 2-step resource as R17 RedCap is feasible. </w:t>
      </w:r>
    </w:p>
    <w:p>
      <w:pPr>
        <w:numPr>
          <w:numId w:val="0"/>
        </w:numPr>
        <w:ind w:leftChars="0"/>
        <w:jc w:val="left"/>
        <w:rPr>
          <w:rFonts w:hint="default"/>
          <w:lang w:val="en-US" w:eastAsia="zh-CN"/>
        </w:rPr>
      </w:pPr>
      <w:r>
        <w:rPr>
          <w:rFonts w:hint="eastAsia"/>
          <w:lang w:val="en-US" w:eastAsia="zh-CN"/>
        </w:rPr>
        <w:t>And RAN2 has discussed how to capture the following case when taking into above RAN1 agreements. Solutions on this have been provided by companies, although the solutions seems complicated, we don</w:t>
      </w:r>
      <w:r>
        <w:rPr>
          <w:rFonts w:hint="default"/>
          <w:lang w:val="en-US" w:eastAsia="zh-CN"/>
        </w:rPr>
        <w:t>’</w:t>
      </w:r>
      <w:r>
        <w:rPr>
          <w:rFonts w:hint="eastAsia"/>
          <w:lang w:val="en-US" w:eastAsia="zh-CN"/>
        </w:rPr>
        <w:t xml:space="preserve">t think it is the proper reason to change RAN1 agreements. </w:t>
      </w:r>
    </w:p>
    <w:p>
      <w:pPr>
        <w:pStyle w:val="148"/>
        <w:numPr>
          <w:ilvl w:val="0"/>
          <w:numId w:val="11"/>
        </w:numPr>
        <w:pBdr>
          <w:top w:val="single" w:color="auto" w:sz="4" w:space="1"/>
          <w:left w:val="single" w:color="auto" w:sz="4" w:space="4"/>
          <w:bottom w:val="single" w:color="auto" w:sz="4" w:space="1"/>
          <w:right w:val="single" w:color="auto" w:sz="4" w:space="4"/>
        </w:pBdr>
        <w:tabs>
          <w:tab w:val="left" w:pos="400"/>
          <w:tab w:val="clear" w:pos="1622"/>
        </w:tabs>
        <w:ind w:left="419" w:leftChars="0" w:hanging="219" w:firstLineChars="0"/>
      </w:pPr>
      <w:r>
        <w:t xml:space="preserve">In case 2 (4-step . In case 2 (4-step PRACH eRedCap + 2-step PRACH RedCap), </w:t>
      </w:r>
      <w:r>
        <w:rPr>
          <w:highlight w:val="yellow"/>
        </w:rPr>
        <w:t>R18 eRedCap UE is allowed to select 2-step RA.</w:t>
      </w:r>
      <w:r>
        <w:t xml:space="preserve">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p>
      <w:pPr>
        <w:pStyle w:val="148"/>
        <w:numPr>
          <w:ilvl w:val="0"/>
          <w:numId w:val="11"/>
        </w:numPr>
        <w:pBdr>
          <w:top w:val="single" w:color="auto" w:sz="4" w:space="1"/>
          <w:left w:val="single" w:color="auto" w:sz="4" w:space="4"/>
          <w:bottom w:val="single" w:color="auto" w:sz="4" w:space="1"/>
          <w:right w:val="single" w:color="auto" w:sz="4" w:space="4"/>
        </w:pBdr>
        <w:tabs>
          <w:tab w:val="left" w:pos="400"/>
          <w:tab w:val="clear" w:pos="1622"/>
        </w:tabs>
        <w:ind w:left="419" w:leftChars="0" w:hanging="219" w:firstLineChars="0"/>
      </w:pPr>
      <w:r>
        <w:t>We will discuss how to capture this in the spec over email.</w:t>
      </w:r>
    </w:p>
    <w:p>
      <w:pPr>
        <w:numPr>
          <w:numId w:val="0"/>
        </w:numPr>
        <w:ind w:leftChars="0"/>
        <w:jc w:val="left"/>
        <w:rPr>
          <w:rFonts w:hint="default"/>
          <w:lang w:val="en-US" w:eastAsia="zh-CN"/>
        </w:rPr>
      </w:pPr>
    </w:p>
    <w:p>
      <w:pPr>
        <w:numPr>
          <w:numId w:val="0"/>
        </w:numPr>
        <w:ind w:leftChars="0"/>
        <w:jc w:val="left"/>
        <w:rPr>
          <w:rFonts w:hint="default"/>
          <w:lang w:val="en-US" w:eastAsia="zh-CN"/>
        </w:rPr>
      </w:pPr>
      <w:r>
        <w:rPr>
          <w:rFonts w:hint="eastAsia"/>
          <w:b/>
          <w:bCs/>
          <w:lang w:val="en-US" w:eastAsia="zh-CN"/>
        </w:rPr>
        <w:t>Observation 1: There is no technical reason to revert RAN1 agreements for shared R18 2-step RACH resources with R17 RedCap.</w:t>
      </w:r>
      <w:r>
        <w:rPr>
          <w:rFonts w:hint="eastAsia"/>
          <w:lang w:val="en-US" w:eastAsia="zh-CN"/>
        </w:rPr>
        <w:t xml:space="preserve"> </w:t>
      </w:r>
    </w:p>
    <w:p>
      <w:pPr>
        <w:numPr>
          <w:ilvl w:val="0"/>
          <w:numId w:val="0"/>
        </w:numPr>
        <w:ind w:leftChars="0"/>
        <w:jc w:val="left"/>
        <w:rPr>
          <w:rFonts w:hint="default" w:cs="Times New Roman"/>
          <w:b w:val="0"/>
          <w:bCs w:val="0"/>
          <w:lang w:val="en-US" w:eastAsia="zh-CN"/>
        </w:rPr>
      </w:pPr>
      <w:r>
        <w:rPr>
          <w:rFonts w:hint="eastAsia" w:cs="Times New Roman"/>
          <w:b w:val="0"/>
          <w:bCs w:val="0"/>
          <w:lang w:val="en-US" w:eastAsia="zh-CN"/>
        </w:rPr>
        <w:t xml:space="preserve">And according RAN2 LS, if RAN1 keep current agreements, RAN2 will suppose that supporting </w:t>
      </w:r>
      <w:r>
        <w:rPr>
          <w:rFonts w:hint="eastAsia" w:cs="Times New Roman"/>
          <w:b w:val="0"/>
          <w:bCs w:val="0"/>
          <w:lang w:val="en-US" w:eastAsia="zh-CN"/>
        </w:rPr>
        <w:t xml:space="preserve">2-step RA for eRedCap is not supported at all. We think for this case, the gNB can configure the R18 eRedCap to share the same 4-step and 2-step RACH resources as R17 RedCap. Then according to above 4-step RACH analysis, R18 eRedCap can work as R17 RedCap for both contention based 4-step (the RAR PDSCH and Msg.3 PUSCH can be handled in most cases) and 2-step RACH procedure, and be identified by gNB from Msg.3 or MsgA PUSCH, then the it can be treated correctly after the random access. Which means it can still support </w:t>
      </w:r>
      <w:bookmarkStart w:id="7" w:name="OLE_LINK5"/>
      <w:r>
        <w:rPr>
          <w:rFonts w:hint="eastAsia" w:cs="Times New Roman"/>
          <w:b w:val="0"/>
          <w:bCs w:val="0"/>
          <w:lang w:val="en-US" w:eastAsia="zh-CN"/>
        </w:rPr>
        <w:t>2-step RACH as a R17 RedCap UE</w:t>
      </w:r>
      <w:bookmarkEnd w:id="7"/>
      <w:r>
        <w:rPr>
          <w:rFonts w:hint="eastAsia" w:cs="Times New Roman"/>
          <w:b w:val="0"/>
          <w:bCs w:val="0"/>
          <w:lang w:val="en-US" w:eastAsia="zh-CN"/>
        </w:rPr>
        <w:t>.</w:t>
      </w:r>
    </w:p>
    <w:p>
      <w:pPr>
        <w:numPr>
          <w:numId w:val="0"/>
        </w:numPr>
        <w:ind w:leftChars="0"/>
        <w:jc w:val="left"/>
        <w:rPr>
          <w:rFonts w:hint="default"/>
          <w:b/>
          <w:bCs/>
          <w:sz w:val="20"/>
          <w:szCs w:val="20"/>
          <w:lang w:val="en-US" w:eastAsia="zh-CN"/>
        </w:rPr>
      </w:pPr>
      <w:r>
        <w:rPr>
          <w:rFonts w:hint="eastAsia"/>
          <w:b/>
          <w:bCs/>
          <w:sz w:val="20"/>
          <w:szCs w:val="20"/>
          <w:lang w:val="en-US" w:eastAsia="zh-CN"/>
        </w:rPr>
        <w:t>Observation 2: If supporting 2-step RA for eRedCap is not supported at all, eRedCap UE can still support 2-step RA as a R17 RedCap UE</w:t>
      </w:r>
      <w:r>
        <w:rPr>
          <w:rFonts w:hint="default"/>
          <w:b/>
          <w:bCs/>
          <w:sz w:val="20"/>
          <w:szCs w:val="20"/>
          <w:lang w:val="en-US" w:eastAsia="zh-CN"/>
        </w:rPr>
        <w:t>.</w:t>
      </w:r>
    </w:p>
    <w:p>
      <w:pPr>
        <w:numPr>
          <w:numId w:val="0"/>
        </w:numPr>
        <w:ind w:leftChars="0"/>
        <w:jc w:val="left"/>
        <w:rPr>
          <w:rFonts w:hint="default"/>
          <w:b w:val="0"/>
          <w:bCs w:val="0"/>
          <w:sz w:val="20"/>
          <w:szCs w:val="20"/>
          <w:lang w:val="en-US" w:eastAsia="zh-CN"/>
        </w:rPr>
      </w:pPr>
      <w:r>
        <w:rPr>
          <w:rFonts w:hint="eastAsia"/>
          <w:b w:val="0"/>
          <w:bCs w:val="0"/>
          <w:sz w:val="20"/>
          <w:szCs w:val="20"/>
          <w:lang w:val="en-US" w:eastAsia="zh-CN"/>
        </w:rPr>
        <w:t>Therefore, we propose to reply to RAN2 that, the following agreements about 2-step RACH for R18 eRedCap is not changed.</w:t>
      </w:r>
    </w:p>
    <w:p>
      <w:pPr>
        <w:numPr>
          <w:ilvl w:val="0"/>
          <w:numId w:val="10"/>
        </w:numPr>
        <w:spacing w:after="180" w:line="252" w:lineRule="auto"/>
        <w:contextualSpacing/>
        <w:jc w:val="both"/>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p>
    <w:p>
      <w:pPr>
        <w:numPr>
          <w:numId w:val="0"/>
        </w:numPr>
        <w:ind w:leftChars="0"/>
        <w:jc w:val="left"/>
        <w:rPr>
          <w:rFonts w:hint="default"/>
          <w:b/>
          <w:bCs/>
          <w:sz w:val="20"/>
          <w:szCs w:val="20"/>
          <w:lang w:val="en-US" w:eastAsia="zh-CN"/>
        </w:rPr>
      </w:pPr>
    </w:p>
    <w:p>
      <w:pPr>
        <w:numPr>
          <w:numId w:val="0"/>
        </w:numPr>
        <w:ind w:leftChars="0"/>
        <w:jc w:val="left"/>
        <w:rPr>
          <w:rFonts w:hint="default"/>
          <w:b/>
          <w:bCs/>
          <w:sz w:val="20"/>
          <w:szCs w:val="20"/>
          <w:lang w:val="en-US" w:eastAsia="zh-CN"/>
        </w:rPr>
      </w:pPr>
      <w:r>
        <w:rPr>
          <w:rFonts w:hint="eastAsia"/>
          <w:b/>
          <w:bCs/>
          <w:sz w:val="20"/>
          <w:szCs w:val="20"/>
          <w:lang w:val="en-US" w:eastAsia="zh-CN"/>
        </w:rPr>
        <w:t>Proposal: Reply to RAN2 that 2-step eRedCap RA resources is not separately configured for R18 eRedCap UE if If MsgA PRACH early indication for Rel-17 RedCap UEs is configured.</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hint="default"/>
          <w:lang w:val="en-US" w:eastAsia="zh-CN"/>
        </w:rPr>
      </w:pPr>
      <w:r>
        <w:t xml:space="preserve">In this contribution, </w:t>
      </w:r>
      <w:r>
        <w:rPr>
          <w:rFonts w:hint="default"/>
          <w:lang w:val="en-US"/>
        </w:rPr>
        <w:t xml:space="preserve">we discuss the </w:t>
      </w:r>
      <w:r>
        <w:rPr>
          <w:rFonts w:hint="eastAsia"/>
          <w:lang w:val="en-US" w:eastAsia="zh-CN"/>
        </w:rPr>
        <w:t>LS from RAN2 about whether to support configuring 2-step eRedCap RA resources in addition to 2-step RedCap RA resources</w:t>
      </w:r>
      <w:r>
        <w:rPr>
          <w:rFonts w:hint="default"/>
          <w:lang w:val="en-US" w:eastAsia="zh-CN"/>
        </w:rPr>
        <w:t>,</w:t>
      </w:r>
      <w:r>
        <w:rPr>
          <w:rFonts w:hint="eastAsia"/>
          <w:lang w:val="en-US" w:eastAsia="zh-CN"/>
        </w:rPr>
        <w:t xml:space="preserve"> the following observation and agreements are made,</w:t>
      </w:r>
    </w:p>
    <w:p>
      <w:pPr>
        <w:numPr>
          <w:ilvl w:val="0"/>
          <w:numId w:val="0"/>
        </w:numPr>
        <w:ind w:leftChars="0"/>
        <w:jc w:val="left"/>
        <w:rPr>
          <w:rFonts w:hint="default"/>
          <w:lang w:val="en-US" w:eastAsia="zh-CN"/>
        </w:rPr>
      </w:pPr>
      <w:r>
        <w:rPr>
          <w:rFonts w:hint="eastAsia"/>
          <w:b/>
          <w:bCs/>
          <w:lang w:val="en-US" w:eastAsia="zh-CN"/>
        </w:rPr>
        <w:t>Observation 1: There is no technical reason to revert RAN1 agreements for shared R18 2-step RACH resources with R17 RedCap.</w:t>
      </w:r>
      <w:r>
        <w:rPr>
          <w:rFonts w:hint="eastAsia"/>
          <w:lang w:val="en-US" w:eastAsia="zh-CN"/>
        </w:rPr>
        <w:t xml:space="preserve"> </w:t>
      </w:r>
    </w:p>
    <w:p>
      <w:pPr>
        <w:numPr>
          <w:ilvl w:val="0"/>
          <w:numId w:val="0"/>
        </w:numPr>
        <w:ind w:leftChars="0"/>
        <w:jc w:val="left"/>
        <w:rPr>
          <w:rFonts w:hint="default"/>
          <w:b/>
          <w:bCs/>
          <w:sz w:val="20"/>
          <w:szCs w:val="20"/>
          <w:lang w:val="en-US" w:eastAsia="zh-CN"/>
        </w:rPr>
      </w:pPr>
      <w:r>
        <w:rPr>
          <w:rFonts w:hint="eastAsia"/>
          <w:b/>
          <w:bCs/>
          <w:sz w:val="20"/>
          <w:szCs w:val="20"/>
          <w:lang w:val="en-US" w:eastAsia="zh-CN"/>
        </w:rPr>
        <w:t>Observation 2: If supporting 2-step RA for eRedCap is not supported at all, eRedCap UE can still support 2-step RA as a R17 RedCap UE initially</w:t>
      </w:r>
      <w:r>
        <w:rPr>
          <w:rFonts w:hint="default"/>
          <w:b/>
          <w:bCs/>
          <w:sz w:val="20"/>
          <w:szCs w:val="20"/>
          <w:lang w:val="en-US" w:eastAsia="zh-CN"/>
        </w:rPr>
        <w:t>.</w:t>
      </w:r>
      <w:bookmarkStart w:id="8" w:name="_GoBack"/>
      <w:bookmarkEnd w:id="8"/>
    </w:p>
    <w:p>
      <w:pPr>
        <w:numPr>
          <w:ilvl w:val="0"/>
          <w:numId w:val="0"/>
        </w:numPr>
        <w:ind w:leftChars="0"/>
        <w:jc w:val="left"/>
        <w:rPr>
          <w:b/>
          <w:lang w:eastAsia="zh-CN"/>
        </w:rPr>
      </w:pPr>
      <w:r>
        <w:rPr>
          <w:rFonts w:hint="eastAsia"/>
          <w:b/>
          <w:bCs/>
          <w:sz w:val="20"/>
          <w:szCs w:val="20"/>
          <w:lang w:val="en-US" w:eastAsia="zh-CN"/>
        </w:rPr>
        <w:t>Proposal: Reply to RAN2 that 2-step eRedCap RA resources is not separately configured for R18 eRedCap UE if MsgA PRACH early indication for Rel-17 RedCap UEs is configured.</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2"/>
        </w:numPr>
        <w:bidi w:val="0"/>
        <w:rPr>
          <w:rFonts w:hint="eastAsia"/>
          <w:lang w:val="zh-CN" w:eastAsia="zh-CN"/>
        </w:rPr>
      </w:pPr>
      <w:r>
        <w:rPr>
          <w:rFonts w:hint="eastAsia"/>
          <w:lang w:val="en-US" w:eastAsia="zh-CN"/>
        </w:rPr>
        <w:t>R1-2401948</w:t>
      </w:r>
      <w:r>
        <w:rPr>
          <w:rFonts w:hint="default"/>
          <w:lang w:val="en-US" w:eastAsia="zh-CN"/>
        </w:rPr>
        <w:t xml:space="preserve">, </w:t>
      </w:r>
      <w:r>
        <w:rPr>
          <w:rFonts w:hint="eastAsia"/>
          <w:lang w:val="en-US" w:eastAsia="zh-CN"/>
        </w:rPr>
        <w:t>LS on 2-step for eRedCap.</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2C35F"/>
    <w:multiLevelType w:val="singleLevel"/>
    <w:tmpl w:val="A132C35F"/>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0984038"/>
    <w:multiLevelType w:val="multilevel"/>
    <w:tmpl w:val="109840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C85980"/>
    <w:multiLevelType w:val="singleLevel"/>
    <w:tmpl w:val="24C85980"/>
    <w:lvl w:ilvl="0" w:tentative="0">
      <w:start w:val="1"/>
      <w:numFmt w:val="bullet"/>
      <w:lvlText w:val=""/>
      <w:lvlJc w:val="left"/>
      <w:pPr>
        <w:ind w:left="420" w:hanging="420"/>
      </w:pPr>
      <w:rPr>
        <w:rFonts w:hint="default" w:ascii="Wingdings" w:hAnsi="Wingdings"/>
      </w:r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57603841"/>
    <w:multiLevelType w:val="multilevel"/>
    <w:tmpl w:val="57603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EB04A16"/>
    <w:multiLevelType w:val="multilevel"/>
    <w:tmpl w:val="5EB04A1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0">
    <w:nsid w:val="7A915FF9"/>
    <w:multiLevelType w:val="multilevel"/>
    <w:tmpl w:val="7A915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
  </w:num>
  <w:num w:numId="3">
    <w:abstractNumId w:val="11"/>
  </w:num>
  <w:num w:numId="4">
    <w:abstractNumId w:val="6"/>
  </w:num>
  <w:num w:numId="5">
    <w:abstractNumId w:val="4"/>
    <w:lvlOverride w:ilvl="0">
      <w:startOverride w:val="1"/>
    </w:lvlOverride>
  </w:num>
  <w:num w:numId="6">
    <w:abstractNumId w:val="5"/>
  </w:num>
  <w:num w:numId="7">
    <w:abstractNumId w:val="3"/>
  </w:num>
  <w:num w:numId="8">
    <w:abstractNumId w:val="10"/>
  </w:num>
  <w:num w:numId="9">
    <w:abstractNumId w:val="2"/>
  </w:num>
  <w:num w:numId="10">
    <w:abstractNumId w:val="7"/>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5A95"/>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2A"/>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1802495"/>
    <w:rsid w:val="02862DAB"/>
    <w:rsid w:val="0361504B"/>
    <w:rsid w:val="042717CC"/>
    <w:rsid w:val="047C0098"/>
    <w:rsid w:val="05245B99"/>
    <w:rsid w:val="06345519"/>
    <w:rsid w:val="06650A90"/>
    <w:rsid w:val="08685804"/>
    <w:rsid w:val="08A40207"/>
    <w:rsid w:val="0DBF69F0"/>
    <w:rsid w:val="0DE9006E"/>
    <w:rsid w:val="0E8D79F9"/>
    <w:rsid w:val="0F704D9A"/>
    <w:rsid w:val="0F952D26"/>
    <w:rsid w:val="115B5D6D"/>
    <w:rsid w:val="117D11F1"/>
    <w:rsid w:val="119A16F5"/>
    <w:rsid w:val="1217271D"/>
    <w:rsid w:val="12C55F0C"/>
    <w:rsid w:val="147D7525"/>
    <w:rsid w:val="15191DA8"/>
    <w:rsid w:val="15811E1F"/>
    <w:rsid w:val="182C0963"/>
    <w:rsid w:val="188E0B8A"/>
    <w:rsid w:val="19A8293B"/>
    <w:rsid w:val="1A0C7C6C"/>
    <w:rsid w:val="1A1C4725"/>
    <w:rsid w:val="1B014DCC"/>
    <w:rsid w:val="1C62622A"/>
    <w:rsid w:val="1C9E31D7"/>
    <w:rsid w:val="1E834A47"/>
    <w:rsid w:val="1EA15867"/>
    <w:rsid w:val="1EC46423"/>
    <w:rsid w:val="1F4B77DC"/>
    <w:rsid w:val="1FDA624D"/>
    <w:rsid w:val="21B5252D"/>
    <w:rsid w:val="2253188A"/>
    <w:rsid w:val="22CD1327"/>
    <w:rsid w:val="237F1BE9"/>
    <w:rsid w:val="25B23E72"/>
    <w:rsid w:val="29783FCE"/>
    <w:rsid w:val="2B5B5919"/>
    <w:rsid w:val="2D3001E3"/>
    <w:rsid w:val="2EE66824"/>
    <w:rsid w:val="30286FE1"/>
    <w:rsid w:val="30955446"/>
    <w:rsid w:val="332066BE"/>
    <w:rsid w:val="34033C33"/>
    <w:rsid w:val="34C12760"/>
    <w:rsid w:val="35790F2D"/>
    <w:rsid w:val="38082B02"/>
    <w:rsid w:val="38425FB1"/>
    <w:rsid w:val="389023B0"/>
    <w:rsid w:val="3953313F"/>
    <w:rsid w:val="39773E87"/>
    <w:rsid w:val="3A077622"/>
    <w:rsid w:val="3A613C29"/>
    <w:rsid w:val="3A6366DE"/>
    <w:rsid w:val="3CAE75D6"/>
    <w:rsid w:val="3D293BFD"/>
    <w:rsid w:val="3D8A1026"/>
    <w:rsid w:val="3E1F73AB"/>
    <w:rsid w:val="3ED8405D"/>
    <w:rsid w:val="3F111F4F"/>
    <w:rsid w:val="3F1E297E"/>
    <w:rsid w:val="40B03EAB"/>
    <w:rsid w:val="40E03951"/>
    <w:rsid w:val="43227844"/>
    <w:rsid w:val="44297942"/>
    <w:rsid w:val="4549726A"/>
    <w:rsid w:val="456166A4"/>
    <w:rsid w:val="466D3198"/>
    <w:rsid w:val="468F20F0"/>
    <w:rsid w:val="47451307"/>
    <w:rsid w:val="48316ECF"/>
    <w:rsid w:val="4952531F"/>
    <w:rsid w:val="49B57A44"/>
    <w:rsid w:val="4A6349E3"/>
    <w:rsid w:val="4C283C71"/>
    <w:rsid w:val="4D6B0997"/>
    <w:rsid w:val="4EA45AEB"/>
    <w:rsid w:val="4EBD6547"/>
    <w:rsid w:val="4FB525DA"/>
    <w:rsid w:val="50840A7F"/>
    <w:rsid w:val="51164DC3"/>
    <w:rsid w:val="51573564"/>
    <w:rsid w:val="51DD7F55"/>
    <w:rsid w:val="523424E8"/>
    <w:rsid w:val="53BA23FF"/>
    <w:rsid w:val="54D60B83"/>
    <w:rsid w:val="552E6389"/>
    <w:rsid w:val="5605508D"/>
    <w:rsid w:val="56BF24FD"/>
    <w:rsid w:val="585E54F8"/>
    <w:rsid w:val="59073418"/>
    <w:rsid w:val="5AD550CF"/>
    <w:rsid w:val="5D3C6D21"/>
    <w:rsid w:val="5D715EC3"/>
    <w:rsid w:val="5DE22207"/>
    <w:rsid w:val="5ECE1629"/>
    <w:rsid w:val="5FA138E1"/>
    <w:rsid w:val="63712CF8"/>
    <w:rsid w:val="64BD4FDF"/>
    <w:rsid w:val="65C311CE"/>
    <w:rsid w:val="680546F1"/>
    <w:rsid w:val="6855399E"/>
    <w:rsid w:val="688503FE"/>
    <w:rsid w:val="69806F4A"/>
    <w:rsid w:val="6A5142E6"/>
    <w:rsid w:val="6AEA27F5"/>
    <w:rsid w:val="6D7157A4"/>
    <w:rsid w:val="6F226DF5"/>
    <w:rsid w:val="708705F1"/>
    <w:rsid w:val="70E44062"/>
    <w:rsid w:val="72511CFB"/>
    <w:rsid w:val="733E6120"/>
    <w:rsid w:val="75006BC5"/>
    <w:rsid w:val="75B64CA5"/>
    <w:rsid w:val="76093BBF"/>
    <w:rsid w:val="762C1630"/>
    <w:rsid w:val="78B03CA8"/>
    <w:rsid w:val="78EC18FE"/>
    <w:rsid w:val="7C2F3C9C"/>
    <w:rsid w:val="7CCA10AD"/>
    <w:rsid w:val="7D0F3786"/>
    <w:rsid w:val="7F3D009B"/>
    <w:rsid w:val="7F9F47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Pages>3</Pages>
  <Words>1240</Words>
  <Characters>6180</Characters>
  <Lines>50</Lines>
  <Paragraphs>14</Paragraphs>
  <TotalTime>1</TotalTime>
  <ScaleCrop>false</ScaleCrop>
  <LinksUpToDate>false</LinksUpToDate>
  <CharactersWithSpaces>7491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lastModifiedBy>CMCC-hulijie</cp:lastModifiedBy>
  <cp:lastPrinted>2013-04-02T02:18:00Z</cp:lastPrinted>
  <dcterms:modified xsi:type="dcterms:W3CDTF">2024-04-04T05:43:58Z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6D5B8FCA5A12418DB5B9AB3824EFC028</vt:lpwstr>
  </property>
</Properties>
</file>