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12BCB" w14:textId="44DEA038"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5A090C">
        <w:rPr>
          <w:rFonts w:eastAsia="宋体"/>
          <w:b/>
          <w:sz w:val="24"/>
          <w:lang w:val="en-US" w:eastAsia="zh-CN"/>
        </w:rPr>
        <w:t>6</w:t>
      </w:r>
      <w:r w:rsidR="005A090C">
        <w:rPr>
          <w:rFonts w:eastAsia="宋体" w:hint="eastAsia"/>
          <w:b/>
          <w:sz w:val="24"/>
          <w:lang w:val="en-US" w:eastAsia="zh-CN"/>
        </w:rPr>
        <w:t>bis</w:t>
      </w:r>
      <w:r>
        <w:rPr>
          <w:b/>
          <w:i/>
          <w:sz w:val="28"/>
        </w:rPr>
        <w:tab/>
      </w:r>
      <w:r w:rsidR="0063523E" w:rsidRPr="0063523E">
        <w:rPr>
          <w:b/>
          <w:sz w:val="24"/>
        </w:rPr>
        <w:t>R1-240231</w:t>
      </w:r>
      <w:r w:rsidR="0063523E">
        <w:rPr>
          <w:b/>
          <w:sz w:val="24"/>
        </w:rPr>
        <w:t>2</w:t>
      </w:r>
    </w:p>
    <w:p w14:paraId="0B92B458" w14:textId="1F694C50" w:rsidR="00B9179F" w:rsidRDefault="005A090C" w:rsidP="00A10EA2">
      <w:pPr>
        <w:pStyle w:val="3GPPHeader"/>
        <w:tabs>
          <w:tab w:val="left" w:pos="1580"/>
        </w:tabs>
        <w:snapToGrid w:val="0"/>
        <w:rPr>
          <w:rFonts w:ascii="Arial" w:hAnsi="Arial" w:cs="Arial"/>
          <w:bCs/>
        </w:rPr>
      </w:pPr>
      <w:r w:rsidRPr="005A090C">
        <w:rPr>
          <w:rFonts w:ascii="Arial" w:hAnsi="Arial" w:cs="Arial"/>
          <w:bCs/>
        </w:rPr>
        <w:t>Changsha</w:t>
      </w:r>
      <w:r w:rsidR="00CD32E6" w:rsidRPr="00CD32E6">
        <w:rPr>
          <w:rFonts w:ascii="Arial" w:hAnsi="Arial" w:cs="Arial"/>
          <w:bCs/>
        </w:rPr>
        <w:t xml:space="preserve">, </w:t>
      </w:r>
      <w:r w:rsidRPr="005A090C">
        <w:rPr>
          <w:rFonts w:ascii="Arial" w:hAnsi="Arial" w:cs="Arial"/>
          <w:bCs/>
        </w:rPr>
        <w:t>Hunan Province, China</w:t>
      </w:r>
      <w:r w:rsidR="00CD32E6" w:rsidRPr="00CD32E6">
        <w:rPr>
          <w:rFonts w:ascii="Arial" w:hAnsi="Arial" w:cs="Arial"/>
          <w:bCs/>
        </w:rPr>
        <w:t xml:space="preserve">, </w:t>
      </w:r>
      <w:r w:rsidRPr="005A090C">
        <w:rPr>
          <w:rFonts w:ascii="Arial" w:hAnsi="Arial" w:cs="Arial"/>
          <w:bCs/>
        </w:rPr>
        <w:t xml:space="preserve">April </w:t>
      </w:r>
      <w:r>
        <w:rPr>
          <w:rFonts w:ascii="Arial" w:hAnsi="Arial" w:cs="Arial"/>
          <w:bCs/>
        </w:rPr>
        <w:t>15</w:t>
      </w:r>
      <w:r w:rsidR="00CD32E6" w:rsidRPr="00CD32E6">
        <w:rPr>
          <w:rFonts w:ascii="Arial" w:hAnsi="Arial" w:cs="Arial"/>
          <w:bCs/>
          <w:vertAlign w:val="superscript"/>
        </w:rPr>
        <w:t>th</w:t>
      </w:r>
      <w:r w:rsidR="00CD32E6">
        <w:rPr>
          <w:rFonts w:ascii="Arial" w:hAnsi="Arial" w:cs="Arial"/>
          <w:bCs/>
        </w:rPr>
        <w:t xml:space="preserve"> </w:t>
      </w:r>
      <w:r w:rsidR="00CD32E6" w:rsidRPr="00CD32E6">
        <w:rPr>
          <w:rFonts w:ascii="Arial" w:hAnsi="Arial" w:cs="Arial"/>
          <w:bCs/>
        </w:rPr>
        <w:t xml:space="preserve">- </w:t>
      </w:r>
      <w:r>
        <w:rPr>
          <w:rFonts w:ascii="Arial" w:hAnsi="Arial" w:cs="Arial"/>
          <w:bCs/>
        </w:rPr>
        <w:t>19</w:t>
      </w:r>
      <w:r>
        <w:rPr>
          <w:rFonts w:ascii="Arial" w:hAnsi="Arial" w:cs="Arial"/>
          <w:bCs/>
          <w:vertAlign w:val="superscript"/>
        </w:rPr>
        <w:t>th</w:t>
      </w:r>
      <w:r w:rsidR="00CD32E6"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0AC8FDF2" w:rsidR="00B9179F" w:rsidRDefault="002C07D0" w:rsidP="00DF0868">
            <w:pPr>
              <w:pStyle w:val="CRCoverPage"/>
              <w:spacing w:after="0"/>
              <w:jc w:val="center"/>
              <w:rPr>
                <w:rFonts w:eastAsia="宋体"/>
                <w:b/>
                <w:sz w:val="28"/>
                <w:lang w:eastAsia="zh-CN"/>
              </w:rPr>
            </w:pPr>
            <w:r>
              <w:rPr>
                <w:b/>
                <w:sz w:val="28"/>
              </w:rPr>
              <w:t>3</w:t>
            </w:r>
            <w:r w:rsidR="001B2CB6">
              <w:rPr>
                <w:b/>
                <w:sz w:val="28"/>
              </w:rPr>
              <w:t>6</w:t>
            </w:r>
            <w:r>
              <w:rPr>
                <w:b/>
                <w:sz w:val="28"/>
              </w:rPr>
              <w:t>.21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37BD5590" w:rsidR="00B9179F" w:rsidRDefault="002C07D0" w:rsidP="00AA1EBC">
            <w:pPr>
              <w:pStyle w:val="CRCoverPage"/>
              <w:spacing w:after="0"/>
              <w:jc w:val="center"/>
              <w:rPr>
                <w:sz w:val="28"/>
              </w:rPr>
            </w:pPr>
            <w:r w:rsidRPr="000622BB">
              <w:rPr>
                <w:b/>
                <w:sz w:val="28"/>
              </w:rPr>
              <w:t>1</w:t>
            </w:r>
            <w:r w:rsidR="001B2CB6">
              <w:rPr>
                <w:b/>
                <w:sz w:val="28"/>
              </w:rPr>
              <w:t>8</w:t>
            </w:r>
            <w:r w:rsidRPr="000622BB">
              <w:rPr>
                <w:b/>
                <w:sz w:val="28"/>
              </w:rPr>
              <w:t>.</w:t>
            </w:r>
            <w:r w:rsidR="001B2CB6">
              <w:rPr>
                <w:rFonts w:eastAsia="宋体"/>
                <w:b/>
                <w:sz w:val="28"/>
                <w:lang w:val="en-US" w:eastAsia="zh-CN"/>
              </w:rPr>
              <w:t>2</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24F75A23" w:rsidR="00B9179F" w:rsidRDefault="002E321C">
            <w:pPr>
              <w:pStyle w:val="CRCoverPage"/>
              <w:spacing w:after="0"/>
              <w:ind w:left="100"/>
            </w:pPr>
            <w:r>
              <w:rPr>
                <w:rFonts w:eastAsia="宋体"/>
                <w:lang w:val="en-US" w:eastAsia="zh-CN"/>
              </w:rPr>
              <w:t xml:space="preserve">Draft </w:t>
            </w:r>
            <w:r w:rsidR="007B2BCD" w:rsidRPr="007B2BCD">
              <w:rPr>
                <w:rFonts w:eastAsia="宋体"/>
                <w:lang w:val="en-US" w:eastAsia="zh-CN"/>
              </w:rPr>
              <w:t xml:space="preserve">CR on </w:t>
            </w:r>
            <w:r w:rsidR="00B326BD">
              <w:rPr>
                <w:rFonts w:eastAsia="宋体"/>
                <w:lang w:val="en-US" w:eastAsia="zh-CN"/>
              </w:rPr>
              <w:t>HARQ enhancement for IoT NTN</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4238857C" w:rsidR="00B9179F" w:rsidRDefault="00140370">
            <w:pPr>
              <w:pStyle w:val="CRCoverPage"/>
              <w:spacing w:after="0"/>
              <w:ind w:left="100"/>
              <w:rPr>
                <w:b/>
              </w:rPr>
            </w:pPr>
            <w:proofErr w:type="spellStart"/>
            <w:r w:rsidRPr="00140370">
              <w:t>IoT_NTN_enh</w:t>
            </w:r>
            <w:proofErr w:type="spellEnd"/>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27F2A90F" w:rsidR="00B9179F" w:rsidRDefault="002C07D0" w:rsidP="00CF4FFF">
            <w:pPr>
              <w:pStyle w:val="CRCoverPage"/>
              <w:spacing w:after="0"/>
              <w:ind w:left="100"/>
              <w:rPr>
                <w:rFonts w:eastAsia="宋体"/>
                <w:lang w:val="en-US" w:eastAsia="zh-CN"/>
              </w:rPr>
            </w:pPr>
            <w:r>
              <w:t>202</w:t>
            </w:r>
            <w:r w:rsidR="001B2CB6">
              <w:t>4</w:t>
            </w:r>
            <w:r>
              <w:t>-</w:t>
            </w:r>
            <w:r w:rsidR="00A77D4C">
              <w:t>0</w:t>
            </w:r>
            <w:r w:rsidR="001B2CB6">
              <w:t>3</w:t>
            </w:r>
            <w:r>
              <w:rPr>
                <w:rFonts w:eastAsia="宋体" w:hint="eastAsia"/>
                <w:lang w:val="en-US" w:eastAsia="zh-CN"/>
              </w:rPr>
              <w:t>-</w:t>
            </w:r>
            <w:r w:rsidR="001B2CB6">
              <w:rPr>
                <w:rFonts w:eastAsia="宋体"/>
                <w:lang w:val="en-US" w:eastAsia="zh-CN"/>
              </w:rPr>
              <w:t>26</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08266A4B" w:rsidR="00B9179F" w:rsidRDefault="002C07D0">
            <w:pPr>
              <w:pStyle w:val="CRCoverPage"/>
              <w:spacing w:after="0"/>
              <w:ind w:left="100"/>
              <w:rPr>
                <w:rFonts w:eastAsia="宋体"/>
                <w:lang w:val="en-US" w:eastAsia="zh-CN"/>
              </w:rPr>
            </w:pPr>
            <w:r>
              <w:t>Rel-1</w:t>
            </w:r>
            <w:r w:rsidR="001B2CB6">
              <w:rPr>
                <w:rFonts w:eastAsia="宋体"/>
                <w:lang w:val="en-US" w:eastAsia="zh-CN"/>
              </w:rPr>
              <w:t>8</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5CD260D7" w:rsidR="001C4CED" w:rsidRPr="005B628E" w:rsidRDefault="001C4CED" w:rsidP="005B628E">
            <w:pPr>
              <w:pStyle w:val="CRCoverPage"/>
              <w:spacing w:after="0"/>
              <w:ind w:left="100"/>
              <w:rPr>
                <w:rFonts w:eastAsiaTheme="minorEastAsia"/>
                <w:lang w:val="en-US" w:eastAsia="zh-CN"/>
              </w:rPr>
            </w:pPr>
            <w:r>
              <w:rPr>
                <w:rFonts w:eastAsiaTheme="minorEastAsia"/>
                <w:lang w:val="en-US" w:eastAsia="zh-CN"/>
              </w:rPr>
              <w:t>C</w:t>
            </w:r>
            <w:r w:rsidRPr="001C4CED">
              <w:rPr>
                <w:rFonts w:eastAsiaTheme="minorEastAsia"/>
                <w:lang w:val="en-US" w:eastAsia="zh-CN"/>
              </w:rPr>
              <w:t xml:space="preserve">larify UE </w:t>
            </w:r>
            <w:proofErr w:type="spellStart"/>
            <w:r w:rsidRPr="001C4CED">
              <w:rPr>
                <w:rFonts w:eastAsiaTheme="minorEastAsia"/>
                <w:lang w:val="en-US" w:eastAsia="zh-CN"/>
              </w:rPr>
              <w:t>behaviour</w:t>
            </w:r>
            <w:proofErr w:type="spellEnd"/>
            <w:r w:rsidRPr="001C4CED">
              <w:rPr>
                <w:rFonts w:eastAsiaTheme="minorEastAsia"/>
                <w:lang w:val="en-US" w:eastAsia="zh-CN"/>
              </w:rPr>
              <w:t xml:space="preserve"> for PDCCH monitoring when single TB is scheduled by a single DCI for a UE with a HARQ process which is RRC configured with disabled and DCI override to enabled.</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59A654A8" w:rsidR="00671445" w:rsidRPr="00A77D4C" w:rsidRDefault="00E05F9F" w:rsidP="00671445">
            <w:pPr>
              <w:pStyle w:val="CRCoverPage"/>
              <w:snapToGrid w:val="0"/>
              <w:spacing w:after="0"/>
              <w:ind w:left="100"/>
              <w:rPr>
                <w:rFonts w:eastAsia="宋体"/>
                <w:highlight w:val="yellow"/>
                <w:lang w:val="en-US" w:eastAsia="zh-CN"/>
              </w:rPr>
            </w:pPr>
            <w:r>
              <w:rPr>
                <w:rFonts w:eastAsia="等线"/>
                <w:lang w:eastAsia="zh-CN"/>
              </w:rPr>
              <w:t>A</w:t>
            </w:r>
            <w:r>
              <w:rPr>
                <w:rFonts w:eastAsia="等线" w:hint="eastAsia"/>
                <w:lang w:eastAsia="zh-CN"/>
              </w:rPr>
              <w:t xml:space="preserve">dd UE monitoring behaviour </w:t>
            </w:r>
            <w:r>
              <w:rPr>
                <w:rFonts w:eastAsia="等线"/>
                <w:lang w:eastAsia="zh-CN"/>
              </w:rPr>
              <w:t>that</w:t>
            </w:r>
            <w:r>
              <w:rPr>
                <w:rFonts w:eastAsia="等线" w:hint="eastAsia"/>
                <w:lang w:eastAsia="zh-CN"/>
              </w:rPr>
              <w:t xml:space="preserve"> </w:t>
            </w:r>
            <w:r w:rsidRPr="00D10298">
              <w:rPr>
                <w:rFonts w:eastAsia="等线"/>
                <w:lang w:eastAsia="zh-CN"/>
              </w:rPr>
              <w:t>UE is not required to monitor NPDCCH in a period of 12</w:t>
            </w:r>
            <w:r>
              <w:rPr>
                <w:rFonts w:eastAsia="等线"/>
                <w:lang w:eastAsia="zh-CN"/>
              </w:rPr>
              <w:t xml:space="preserve"> </w:t>
            </w:r>
            <w:proofErr w:type="spellStart"/>
            <w:r w:rsidRPr="00D10298">
              <w:rPr>
                <w:rFonts w:eastAsia="等线"/>
                <w:lang w:eastAsia="zh-CN"/>
              </w:rPr>
              <w:t>ms</w:t>
            </w:r>
            <w:proofErr w:type="spellEnd"/>
            <w:r w:rsidRPr="00D10298">
              <w:rPr>
                <w:rFonts w:eastAsia="等线"/>
                <w:lang w:eastAsia="zh-CN"/>
              </w:rPr>
              <w:t xml:space="preserve"> from the end of reception of the NPDSCH</w:t>
            </w:r>
            <w:r>
              <w:rPr>
                <w:rFonts w:eastAsia="等线"/>
                <w:lang w:eastAsia="zh-CN"/>
              </w:rPr>
              <w:t xml:space="preserve"> when </w:t>
            </w:r>
            <w:r w:rsidRPr="00F4217D">
              <w:rPr>
                <w:rFonts w:eastAsia="等线"/>
                <w:lang w:eastAsia="zh-CN"/>
              </w:rPr>
              <w:t xml:space="preserve">single TB is scheduled by a single DCI for a UE with a HARQ process which is </w:t>
            </w:r>
            <w:r w:rsidRPr="00E4489A">
              <w:rPr>
                <w:rFonts w:eastAsia="等线"/>
                <w:lang w:eastAsia="zh-CN"/>
              </w:rPr>
              <w:t>configured as HARQ feedback disabled by RRC and further reversed to HARQ feedback enabled by DCI</w:t>
            </w:r>
            <w:r w:rsidR="00671445">
              <w:rPr>
                <w:rFonts w:eastAsiaTheme="minorEastAsia"/>
                <w:lang w:val="en-US" w:eastAsia="zh-CN"/>
              </w:rPr>
              <w:t>.</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B79244C" w:rsidR="0063551F" w:rsidRPr="00A77D4C" w:rsidRDefault="00E05F9F" w:rsidP="001C4CED">
            <w:pPr>
              <w:pStyle w:val="CRCoverPage"/>
              <w:snapToGrid w:val="0"/>
              <w:spacing w:after="0"/>
              <w:ind w:left="100"/>
              <w:rPr>
                <w:rFonts w:cs="Arial"/>
                <w:highlight w:val="yellow"/>
                <w:lang w:val="en-US" w:eastAsia="zh-CN"/>
              </w:rPr>
            </w:pPr>
            <w:r>
              <w:rPr>
                <w:rFonts w:eastAsia="等线"/>
                <w:lang w:eastAsia="zh-CN"/>
              </w:rPr>
              <w:t>T</w:t>
            </w:r>
            <w:r>
              <w:rPr>
                <w:rFonts w:eastAsia="等线" w:hint="eastAsia"/>
                <w:lang w:eastAsia="zh-CN"/>
              </w:rPr>
              <w:t xml:space="preserve">he UE behaviour is </w:t>
            </w:r>
            <w:r>
              <w:rPr>
                <w:rFonts w:eastAsia="等线"/>
                <w:lang w:eastAsia="zh-CN"/>
              </w:rPr>
              <w:t>missing</w:t>
            </w:r>
            <w:r>
              <w:rPr>
                <w:rFonts w:eastAsia="等线" w:hint="eastAsia"/>
                <w:lang w:eastAsia="zh-CN"/>
              </w:rPr>
              <w:t xml:space="preserve"> </w:t>
            </w:r>
            <w:r>
              <w:rPr>
                <w:rFonts w:eastAsia="等线"/>
                <w:lang w:eastAsia="zh-CN"/>
              </w:rPr>
              <w:t xml:space="preserve">when </w:t>
            </w:r>
            <w:r w:rsidRPr="00F4217D">
              <w:rPr>
                <w:rFonts w:eastAsia="等线"/>
                <w:lang w:eastAsia="zh-CN"/>
              </w:rPr>
              <w:t>single TB is scheduled by a single DCI for a UE with a HARQ process which is RRC configured with disabled and DCI override to enabled</w:t>
            </w:r>
            <w:r w:rsidR="00AD65EA" w:rsidRPr="001C4CED">
              <w:rPr>
                <w:rFonts w:eastAsia="等线"/>
                <w:lang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2988994A" w:rsidR="00B9179F" w:rsidRDefault="001B2CB6" w:rsidP="00E05F9F">
            <w:pPr>
              <w:pStyle w:val="CRCoverPage"/>
              <w:spacing w:after="0"/>
              <w:rPr>
                <w:rFonts w:eastAsia="宋体"/>
                <w:lang w:val="en-US" w:eastAsia="zh-CN"/>
              </w:rPr>
            </w:pPr>
            <w:r>
              <w:rPr>
                <w:rFonts w:eastAsia="宋体"/>
                <w:lang w:val="en-US" w:eastAsia="zh-CN"/>
              </w:rPr>
              <w:t>16</w:t>
            </w:r>
            <w:r w:rsidR="002C07D0" w:rsidRPr="00D73D8A">
              <w:rPr>
                <w:rFonts w:eastAsia="宋体" w:hint="eastAsia"/>
                <w:lang w:val="en-US" w:eastAsia="zh-CN"/>
              </w:rPr>
              <w:t>.</w:t>
            </w:r>
            <w:r>
              <w:rPr>
                <w:rFonts w:eastAsia="宋体"/>
                <w:lang w:val="en-US" w:eastAsia="zh-CN"/>
              </w:rPr>
              <w:t>6</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2188F327" w14:textId="5A11132C" w:rsidR="00864555" w:rsidRDefault="00864555" w:rsidP="007F4DA1">
      <w:pPr>
        <w:rPr>
          <w:b/>
          <w:bCs/>
          <w:color w:val="FF0000"/>
          <w:sz w:val="24"/>
          <w:szCs w:val="24"/>
        </w:rPr>
      </w:pPr>
    </w:p>
    <w:p w14:paraId="6A56070A" w14:textId="77777777" w:rsidR="00140370" w:rsidRPr="00140370" w:rsidRDefault="00140370" w:rsidP="007F4DA1">
      <w:pPr>
        <w:keepNext/>
        <w:keepLines/>
        <w:pageBreakBefore/>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140370">
        <w:rPr>
          <w:rFonts w:ascii="Arial" w:eastAsia="Times New Roman" w:hAnsi="Arial"/>
          <w:sz w:val="32"/>
          <w:lang w:eastAsia="en-GB"/>
        </w:rPr>
        <w:lastRenderedPageBreak/>
        <w:t>16.6</w:t>
      </w:r>
      <w:r w:rsidRPr="00140370">
        <w:rPr>
          <w:rFonts w:ascii="Arial" w:eastAsia="Times New Roman" w:hAnsi="Arial"/>
          <w:sz w:val="32"/>
          <w:lang w:eastAsia="en-GB"/>
        </w:rPr>
        <w:tab/>
        <w:t>Narrowband physical downlink control channel related procedures</w:t>
      </w:r>
    </w:p>
    <w:p w14:paraId="26D35ADC" w14:textId="77777777" w:rsidR="00140370" w:rsidRDefault="00140370" w:rsidP="00140370">
      <w:pPr>
        <w:jc w:val="center"/>
        <w:rPr>
          <w:b/>
          <w:bCs/>
          <w:color w:val="FF0000"/>
          <w:sz w:val="24"/>
          <w:szCs w:val="24"/>
        </w:rPr>
      </w:pPr>
      <w:r>
        <w:rPr>
          <w:b/>
          <w:bCs/>
          <w:color w:val="FF0000"/>
          <w:sz w:val="24"/>
          <w:szCs w:val="24"/>
        </w:rPr>
        <w:t>&lt;Unchanged parts are omitted&gt;</w:t>
      </w:r>
    </w:p>
    <w:p w14:paraId="61FAEB6F" w14:textId="512F9AD0" w:rsidR="00140370" w:rsidRPr="00140370" w:rsidRDefault="00140370" w:rsidP="00140370">
      <w:pPr>
        <w:overflowPunct w:val="0"/>
        <w:autoSpaceDE w:val="0"/>
        <w:autoSpaceDN w:val="0"/>
        <w:adjustRightInd w:val="0"/>
        <w:textAlignment w:val="baseline"/>
        <w:rPr>
          <w:rFonts w:eastAsia="Times New Roman"/>
          <w:lang w:eastAsia="en-GB"/>
        </w:rPr>
      </w:pPr>
      <w:r w:rsidRPr="00140370">
        <w:rPr>
          <w:rFonts w:eastAsia="Times New Roman"/>
          <w:lang w:eastAsia="en-GB"/>
        </w:rPr>
        <w:t xml:space="preserve">If a NB-IoT UE receives a NPDSCH transmission ending in subframe </w:t>
      </w:r>
      <w:r w:rsidRPr="00140370">
        <w:rPr>
          <w:rFonts w:eastAsia="Times New Roman"/>
          <w:i/>
          <w:lang w:eastAsia="en-GB"/>
        </w:rPr>
        <w:t xml:space="preserve">n, </w:t>
      </w:r>
      <w:r w:rsidRPr="00140370">
        <w:rPr>
          <w:rFonts w:eastAsia="Times New Roman"/>
          <w:lang w:eastAsia="en-GB"/>
        </w:rPr>
        <w:t>and if the UE is not required to transmit a corresponding NPUSCH format 2</w:t>
      </w:r>
      <w:r>
        <w:rPr>
          <w:rFonts w:eastAsia="Times New Roman"/>
          <w:lang w:eastAsia="en-GB"/>
        </w:rPr>
        <w:t xml:space="preserve"> </w:t>
      </w:r>
      <w:r w:rsidRPr="00053408">
        <w:rPr>
          <w:color w:val="0070C0"/>
        </w:rPr>
        <w:t>or if</w:t>
      </w:r>
      <w:r w:rsidRPr="00053408">
        <w:rPr>
          <w:iCs/>
          <w:color w:val="0070C0"/>
        </w:rPr>
        <w:t xml:space="preserve"> </w:t>
      </w:r>
      <w:r w:rsidRPr="00053408">
        <w:rPr>
          <w:rFonts w:eastAsia="宋体"/>
          <w:color w:val="0070C0"/>
        </w:rPr>
        <w:t xml:space="preserve">the </w:t>
      </w:r>
      <w:r w:rsidRPr="00053408">
        <w:rPr>
          <w:rFonts w:hint="eastAsia"/>
          <w:color w:val="0070C0"/>
          <w:lang w:eastAsia="zh-CN"/>
        </w:rPr>
        <w:t>NPUSCH transmission</w:t>
      </w:r>
      <w:r w:rsidRPr="00053408">
        <w:rPr>
          <w:color w:val="0070C0"/>
        </w:rPr>
        <w:t xml:space="preserve"> carries ACK/NACK response, as determined in clause 16.4.2, for the same HARQ process ID </w:t>
      </w:r>
      <w:r w:rsidRPr="00053408">
        <w:rPr>
          <w:rFonts w:eastAsia="宋体"/>
          <w:color w:val="0070C0"/>
        </w:rPr>
        <w:t>associated with a transport block scheduled in a</w:t>
      </w:r>
      <w:r w:rsidRPr="00053408">
        <w:rPr>
          <w:color w:val="0070C0"/>
        </w:rPr>
        <w:t xml:space="preserve"> NPDCCH scheduling a single transport block, and the </w:t>
      </w:r>
      <w:r w:rsidRPr="00053408">
        <w:rPr>
          <w:rFonts w:eastAsia="宋体"/>
          <w:color w:val="0070C0"/>
        </w:rPr>
        <w:t xml:space="preserve">UE is configured with higher layer parameter </w:t>
      </w:r>
      <w:proofErr w:type="spellStart"/>
      <w:r w:rsidRPr="00053408">
        <w:rPr>
          <w:rFonts w:eastAsia="宋体"/>
          <w:i/>
          <w:iCs/>
          <w:color w:val="0070C0"/>
        </w:rPr>
        <w:t>downlinkHARQ</w:t>
      </w:r>
      <w:proofErr w:type="spellEnd"/>
      <w:r w:rsidRPr="00053408">
        <w:rPr>
          <w:rFonts w:eastAsia="宋体"/>
          <w:i/>
          <w:iCs/>
          <w:color w:val="0070C0"/>
        </w:rPr>
        <w:t>-</w:t>
      </w:r>
      <w:proofErr w:type="spellStart"/>
      <w:r w:rsidRPr="00053408">
        <w:rPr>
          <w:rFonts w:eastAsia="宋体"/>
          <w:i/>
          <w:iCs/>
          <w:color w:val="0070C0"/>
        </w:rPr>
        <w:t>FeedbackDisabled</w:t>
      </w:r>
      <w:proofErr w:type="spellEnd"/>
      <w:r w:rsidRPr="00053408">
        <w:rPr>
          <w:rFonts w:eastAsia="宋体"/>
          <w:i/>
          <w:iCs/>
          <w:color w:val="0070C0"/>
        </w:rPr>
        <w:t>-Bitmap-NB</w:t>
      </w:r>
      <w:r w:rsidRPr="00053408">
        <w:rPr>
          <w:rFonts w:eastAsia="宋体"/>
          <w:color w:val="0070C0"/>
        </w:rPr>
        <w:t xml:space="preserve"> indicating disabled HARQ-ACK information for the same HARQ process ID and configured with higher layer parameter </w:t>
      </w:r>
      <w:proofErr w:type="spellStart"/>
      <w:r w:rsidRPr="00053408">
        <w:rPr>
          <w:rFonts w:eastAsia="宋体"/>
          <w:i/>
          <w:iCs/>
          <w:color w:val="0070C0"/>
        </w:rPr>
        <w:t>downlinkHARQ</w:t>
      </w:r>
      <w:proofErr w:type="spellEnd"/>
      <w:r w:rsidRPr="00053408">
        <w:rPr>
          <w:rFonts w:eastAsia="宋体"/>
          <w:i/>
          <w:iCs/>
          <w:color w:val="0070C0"/>
        </w:rPr>
        <w:t>-</w:t>
      </w:r>
      <w:proofErr w:type="spellStart"/>
      <w:r w:rsidRPr="00053408">
        <w:rPr>
          <w:rFonts w:eastAsia="宋体"/>
          <w:i/>
          <w:iCs/>
          <w:color w:val="0070C0"/>
        </w:rPr>
        <w:t>FeedbackDisabled</w:t>
      </w:r>
      <w:proofErr w:type="spellEnd"/>
      <w:r w:rsidRPr="00053408">
        <w:rPr>
          <w:rFonts w:eastAsia="宋体"/>
          <w:i/>
          <w:iCs/>
          <w:color w:val="0070C0"/>
        </w:rPr>
        <w:t>-DCI-NB</w:t>
      </w:r>
      <w:r w:rsidRPr="00140370">
        <w:rPr>
          <w:rFonts w:eastAsia="Times New Roman"/>
          <w:lang w:eastAsia="en-GB"/>
        </w:rPr>
        <w:t xml:space="preserve">, the UE is not required to monitor NPDCCH in any subframe starting from subframe </w:t>
      </w:r>
      <w:r w:rsidRPr="00140370">
        <w:rPr>
          <w:rFonts w:eastAsia="Times New Roman"/>
          <w:i/>
          <w:lang w:eastAsia="en-GB"/>
        </w:rPr>
        <w:t>n+1</w:t>
      </w:r>
      <w:r w:rsidRPr="00140370">
        <w:rPr>
          <w:rFonts w:eastAsia="Times New Roman"/>
          <w:lang w:eastAsia="en-GB"/>
        </w:rPr>
        <w:t xml:space="preserve"> to subframe </w:t>
      </w:r>
      <w:r w:rsidRPr="00140370">
        <w:rPr>
          <w:rFonts w:eastAsia="Times New Roman"/>
          <w:i/>
          <w:lang w:eastAsia="en-GB"/>
        </w:rPr>
        <w:t>n+12</w:t>
      </w:r>
      <w:r w:rsidRPr="00140370">
        <w:rPr>
          <w:rFonts w:eastAsia="Times New Roman"/>
          <w:lang w:eastAsia="en-GB"/>
        </w:rPr>
        <w:t>.</w:t>
      </w:r>
    </w:p>
    <w:p w14:paraId="02BC1DD0" w14:textId="77777777" w:rsidR="00140370" w:rsidRDefault="00140370" w:rsidP="00140370">
      <w:pPr>
        <w:jc w:val="center"/>
        <w:rPr>
          <w:b/>
          <w:bCs/>
          <w:color w:val="FF0000"/>
          <w:sz w:val="24"/>
          <w:szCs w:val="24"/>
        </w:rPr>
      </w:pPr>
      <w:r>
        <w:rPr>
          <w:b/>
          <w:bCs/>
          <w:color w:val="FF0000"/>
          <w:sz w:val="24"/>
          <w:szCs w:val="24"/>
        </w:rPr>
        <w:t>&lt;Unchanged parts are omitted&gt;</w:t>
      </w:r>
    </w:p>
    <w:p w14:paraId="19DB0784" w14:textId="77777777" w:rsidR="00140370" w:rsidRPr="00140370" w:rsidRDefault="00140370"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2EAB" w14:textId="77777777" w:rsidR="00686347" w:rsidRDefault="00686347">
      <w:pPr>
        <w:spacing w:after="0"/>
      </w:pPr>
      <w:r>
        <w:separator/>
      </w:r>
    </w:p>
  </w:endnote>
  <w:endnote w:type="continuationSeparator" w:id="0">
    <w:p w14:paraId="689761B5" w14:textId="77777777" w:rsidR="00686347" w:rsidRDefault="006863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8D06" w14:textId="77777777" w:rsidR="00686347" w:rsidRDefault="00686347">
      <w:pPr>
        <w:spacing w:after="0"/>
      </w:pPr>
      <w:r>
        <w:separator/>
      </w:r>
    </w:p>
  </w:footnote>
  <w:footnote w:type="continuationSeparator" w:id="0">
    <w:p w14:paraId="03E06902" w14:textId="77777777" w:rsidR="00686347" w:rsidRDefault="006863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7C1432"/>
    <w:multiLevelType w:val="multilevel"/>
    <w:tmpl w:val="477C1432"/>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4D740D"/>
    <w:multiLevelType w:val="singleLevel"/>
    <w:tmpl w:val="36002AFF"/>
    <w:lvl w:ilvl="0">
      <w:start w:val="1"/>
      <w:numFmt w:val="decimal"/>
      <w:suff w:val="space"/>
      <w:lvlText w:val="%1."/>
      <w:lvlJc w:val="left"/>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4"/>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7"/>
  </w:num>
  <w:num w:numId="16">
    <w:abstractNumId w:val="26"/>
  </w:num>
  <w:num w:numId="17">
    <w:abstractNumId w:val="32"/>
  </w:num>
  <w:num w:numId="18">
    <w:abstractNumId w:val="14"/>
  </w:num>
  <w:num w:numId="19">
    <w:abstractNumId w:val="25"/>
  </w:num>
  <w:num w:numId="20">
    <w:abstractNumId w:val="34"/>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8"/>
  </w:num>
  <w:num w:numId="31">
    <w:abstractNumId w:val="19"/>
  </w:num>
  <w:num w:numId="32">
    <w:abstractNumId w:val="7"/>
  </w:num>
  <w:num w:numId="33">
    <w:abstractNumId w:val="17"/>
  </w:num>
  <w:num w:numId="34">
    <w:abstractNumId w:val="0"/>
  </w:num>
  <w:num w:numId="35">
    <w:abstractNumId w:val="30"/>
  </w:num>
  <w:num w:numId="36">
    <w:abstractNumId w:val="36"/>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533C0"/>
    <w:rsid w:val="00060B3A"/>
    <w:rsid w:val="00060C17"/>
    <w:rsid w:val="0006206C"/>
    <w:rsid w:val="000622BB"/>
    <w:rsid w:val="0006453D"/>
    <w:rsid w:val="00065F0D"/>
    <w:rsid w:val="00070BA9"/>
    <w:rsid w:val="00077D9C"/>
    <w:rsid w:val="00081D9C"/>
    <w:rsid w:val="00085F6A"/>
    <w:rsid w:val="00092C96"/>
    <w:rsid w:val="000A6394"/>
    <w:rsid w:val="000B1BC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0370"/>
    <w:rsid w:val="00145D43"/>
    <w:rsid w:val="0015289B"/>
    <w:rsid w:val="00156DC2"/>
    <w:rsid w:val="00162135"/>
    <w:rsid w:val="0017364C"/>
    <w:rsid w:val="00175EBC"/>
    <w:rsid w:val="00177A89"/>
    <w:rsid w:val="00186C49"/>
    <w:rsid w:val="001872A2"/>
    <w:rsid w:val="00192C46"/>
    <w:rsid w:val="001A08B3"/>
    <w:rsid w:val="001A7B60"/>
    <w:rsid w:val="001B2CB6"/>
    <w:rsid w:val="001B52F0"/>
    <w:rsid w:val="001B7A65"/>
    <w:rsid w:val="001C1A32"/>
    <w:rsid w:val="001C33B7"/>
    <w:rsid w:val="001C4CED"/>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3792"/>
    <w:rsid w:val="002B5741"/>
    <w:rsid w:val="002C07D0"/>
    <w:rsid w:val="002C355D"/>
    <w:rsid w:val="002C36ED"/>
    <w:rsid w:val="002C3EF5"/>
    <w:rsid w:val="002D24B3"/>
    <w:rsid w:val="002D5FEA"/>
    <w:rsid w:val="002E1B8F"/>
    <w:rsid w:val="002E2088"/>
    <w:rsid w:val="002E321C"/>
    <w:rsid w:val="002E472E"/>
    <w:rsid w:val="002F0848"/>
    <w:rsid w:val="002F0F51"/>
    <w:rsid w:val="00305409"/>
    <w:rsid w:val="00307EF9"/>
    <w:rsid w:val="00311918"/>
    <w:rsid w:val="0031444F"/>
    <w:rsid w:val="00316DF9"/>
    <w:rsid w:val="00317DBD"/>
    <w:rsid w:val="00327FC4"/>
    <w:rsid w:val="00330922"/>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07D0"/>
    <w:rsid w:val="00494073"/>
    <w:rsid w:val="004A195B"/>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92D74"/>
    <w:rsid w:val="00593BFE"/>
    <w:rsid w:val="00597EF9"/>
    <w:rsid w:val="005A090C"/>
    <w:rsid w:val="005A6A02"/>
    <w:rsid w:val="005B1B89"/>
    <w:rsid w:val="005B1F54"/>
    <w:rsid w:val="005B628E"/>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523E"/>
    <w:rsid w:val="0063551F"/>
    <w:rsid w:val="00642723"/>
    <w:rsid w:val="0064410F"/>
    <w:rsid w:val="00654E87"/>
    <w:rsid w:val="00662268"/>
    <w:rsid w:val="00664312"/>
    <w:rsid w:val="00665C47"/>
    <w:rsid w:val="00667B7B"/>
    <w:rsid w:val="00671445"/>
    <w:rsid w:val="006777EB"/>
    <w:rsid w:val="00686347"/>
    <w:rsid w:val="00687870"/>
    <w:rsid w:val="00691DA3"/>
    <w:rsid w:val="00692976"/>
    <w:rsid w:val="00695808"/>
    <w:rsid w:val="006A00A9"/>
    <w:rsid w:val="006A0433"/>
    <w:rsid w:val="006A0C65"/>
    <w:rsid w:val="006A3F5E"/>
    <w:rsid w:val="006A56DA"/>
    <w:rsid w:val="006B46FB"/>
    <w:rsid w:val="006C5DDD"/>
    <w:rsid w:val="006C7911"/>
    <w:rsid w:val="006E21FB"/>
    <w:rsid w:val="006E22D4"/>
    <w:rsid w:val="006F38B0"/>
    <w:rsid w:val="006F3C4A"/>
    <w:rsid w:val="006F43CE"/>
    <w:rsid w:val="006F6392"/>
    <w:rsid w:val="007016D3"/>
    <w:rsid w:val="007040C3"/>
    <w:rsid w:val="00714226"/>
    <w:rsid w:val="007330AC"/>
    <w:rsid w:val="00772E52"/>
    <w:rsid w:val="007833E5"/>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4DA1"/>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049E4"/>
    <w:rsid w:val="009148DE"/>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A5753"/>
    <w:rsid w:val="009A579D"/>
    <w:rsid w:val="009B0BA3"/>
    <w:rsid w:val="009C2649"/>
    <w:rsid w:val="009D3C7B"/>
    <w:rsid w:val="009D4409"/>
    <w:rsid w:val="009D46EA"/>
    <w:rsid w:val="009D6CF5"/>
    <w:rsid w:val="009E3297"/>
    <w:rsid w:val="009E3FD6"/>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B23416"/>
    <w:rsid w:val="00B24B10"/>
    <w:rsid w:val="00B258BB"/>
    <w:rsid w:val="00B307A5"/>
    <w:rsid w:val="00B326BD"/>
    <w:rsid w:val="00B32EB0"/>
    <w:rsid w:val="00B45608"/>
    <w:rsid w:val="00B513F4"/>
    <w:rsid w:val="00B55907"/>
    <w:rsid w:val="00B63920"/>
    <w:rsid w:val="00B66B3B"/>
    <w:rsid w:val="00B67B97"/>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3AC2"/>
    <w:rsid w:val="00E04812"/>
    <w:rsid w:val="00E055E8"/>
    <w:rsid w:val="00E05F9F"/>
    <w:rsid w:val="00E13F3D"/>
    <w:rsid w:val="00E22FAB"/>
    <w:rsid w:val="00E34898"/>
    <w:rsid w:val="00E47680"/>
    <w:rsid w:val="00E51918"/>
    <w:rsid w:val="00E626DE"/>
    <w:rsid w:val="00E637C8"/>
    <w:rsid w:val="00E63D5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7D7C"/>
    <w:rsid w:val="00F01A90"/>
    <w:rsid w:val="00F01D5F"/>
    <w:rsid w:val="00F03BA8"/>
    <w:rsid w:val="00F054A3"/>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1E63"/>
    <w:rsid w:val="00F52231"/>
    <w:rsid w:val="00F5464A"/>
    <w:rsid w:val="00F5468B"/>
    <w:rsid w:val="00F62B5A"/>
    <w:rsid w:val="00F6633E"/>
    <w:rsid w:val="00F75EC0"/>
    <w:rsid w:val="00F918D4"/>
    <w:rsid w:val="00F97D99"/>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E6C6FBDA-EF08-4CD8-9640-A46027C66B6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吴作敏(Zuomin)</cp:lastModifiedBy>
  <cp:revision>119</cp:revision>
  <cp:lastPrinted>2411-12-31T08:00:00Z</cp:lastPrinted>
  <dcterms:created xsi:type="dcterms:W3CDTF">2022-05-18T04:12:00Z</dcterms:created>
  <dcterms:modified xsi:type="dcterms:W3CDTF">2024-04-01T06:34:00Z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