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3GPP TSG RAN WG1 meeting #11</w:t>
      </w:r>
      <w:r>
        <w:rPr>
          <w:rFonts w:hint="eastAsia" w:ascii="Arial" w:hAnsi="Arial" w:cs="Arial"/>
          <w:b/>
          <w:bCs/>
          <w:sz w:val="22"/>
          <w:szCs w:val="22"/>
        </w:rPr>
        <w:t>6bis</w:t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                                  R1-</w:t>
      </w:r>
      <w:r>
        <w:rPr>
          <w:rFonts w:hint="eastAsia" w:ascii="Arial" w:hAnsi="Arial" w:cs="Arial"/>
          <w:b/>
          <w:bCs/>
          <w:sz w:val="22"/>
          <w:szCs w:val="22"/>
          <w:lang w:eastAsia="ja-JP"/>
        </w:rPr>
        <w:t>24</w:t>
      </w:r>
      <w:r>
        <w:rPr>
          <w:rFonts w:hint="eastAsia" w:ascii="Arial" w:hAnsi="Arial" w:cs="Arial"/>
          <w:b/>
          <w:bCs/>
          <w:sz w:val="22"/>
          <w:szCs w:val="22"/>
        </w:rPr>
        <w:t>02196</w:t>
      </w:r>
    </w:p>
    <w:p>
      <w:pPr>
        <w:spacing w:before="120" w:after="120"/>
        <w:rPr>
          <w:rFonts w:ascii="Arial" w:hAnsi="Arial" w:cs="Arial"/>
          <w:b/>
          <w:bCs/>
          <w:sz w:val="22"/>
          <w:szCs w:val="22"/>
        </w:rPr>
      </w:pPr>
      <w:r>
        <w:rPr>
          <w:rFonts w:hint="eastAsia" w:ascii="Arial" w:hAnsi="Arial" w:cs="Arial"/>
          <w:b/>
          <w:bCs/>
          <w:sz w:val="22"/>
          <w:szCs w:val="22"/>
        </w:rPr>
        <w:t>Changsha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hint="eastAsia" w:ascii="Arial" w:hAnsi="Arial" w:cs="Arial"/>
          <w:b/>
          <w:bCs/>
          <w:sz w:val="22"/>
          <w:szCs w:val="22"/>
        </w:rPr>
        <w:t>China, April 15</w:t>
      </w:r>
      <w:r>
        <w:rPr>
          <w:rFonts w:hint="eastAsia"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eastAsia="MS Mincho" w:cs="Arial"/>
          <w:b/>
          <w:bCs/>
          <w:sz w:val="22"/>
          <w:szCs w:val="22"/>
        </w:rPr>
        <w:t xml:space="preserve"> –</w:t>
      </w:r>
      <w:r>
        <w:rPr>
          <w:rFonts w:hint="eastAsia" w:ascii="Arial" w:hAnsi="Arial" w:cs="Arial"/>
          <w:b/>
          <w:bCs/>
          <w:sz w:val="22"/>
          <w:szCs w:val="22"/>
        </w:rPr>
        <w:t xml:space="preserve"> April 19</w:t>
      </w:r>
      <w:r>
        <w:rPr>
          <w:rFonts w:hint="eastAsia"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>
        <w:rPr>
          <w:rFonts w:hint="eastAsia" w:ascii="Arial" w:hAnsi="Arial" w:cs="Arial"/>
          <w:b/>
          <w:bCs/>
          <w:sz w:val="22"/>
          <w:szCs w:val="22"/>
        </w:rPr>
        <w:t>4</w:t>
      </w:r>
    </w:p>
    <w:p>
      <w:pPr>
        <w:tabs>
          <w:tab w:val="left" w:pos="1985"/>
        </w:tabs>
        <w:spacing w:before="240" w:beforeLines="100" w:after="120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hint="eastAsia" w:ascii="Arial" w:hAnsi="Arial"/>
          <w:b/>
          <w:sz w:val="22"/>
          <w:szCs w:val="22"/>
        </w:rPr>
        <w:t>Discussion on measurement gap for XR</w:t>
      </w:r>
    </w:p>
    <w:p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>ZTE, Sanechips</w:t>
      </w:r>
    </w:p>
    <w:p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hint="eastAsia" w:ascii="Arial" w:hAnsi="Arial"/>
          <w:b/>
          <w:sz w:val="22"/>
          <w:szCs w:val="22"/>
        </w:rPr>
        <w:t>9.10.1</w:t>
      </w:r>
    </w:p>
    <w:p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hint="eastAsia" w:ascii="Arial" w:hAnsi="Arial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>Introduction</w:t>
      </w:r>
    </w:p>
    <w:p>
      <w:pPr>
        <w:spacing w:before="120" w:after="120"/>
        <w:rPr>
          <w:sz w:val="20"/>
        </w:rPr>
      </w:pPr>
      <w:r>
        <w:rPr>
          <w:rFonts w:hint="eastAsia"/>
          <w:sz w:val="20"/>
        </w:rPr>
        <w:t>In RAN#116 meeting, the agreements about enabling Tx/Rx in gaps/restrictions caused by RRM measurement are shown as follows [1].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1" w:type="dxa"/>
          </w:tcPr>
          <w:p>
            <w:pPr>
              <w:spacing w:before="120" w:after="0" w:afterLines="0" w:line="240" w:lineRule="auto"/>
              <w:rPr>
                <w:b/>
                <w:bCs/>
                <w:sz w:val="20"/>
                <w:highlight w:val="green"/>
              </w:rPr>
            </w:pPr>
            <w:r>
              <w:rPr>
                <w:b/>
                <w:bCs/>
                <w:sz w:val="20"/>
                <w:highlight w:val="green"/>
              </w:rPr>
              <w:t>Agreement</w:t>
            </w:r>
          </w:p>
          <w:p>
            <w:pPr>
              <w:spacing w:beforeLines="0" w:after="0" w:afterLines="0" w:line="240" w:lineRule="auto"/>
              <w:rPr>
                <w:sz w:val="20"/>
              </w:rPr>
            </w:pPr>
            <w:r>
              <w:rPr>
                <w:sz w:val="20"/>
              </w:rPr>
              <w:t>Consider at least solutions based on triggering/enabling by network signaling to enable Tx/Rx in gaps/restrictions that are caused by RRM measurements.</w:t>
            </w:r>
          </w:p>
          <w:p>
            <w:pPr>
              <w:pStyle w:val="40"/>
              <w:numPr>
                <w:ilvl w:val="0"/>
                <w:numId w:val="5"/>
              </w:numPr>
              <w:spacing w:after="0" w:afterLines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FFS: Other types of solutions.</w:t>
            </w:r>
          </w:p>
          <w:p>
            <w:pPr>
              <w:pStyle w:val="40"/>
              <w:numPr>
                <w:ilvl w:val="0"/>
                <w:numId w:val="5"/>
              </w:numPr>
              <w:spacing w:after="0" w:afterLines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Whether or not/how to account for any UE assistance information/indication in addition to other information available at the network</w:t>
            </w:r>
          </w:p>
          <w:p>
            <w:pPr>
              <w:spacing w:before="120" w:after="0" w:afterLines="0" w:line="240" w:lineRule="auto"/>
              <w:rPr>
                <w:b/>
                <w:bCs/>
                <w:sz w:val="20"/>
                <w:highlight w:val="green"/>
              </w:rPr>
            </w:pPr>
            <w:r>
              <w:rPr>
                <w:b/>
                <w:bCs/>
                <w:sz w:val="20"/>
                <w:highlight w:val="green"/>
              </w:rPr>
              <w:t>Agreement</w:t>
            </w:r>
          </w:p>
          <w:p>
            <w:pPr>
              <w:spacing w:beforeLines="0" w:after="0" w:afterLines="0" w:line="240" w:lineRule="auto"/>
              <w:rPr>
                <w:sz w:val="20"/>
              </w:rPr>
            </w:pPr>
            <w:r>
              <w:rPr>
                <w:sz w:val="20"/>
              </w:rPr>
              <w:t>From RAN1 perspective, when an occasion(s) of gaps/restrictions that are caused by RRM measurements are cancelled/skipped fully, UE is assumed to receive/transmit in the gaps/restrictions that are caused by RRM measurements as it would without any (measurement etc. related) gaps/restrictions that are caused by RRM measurements.</w:t>
            </w:r>
          </w:p>
          <w:p>
            <w:pPr>
              <w:numPr>
                <w:ilvl w:val="0"/>
                <w:numId w:val="5"/>
              </w:numPr>
              <w:spacing w:beforeLines="0" w:after="0" w:afterLines="0" w:line="240" w:lineRule="auto"/>
              <w:rPr>
                <w:sz w:val="20"/>
              </w:rPr>
            </w:pPr>
            <w:r>
              <w:rPr>
                <w:sz w:val="20"/>
              </w:rPr>
              <w:t>FFS: Whether or not/How to support of the case where an occasion(s) of gap/restrictions that are caused by RRM measurements are cancelled/skipped partially</w:t>
            </w:r>
          </w:p>
          <w:p>
            <w:pPr>
              <w:spacing w:before="120" w:after="0" w:afterLines="0" w:line="240" w:lineRule="auto"/>
              <w:rPr>
                <w:b/>
                <w:bCs/>
                <w:sz w:val="20"/>
                <w:highlight w:val="green"/>
              </w:rPr>
            </w:pPr>
            <w:r>
              <w:rPr>
                <w:rFonts w:hint="eastAsia"/>
                <w:b/>
                <w:bCs/>
                <w:sz w:val="20"/>
                <w:highlight w:val="green"/>
              </w:rPr>
              <w:t>Agreement</w:t>
            </w:r>
          </w:p>
          <w:p>
            <w:pPr>
              <w:spacing w:beforeLines="0" w:after="0" w:afterLines="0" w:line="240" w:lineRule="auto"/>
              <w:rPr>
                <w:sz w:val="20"/>
              </w:rPr>
            </w:pPr>
            <w:r>
              <w:rPr>
                <w:sz w:val="20"/>
              </w:rPr>
              <w:t>For solutions based on triggering/enabling by network signaling to enable Tx/Rx in gaps/restrictions that are caused by RRM measurements consider</w:t>
            </w:r>
            <w:r>
              <w:rPr>
                <w:color w:val="FF0000"/>
                <w:sz w:val="20"/>
              </w:rPr>
              <w:t xml:space="preserve"> </w:t>
            </w:r>
            <w:r>
              <w:rPr>
                <w:sz w:val="20"/>
              </w:rPr>
              <w:t>the following alternatives or combinations for further down-selection:</w:t>
            </w:r>
          </w:p>
          <w:p>
            <w:pPr>
              <w:pStyle w:val="40"/>
              <w:numPr>
                <w:ilvl w:val="0"/>
                <w:numId w:val="6"/>
              </w:numPr>
              <w:spacing w:after="0" w:afterLines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Alt. 1: Dynamic indication to enable Tx/Rx in particular gap(s)/restriction(s) that are caused by RRM measurements. </w:t>
            </w:r>
          </w:p>
          <w:p>
            <w:pPr>
              <w:pStyle w:val="40"/>
              <w:numPr>
                <w:ilvl w:val="1"/>
                <w:numId w:val="6"/>
              </w:numPr>
              <w:spacing w:after="0" w:afterLines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FFS: details</w:t>
            </w:r>
          </w:p>
          <w:p>
            <w:pPr>
              <w:pStyle w:val="40"/>
              <w:numPr>
                <w:ilvl w:val="0"/>
                <w:numId w:val="6"/>
              </w:numPr>
              <w:spacing w:after="0" w:afterLines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Alt. 2: Semi-persistent solution to enable Tx/Rx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in gaps/restrictions that are caused by RRM measurements. </w:t>
            </w:r>
          </w:p>
          <w:p>
            <w:pPr>
              <w:pStyle w:val="40"/>
              <w:numPr>
                <w:ilvl w:val="1"/>
                <w:numId w:val="6"/>
              </w:numPr>
              <w:spacing w:after="0" w:afterLines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FFS: details</w:t>
            </w:r>
          </w:p>
          <w:p>
            <w:pPr>
              <w:pStyle w:val="40"/>
              <w:numPr>
                <w:ilvl w:val="0"/>
                <w:numId w:val="6"/>
              </w:numPr>
              <w:spacing w:after="0" w:afterLines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Alt. 3: Semi-static solution to enable TX/RX in gaps/restrictions that are caused by RRM measurements.</w:t>
            </w:r>
          </w:p>
          <w:p>
            <w:pPr>
              <w:pStyle w:val="40"/>
              <w:numPr>
                <w:ilvl w:val="1"/>
                <w:numId w:val="6"/>
              </w:numPr>
              <w:spacing w:after="0" w:afterLines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FFS: details</w:t>
            </w:r>
          </w:p>
          <w:p>
            <w:pPr>
              <w:pStyle w:val="40"/>
              <w:numPr>
                <w:ilvl w:val="0"/>
                <w:numId w:val="6"/>
              </w:numPr>
              <w:spacing w:after="0" w:afterLines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Alt. 4: Dynamic solution to adapt/change gap/SMTC configuration to enable TX/RX in gaps/restrictions that are caused by RRM measurements. </w:t>
            </w:r>
          </w:p>
          <w:p>
            <w:pPr>
              <w:pStyle w:val="40"/>
              <w:numPr>
                <w:ilvl w:val="1"/>
                <w:numId w:val="6"/>
              </w:numPr>
              <w:spacing w:after="0" w:afterLines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FFS: details</w:t>
            </w:r>
          </w:p>
          <w:p>
            <w:pPr>
              <w:pStyle w:val="40"/>
              <w:numPr>
                <w:ilvl w:val="0"/>
                <w:numId w:val="6"/>
              </w:numPr>
              <w:spacing w:after="0" w:afterLines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Alt. 5: Rule-based solution to enable TX/RX in gaps/restrictions that are caused by RRM measurements:</w:t>
            </w:r>
          </w:p>
          <w:p>
            <w:pPr>
              <w:pStyle w:val="40"/>
              <w:numPr>
                <w:ilvl w:val="1"/>
                <w:numId w:val="6"/>
              </w:numPr>
              <w:spacing w:after="0" w:afterLines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FFS: details</w:t>
            </w:r>
          </w:p>
          <w:p>
            <w:pPr>
              <w:spacing w:beforeLines="0" w:after="0" w:afterLines="0" w:line="240" w:lineRule="auto"/>
              <w:rPr>
                <w:sz w:val="20"/>
              </w:rPr>
            </w:pPr>
            <w:r>
              <w:rPr>
                <w:sz w:val="20"/>
              </w:rPr>
              <w:t>Companies are encouraged to use the EVM in TR38.835 if they are submitting simulation results.</w:t>
            </w:r>
          </w:p>
          <w:p>
            <w:pPr>
              <w:spacing w:beforeLines="0" w:after="0" w:afterLines="0" w:line="240" w:lineRule="auto"/>
            </w:pPr>
          </w:p>
        </w:tc>
      </w:tr>
    </w:tbl>
    <w:p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In this paper, we further discuss network controlled solutions and UE assistance information report. In Section 2, we analyze the potential solution(s) to enable Tx/Rx in gaps/restrictions and partial cancellation/skipping of gaps/restrictions.   </w:t>
      </w:r>
    </w:p>
    <w:p>
      <w:pPr>
        <w:pStyle w:val="2"/>
        <w:spacing w:before="120" w:after="120"/>
        <w:ind w:left="0"/>
      </w:pPr>
      <w:r>
        <w:rPr>
          <w:rFonts w:hint="eastAsia" w:eastAsia="宋体"/>
        </w:rPr>
        <w:t>Network controlled solutions</w:t>
      </w:r>
    </w:p>
    <w:p>
      <w:pPr>
        <w:pStyle w:val="3"/>
        <w:spacing w:before="120" w:after="120"/>
        <w:ind w:left="991" w:right="210" w:hanging="991" w:hangingChars="354"/>
      </w:pPr>
      <w:r>
        <w:rPr>
          <w:rFonts w:hint="eastAsia" w:eastAsia="宋体"/>
        </w:rPr>
        <w:t>Potential solutions to enable Tx/Rx in gaps/restrictions</w:t>
      </w:r>
    </w:p>
    <w:p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According to [2], XR traffic is </w:t>
      </w:r>
      <w:r>
        <w:rPr>
          <w:sz w:val="20"/>
          <w:lang w:val="en-GB" w:eastAsia="zh-TW"/>
        </w:rPr>
        <w:t>typical</w:t>
      </w:r>
      <w:r>
        <w:rPr>
          <w:rFonts w:hint="eastAsia"/>
          <w:sz w:val="20"/>
        </w:rPr>
        <w:t>ly</w:t>
      </w:r>
      <w:r>
        <w:rPr>
          <w:sz w:val="20"/>
          <w:lang w:val="en-GB" w:eastAsia="zh-TW"/>
        </w:rPr>
        <w:t xml:space="preserve"> </w:t>
      </w:r>
      <w:r>
        <w:rPr>
          <w:rFonts w:hint="eastAsia"/>
          <w:sz w:val="20"/>
        </w:rPr>
        <w:t>characterized by quasi-periodic arrival and variable/large packet size. Hence, potential collision between data transmission/re-transmission and gaps/restrictions may occur. As shown in Figure 1, XR packet #2 needs to be re-transmitted due to failure of initial transmission under poor channel condition, but the re-transmission time is overlapped with the measurement gap, then the re-transmission will be impacted.</w:t>
      </w:r>
    </w:p>
    <w:p>
      <w:pPr>
        <w:spacing w:before="120" w:after="120"/>
        <w:jc w:val="center"/>
      </w:pPr>
      <w:r>
        <w:drawing>
          <wp:inline distT="0" distB="0" distL="114300" distR="114300">
            <wp:extent cx="4697095" cy="1723390"/>
            <wp:effectExtent l="0" t="0" r="8255" b="1016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97095" cy="172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/>
        <w:jc w:val="center"/>
        <w:rPr>
          <w:sz w:val="20"/>
        </w:rPr>
      </w:pPr>
      <w:r>
        <w:rPr>
          <w:rFonts w:hint="eastAsia"/>
          <w:sz w:val="20"/>
        </w:rPr>
        <w:t>Figure 1 Collision between re-transmission and one measurement gap.</w:t>
      </w:r>
    </w:p>
    <w:p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In RAN1#116 meeting, companies were focused on discussing network controlled solutions, e.g., 5 alternatives of network signaling to enable Tx/Rx in gaps/restrictions that are caused by RRM measurement [1]. It deserves further discussion on how to select an alternative for improving XR capacity. For example, as for traffic of VR/AR DL video, there exists indeed problem of feasibility if chose semi-static solution. </w:t>
      </w:r>
    </w:p>
    <w:p>
      <w:pPr>
        <w:spacing w:before="120" w:after="120"/>
        <w:rPr>
          <w:strike/>
        </w:rPr>
      </w:pPr>
      <w:r>
        <w:rPr>
          <w:rFonts w:hint="eastAsia"/>
          <w:sz w:val="20"/>
        </w:rPr>
        <w:t xml:space="preserve">Once a semi-static enabled Tx/Rx pattern (MG occasions) is configured, possibly collision between XR traffic and gap/restriction (except enable Tx/Rx pattern) still occur. In another case, given a fixed enabled Tx/Rx pattern, if one relaxed MG occasion is not used for Tx/Rx, neither not performing RRM measurement, </w:t>
      </w:r>
      <w:r>
        <w:rPr>
          <w:sz w:val="20"/>
        </w:rPr>
        <w:t>it</w:t>
      </w:r>
      <w:r>
        <w:rPr>
          <w:rFonts w:hint="eastAsia"/>
          <w:sz w:val="20"/>
        </w:rPr>
        <w:t xml:space="preserve"> results in waste of resource</w:t>
      </w:r>
      <w:r>
        <w:rPr>
          <w:sz w:val="20"/>
        </w:rPr>
        <w:t>.</w:t>
      </w:r>
      <w:r>
        <w:rPr>
          <w:rFonts w:hint="eastAsia"/>
          <w:sz w:val="20"/>
        </w:rPr>
        <w:t xml:space="preserve"> </w:t>
      </w:r>
      <w:r>
        <w:rPr>
          <w:sz w:val="20"/>
        </w:rPr>
        <w:t>I</w:t>
      </w:r>
      <w:r>
        <w:rPr>
          <w:rFonts w:hint="eastAsia"/>
          <w:sz w:val="20"/>
        </w:rPr>
        <w:t xml:space="preserve">n another words, that would have negative impact on measurement and system capacity as well. </w:t>
      </w:r>
    </w:p>
    <w:p>
      <w:pPr>
        <w:spacing w:before="120" w:after="120"/>
        <w:rPr>
          <w:sz w:val="20"/>
        </w:rPr>
      </w:pPr>
      <w:r>
        <w:rPr>
          <w:rFonts w:hint="eastAsia"/>
          <w:sz w:val="20"/>
        </w:rPr>
        <w:t>On the other hand, dynamic solution provides good flexibility to handle the abrupt collision between data transmission and gap/restriction. Since whether or not skip a gap/restriction can be indicated as per usage of each gap/restriction, it is also believed that dynamic solution better ensure the balance between measurement performance and system capacity.</w:t>
      </w:r>
    </w:p>
    <w:p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While for XR traffic, such as pose/control, which is characterized by periodic and fixed packet size, dynamic solution is also suitable due to its flexibility, </w:t>
      </w:r>
      <w:r>
        <w:rPr>
          <w:sz w:val="20"/>
        </w:rPr>
        <w:t>in this case,</w:t>
      </w:r>
      <w:r>
        <w:rPr>
          <w:rFonts w:hint="eastAsia"/>
          <w:sz w:val="20"/>
        </w:rPr>
        <w:t xml:space="preserve"> semi-static solution can be possibly applied without considering abrupt packet re-transmission.</w:t>
      </w:r>
    </w:p>
    <w:p>
      <w:pPr>
        <w:spacing w:before="120" w:after="120"/>
        <w:rPr>
          <w:sz w:val="20"/>
        </w:rPr>
      </w:pPr>
      <w:r>
        <w:rPr>
          <w:rFonts w:hint="eastAsia"/>
          <w:sz w:val="20"/>
        </w:rPr>
        <w:t>In summary, comparison between dynamic solution and semi-static solution is listed in Table 1.</w:t>
      </w:r>
    </w:p>
    <w:p>
      <w:pPr>
        <w:spacing w:before="120" w:after="120"/>
        <w:jc w:val="center"/>
        <w:rPr>
          <w:sz w:val="20"/>
        </w:rPr>
      </w:pPr>
      <w:r>
        <w:rPr>
          <w:rFonts w:hint="eastAsia"/>
          <w:sz w:val="20"/>
        </w:rPr>
        <w:t>Table 1 Comparison between dynamic solution and semi-static solution in four aspects.</w:t>
      </w:r>
    </w:p>
    <w:tbl>
      <w:tblPr>
        <w:tblStyle w:val="2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2886"/>
        <w:gridCol w:w="2288"/>
        <w:gridCol w:w="3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shd w:val="clear" w:color="auto" w:fill="BEBEBE" w:themeFill="background1" w:themeFillShade="BF"/>
          </w:tcPr>
          <w:p>
            <w:pPr>
              <w:spacing w:beforeLines="0" w:after="0" w:afterLines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Solution</w:t>
            </w:r>
          </w:p>
        </w:tc>
        <w:tc>
          <w:tcPr>
            <w:tcW w:w="0" w:type="auto"/>
            <w:shd w:val="clear" w:color="auto" w:fill="BEBEBE" w:themeFill="background1" w:themeFillShade="BF"/>
          </w:tcPr>
          <w:p>
            <w:pPr>
              <w:spacing w:beforeLines="0" w:after="0" w:afterLines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Scenario</w:t>
            </w:r>
          </w:p>
        </w:tc>
        <w:tc>
          <w:tcPr>
            <w:tcW w:w="2288" w:type="dxa"/>
            <w:shd w:val="clear" w:color="auto" w:fill="BEBEBE" w:themeFill="background1" w:themeFillShade="BF"/>
          </w:tcPr>
          <w:p>
            <w:pPr>
              <w:spacing w:beforeLines="0" w:after="0" w:afterLines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Feasibility</w:t>
            </w:r>
          </w:p>
        </w:tc>
        <w:tc>
          <w:tcPr>
            <w:tcW w:w="3185" w:type="dxa"/>
            <w:shd w:val="clear" w:color="auto" w:fill="BEBEBE" w:themeFill="background1" w:themeFillShade="BF"/>
          </w:tcPr>
          <w:p>
            <w:pPr>
              <w:spacing w:beforeLines="0" w:after="0" w:afterLines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Performance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spacing w:beforeLines="0" w:after="0" w:afterLines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Dynamic solution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="0" w:afterLines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VR/AR video transmission/reception</w:t>
            </w:r>
          </w:p>
        </w:tc>
        <w:tc>
          <w:tcPr>
            <w:tcW w:w="2288" w:type="dxa"/>
            <w:vMerge w:val="restart"/>
            <w:vAlign w:val="center"/>
          </w:tcPr>
          <w:p>
            <w:pPr>
              <w:spacing w:beforeLines="0" w:after="0" w:afterLines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Yes,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and it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has good flexibility</w:t>
            </w:r>
          </w:p>
        </w:tc>
        <w:tc>
          <w:tcPr>
            <w:tcW w:w="3185" w:type="dxa"/>
            <w:vMerge w:val="restart"/>
            <w:vAlign w:val="center"/>
          </w:tcPr>
          <w:p>
            <w:pPr>
              <w:spacing w:beforeLines="0" w:after="0" w:afterLines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Balance the measurement performance and capacity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spacing w:beforeLines="0" w:after="0" w:afterLines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beforeLines="0" w:after="0" w:afterLines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UL Pose/control transmission</w:t>
            </w:r>
          </w:p>
        </w:tc>
        <w:tc>
          <w:tcPr>
            <w:tcW w:w="2288" w:type="dxa"/>
            <w:vMerge w:val="continue"/>
            <w:vAlign w:val="center"/>
          </w:tcPr>
          <w:p>
            <w:pPr>
              <w:spacing w:beforeLines="0" w:after="0" w:afterLines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85" w:type="dxa"/>
            <w:vMerge w:val="continue"/>
            <w:vAlign w:val="center"/>
          </w:tcPr>
          <w:p>
            <w:pPr>
              <w:spacing w:beforeLines="0" w:after="0" w:afterLines="0" w:line="24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spacing w:beforeLines="0" w:after="0" w:afterLines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Semi-static solution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="0" w:afterLines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VR/AR video transmission/reception</w:t>
            </w:r>
          </w:p>
        </w:tc>
        <w:tc>
          <w:tcPr>
            <w:tcW w:w="2288" w:type="dxa"/>
            <w:vAlign w:val="center"/>
          </w:tcPr>
          <w:p>
            <w:pPr>
              <w:spacing w:beforeLines="0" w:after="0" w:afterLines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C00000"/>
                <w:sz w:val="18"/>
                <w:szCs w:val="18"/>
              </w:rPr>
              <w:t>NO</w:t>
            </w:r>
            <w:r>
              <w:rPr>
                <w:rFonts w:hint="eastAsia"/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It c</w:t>
            </w:r>
            <w:r>
              <w:rPr>
                <w:rFonts w:hint="eastAsia"/>
                <w:sz w:val="18"/>
                <w:szCs w:val="18"/>
              </w:rPr>
              <w:t>annot handle abrupt collision.</w:t>
            </w:r>
          </w:p>
        </w:tc>
        <w:tc>
          <w:tcPr>
            <w:tcW w:w="3185" w:type="dxa"/>
            <w:vAlign w:val="center"/>
          </w:tcPr>
          <w:p>
            <w:pPr>
              <w:spacing w:beforeLines="0" w:after="0" w:afterLines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Have </w:t>
            </w:r>
            <w:r>
              <w:rPr>
                <w:rFonts w:hint="eastAsia"/>
                <w:color w:val="C00000"/>
                <w:sz w:val="18"/>
                <w:szCs w:val="18"/>
              </w:rPr>
              <w:t xml:space="preserve">negative </w:t>
            </w:r>
            <w:r>
              <w:rPr>
                <w:rFonts w:hint="eastAsia"/>
                <w:sz w:val="18"/>
                <w:szCs w:val="18"/>
              </w:rPr>
              <w:t>impact on both measurement and capacity.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spacing w:beforeLines="0" w:after="0" w:afterLines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beforeLines="0" w:after="0" w:afterLines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UL Pose/control transmission</w:t>
            </w:r>
          </w:p>
        </w:tc>
        <w:tc>
          <w:tcPr>
            <w:tcW w:w="2288" w:type="dxa"/>
            <w:vAlign w:val="center"/>
          </w:tcPr>
          <w:p>
            <w:pPr>
              <w:spacing w:beforeLines="0" w:after="0" w:afterLines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Yes.</w:t>
            </w:r>
          </w:p>
        </w:tc>
        <w:tc>
          <w:tcPr>
            <w:tcW w:w="3185" w:type="dxa"/>
            <w:vAlign w:val="center"/>
          </w:tcPr>
          <w:p>
            <w:pPr>
              <w:spacing w:beforeLines="0" w:after="0" w:afterLines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OK.</w:t>
            </w:r>
          </w:p>
        </w:tc>
      </w:tr>
    </w:tbl>
    <w:p>
      <w:pPr>
        <w:pStyle w:val="15"/>
        <w:spacing w:before="120"/>
      </w:pPr>
      <w:r>
        <w:rPr>
          <w:rFonts w:hint="eastAsia"/>
        </w:rPr>
        <w:t>To this end, we have the following proposal.</w:t>
      </w:r>
    </w:p>
    <w:p>
      <w:pPr>
        <w:pStyle w:val="63"/>
        <w:spacing w:before="120" w:after="120"/>
        <w:jc w:val="both"/>
        <w:rPr>
          <w:lang w:val="en-US" w:eastAsia="zh-CN"/>
        </w:rPr>
      </w:pPr>
      <w:bookmarkStart w:id="0" w:name="_Toc20755"/>
      <w:r>
        <w:rPr>
          <w:rFonts w:hint="eastAsia"/>
          <w:lang w:val="en-US" w:eastAsia="zh-CN"/>
        </w:rPr>
        <w:t>Specify dynamic solutions to enable Tx/Rx in particular gap(s)/restriction(s) that are caused by RRM measurements.</w:t>
      </w:r>
      <w:bookmarkEnd w:id="0"/>
    </w:p>
    <w:p>
      <w:pPr>
        <w:spacing w:before="120" w:after="120"/>
      </w:pPr>
      <w:r>
        <w:rPr>
          <w:rFonts w:hint="eastAsia"/>
          <w:sz w:val="20"/>
        </w:rPr>
        <w:t>In our opinions, regarding dynamic solution, e.g.,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alternative 1 is straightforward. As depicted in Figure 2, a dynamic adjustment is indicated </w:t>
      </w:r>
      <w:r>
        <w:rPr>
          <w:sz w:val="20"/>
        </w:rPr>
        <w:t xml:space="preserve">to enable Tx/Rx in </w:t>
      </w:r>
      <w:r>
        <w:rPr>
          <w:rFonts w:hint="eastAsia"/>
          <w:sz w:val="20"/>
        </w:rPr>
        <w:t xml:space="preserve">next one or more </w:t>
      </w:r>
      <w:r>
        <w:rPr>
          <w:sz w:val="20"/>
        </w:rPr>
        <w:t>gap(s)/restriction(s)</w:t>
      </w:r>
      <w:r>
        <w:rPr>
          <w:rFonts w:hint="eastAsia"/>
          <w:sz w:val="20"/>
        </w:rPr>
        <w:t xml:space="preserve">. </w:t>
      </w:r>
    </w:p>
    <w:p>
      <w:pPr>
        <w:spacing w:before="120" w:after="120"/>
        <w:jc w:val="center"/>
      </w:pPr>
      <w:r>
        <w:drawing>
          <wp:inline distT="0" distB="0" distL="114300" distR="114300">
            <wp:extent cx="4436745" cy="1690370"/>
            <wp:effectExtent l="0" t="0" r="1905" b="508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36745" cy="169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/>
        <w:jc w:val="center"/>
        <w:rPr>
          <w:sz w:val="20"/>
        </w:rPr>
      </w:pPr>
      <w:r>
        <w:rPr>
          <w:rFonts w:hint="eastAsia"/>
          <w:sz w:val="20"/>
        </w:rPr>
        <w:t xml:space="preserve">Figure </w:t>
      </w:r>
      <w:r>
        <w:rPr>
          <w:rFonts w:hint="eastAsia"/>
          <w:sz w:val="20"/>
          <w:lang w:val="en-US" w:eastAsia="zh-CN"/>
        </w:rPr>
        <w:t>2</w:t>
      </w:r>
      <w:r>
        <w:rPr>
          <w:rFonts w:hint="eastAsia"/>
          <w:sz w:val="20"/>
        </w:rPr>
        <w:t xml:space="preserve"> Dynamic indication </w:t>
      </w:r>
      <w:r>
        <w:rPr>
          <w:sz w:val="20"/>
        </w:rPr>
        <w:t xml:space="preserve">to enable Tx/Rx in </w:t>
      </w:r>
      <w:r>
        <w:rPr>
          <w:rFonts w:hint="eastAsia"/>
          <w:sz w:val="20"/>
        </w:rPr>
        <w:t xml:space="preserve">next one or more </w:t>
      </w:r>
      <w:r>
        <w:rPr>
          <w:sz w:val="20"/>
        </w:rPr>
        <w:t>gap(s)/restriction(s)</w:t>
      </w:r>
      <w:r>
        <w:rPr>
          <w:rFonts w:hint="eastAsia"/>
          <w:sz w:val="20"/>
        </w:rPr>
        <w:t>.</w:t>
      </w:r>
    </w:p>
    <w:p>
      <w:pPr>
        <w:spacing w:before="120" w:after="120"/>
      </w:pPr>
      <w:r>
        <w:rPr>
          <w:rFonts w:hint="eastAsia"/>
          <w:sz w:val="20"/>
        </w:rPr>
        <w:t>Moreover, the timeline of dynamic signaling should be considered. For instance, as shown in Figure 3, the DCI signaling is applied</w:t>
      </w:r>
      <w:r>
        <w:rPr>
          <w:rFonts w:hint="eastAsia"/>
          <w:sz w:val="20"/>
          <w:lang w:val="en-US" w:eastAsia="zh-CN"/>
        </w:rPr>
        <w:t xml:space="preserve"> from</w:t>
      </w:r>
      <w:r>
        <w:rPr>
          <w:rFonts w:hint="eastAsia"/>
          <w:sz w:val="20"/>
        </w:rPr>
        <w:t xml:space="preserve"> an application delay after a reference time when DCI is received. For MAC CE signaling, the corresponding application time may start from an application delay after a time instant when HARQ-ACK for the PDSCH is transmitted.</w:t>
      </w:r>
    </w:p>
    <w:p>
      <w:pPr>
        <w:spacing w:before="120" w:after="120"/>
        <w:jc w:val="center"/>
      </w:pPr>
      <w:r>
        <w:drawing>
          <wp:inline distT="0" distB="0" distL="114300" distR="114300">
            <wp:extent cx="4753610" cy="2044700"/>
            <wp:effectExtent l="0" t="0" r="8890" b="12700"/>
            <wp:docPr id="2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/>
        <w:jc w:val="center"/>
        <w:rPr>
          <w:sz w:val="20"/>
        </w:rPr>
      </w:pPr>
      <w:r>
        <w:rPr>
          <w:rFonts w:hint="eastAsia"/>
          <w:sz w:val="20"/>
        </w:rPr>
        <w:t>Figure 3 Timeline consideration of dynamic signaling</w:t>
      </w:r>
    </w:p>
    <w:p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Given the discussed timeline of indication, it seems that the delay for indicating </w:t>
      </w:r>
      <w:r>
        <w:rPr>
          <w:sz w:val="20"/>
        </w:rPr>
        <w:t>to enable Tx/Rx in</w:t>
      </w:r>
      <w:r>
        <w:rPr>
          <w:rFonts w:hint="eastAsia"/>
          <w:sz w:val="20"/>
        </w:rPr>
        <w:t xml:space="preserve"> </w:t>
      </w:r>
      <w:r>
        <w:rPr>
          <w:sz w:val="20"/>
        </w:rPr>
        <w:t>gap(s)/restriction(s)</w:t>
      </w:r>
      <w:r>
        <w:rPr>
          <w:rFonts w:hint="eastAsia"/>
          <w:sz w:val="20"/>
        </w:rPr>
        <w:t xml:space="preserve"> via DCI is shorter than the delay through MAC CE signaling. </w:t>
      </w:r>
    </w:p>
    <w:p>
      <w:pPr>
        <w:pStyle w:val="60"/>
        <w:spacing w:before="120" w:after="120"/>
        <w:rPr>
          <w:lang w:val="en-US" w:eastAsia="zh-CN"/>
        </w:rPr>
      </w:pPr>
      <w:bookmarkStart w:id="1" w:name="_Toc27285"/>
      <w:r>
        <w:rPr>
          <w:rFonts w:hint="eastAsia"/>
          <w:lang w:val="en-US" w:eastAsia="zh-CN"/>
        </w:rPr>
        <w:t xml:space="preserve">The delay for indicating </w:t>
      </w:r>
      <w:r>
        <w:rPr>
          <w:lang w:val="en-US"/>
        </w:rPr>
        <w:t>to enable Tx/Rx in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gap(s)/restriction(s)</w:t>
      </w:r>
      <w:r>
        <w:rPr>
          <w:rFonts w:hint="eastAsia"/>
          <w:lang w:val="en-US" w:eastAsia="zh-CN"/>
        </w:rPr>
        <w:t xml:space="preserve"> via DCI is shorter than the delay through MAC CE signaling.</w:t>
      </w:r>
      <w:bookmarkEnd w:id="1"/>
      <w:r>
        <w:rPr>
          <w:rFonts w:hint="eastAsia"/>
          <w:lang w:val="en-US" w:eastAsia="zh-CN"/>
        </w:rPr>
        <w:t xml:space="preserve"> </w:t>
      </w:r>
    </w:p>
    <w:p>
      <w:pPr>
        <w:pStyle w:val="63"/>
        <w:spacing w:before="120" w:after="120"/>
        <w:jc w:val="both"/>
        <w:rPr>
          <w:lang w:val="en-US" w:eastAsia="zh-CN"/>
        </w:rPr>
      </w:pPr>
      <w:bookmarkStart w:id="2" w:name="_Toc14561"/>
      <w:r>
        <w:rPr>
          <w:rFonts w:hint="eastAsia"/>
          <w:lang w:val="en-US" w:eastAsia="zh-CN"/>
        </w:rPr>
        <w:t>At least support Alt 1: Dynamic indication to enable Tx/Rx in particular gap(s)/restriction(s) that are caused by RRM measurements.</w:t>
      </w:r>
      <w:bookmarkEnd w:id="2"/>
    </w:p>
    <w:p>
      <w:pPr>
        <w:spacing w:before="120" w:after="120"/>
        <w:rPr>
          <w:sz w:val="20"/>
        </w:rPr>
      </w:pPr>
      <w:r>
        <w:rPr>
          <w:rFonts w:hint="eastAsia"/>
          <w:sz w:val="20"/>
        </w:rPr>
        <w:t>In addition, the activating/deactivating delay for pre-MG is which was specified in RAN4</w:t>
      </w:r>
      <w:r>
        <w:rPr>
          <w:sz w:val="20"/>
        </w:rPr>
        <w:t xml:space="preserve"> </w:t>
      </w:r>
      <w:r>
        <w:rPr>
          <w:rFonts w:hint="eastAsia"/>
          <w:sz w:val="20"/>
        </w:rPr>
        <w:t>[3], may needs to be clarified and distinguished from the enhancement in AI 9.10.1. For example, for UE autonomous changing the Pre-MG status caused by some specific events, such as BWP switching, SCell activation/deactivation or RRC triggering, the activating/deactivating delay for pre-MG is 5ms [3].</w:t>
      </w:r>
    </w:p>
    <w:p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For other alternatives, such as Alt 2 (semi-persistent solution), to our understanding, it is similar with activation/deactivation of Configured grant Type 2. In this case, the number of gaps/indications to be relaxed may be configured in RRC signaling firstly, and the dynamic signaling is used to activate/deactivate one of configurations, as illustrated in Figure 4, RRC signaling configures </w:t>
      </w:r>
      <w:r>
        <w:rPr>
          <w:sz w:val="20"/>
        </w:rPr>
        <w:t>two</w:t>
      </w:r>
      <w:r>
        <w:rPr>
          <w:rFonts w:hint="eastAsia"/>
          <w:sz w:val="20"/>
        </w:rPr>
        <w:t xml:space="preserve"> measurement gap</w:t>
      </w:r>
      <w:r>
        <w:rPr>
          <w:sz w:val="20"/>
        </w:rPr>
        <w:t>s</w:t>
      </w:r>
      <w:r>
        <w:rPr>
          <w:rFonts w:hint="eastAsia"/>
          <w:sz w:val="20"/>
        </w:rPr>
        <w:t xml:space="preserve"> can be skipped, and dynamic signaling enable</w:t>
      </w:r>
      <w:r>
        <w:rPr>
          <w:sz w:val="20"/>
        </w:rPr>
        <w:t>s</w:t>
      </w:r>
      <w:r>
        <w:rPr>
          <w:rFonts w:hint="eastAsia"/>
          <w:sz w:val="20"/>
        </w:rPr>
        <w:t>/activate</w:t>
      </w:r>
      <w:r>
        <w:rPr>
          <w:sz w:val="20"/>
        </w:rPr>
        <w:t>s</w:t>
      </w:r>
      <w:r>
        <w:rPr>
          <w:rFonts w:hint="eastAsia"/>
          <w:sz w:val="20"/>
        </w:rPr>
        <w:t xml:space="preserve"> this configuration at one moment. Thus, the feasibility of this solution may highly depends on the RRC configuration. And also Alt 2 seems less flexible than Alt 1.</w:t>
      </w:r>
    </w:p>
    <w:p>
      <w:pPr>
        <w:spacing w:before="120" w:after="120"/>
        <w:jc w:val="center"/>
      </w:pPr>
      <w:r>
        <w:drawing>
          <wp:inline distT="0" distB="0" distL="114300" distR="114300">
            <wp:extent cx="5420995" cy="1560195"/>
            <wp:effectExtent l="0" t="0" r="8255" b="1905"/>
            <wp:docPr id="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20995" cy="15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/>
        <w:jc w:val="center"/>
        <w:rPr>
          <w:sz w:val="20"/>
        </w:rPr>
      </w:pPr>
      <w:r>
        <w:rPr>
          <w:rFonts w:hint="eastAsia"/>
          <w:sz w:val="20"/>
        </w:rPr>
        <w:t>Figure 4 Illustration of Alt 2 semi-persistent solution</w:t>
      </w:r>
    </w:p>
    <w:p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As for Alt 4, dynamic adaptation among current gap/restriction configuration. For instance, regarding the adaptation on SMTC periodicity e.g.,{5ms, 10ms, 15ms, 20ms, 40ms, 80ms, 160ms}, we think the adaptation among different SMTC configurations may encounter the same problem as semi-static solution. </w:t>
      </w:r>
      <w:r>
        <w:rPr>
          <w:sz w:val="20"/>
        </w:rPr>
        <w:t>T</w:t>
      </w:r>
      <w:r>
        <w:rPr>
          <w:rFonts w:hint="eastAsia"/>
          <w:sz w:val="20"/>
        </w:rPr>
        <w:t>herefore, we think Alt 4 should be de-prioritized.</w:t>
      </w:r>
    </w:p>
    <w:p>
      <w:pPr>
        <w:spacing w:before="120" w:after="120"/>
        <w:jc w:val="center"/>
      </w:pPr>
      <w:r>
        <w:drawing>
          <wp:inline distT="0" distB="0" distL="114300" distR="114300">
            <wp:extent cx="5372735" cy="929005"/>
            <wp:effectExtent l="0" t="0" r="18415" b="4445"/>
            <wp:docPr id="1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92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/>
        <w:jc w:val="center"/>
        <w:rPr>
          <w:sz w:val="20"/>
        </w:rPr>
      </w:pPr>
      <w:r>
        <w:rPr>
          <w:rFonts w:hint="eastAsia"/>
          <w:sz w:val="20"/>
        </w:rPr>
        <w:t>Figure 5 Illustration of SMTC periodicity adaptation</w:t>
      </w:r>
    </w:p>
    <w:p>
      <w:pPr>
        <w:pStyle w:val="63"/>
        <w:spacing w:before="120" w:after="120"/>
        <w:rPr>
          <w:rFonts w:eastAsia="宋体"/>
          <w:lang w:val="en-US" w:eastAsia="zh-CN"/>
        </w:rPr>
      </w:pPr>
      <w:bookmarkStart w:id="3" w:name="_Toc1704"/>
      <w:r>
        <w:rPr>
          <w:rFonts w:hint="eastAsia"/>
          <w:lang w:val="en-US" w:eastAsia="zh-CN"/>
        </w:rPr>
        <w:t>Further study the feasibility of Alt 2, and de-prioritize Alt 4.</w:t>
      </w:r>
      <w:bookmarkEnd w:id="3"/>
    </w:p>
    <w:p>
      <w:pPr>
        <w:pStyle w:val="3"/>
        <w:spacing w:before="120" w:after="120"/>
        <w:ind w:left="991" w:right="210" w:hanging="991" w:hangingChars="354"/>
      </w:pPr>
      <w:r>
        <w:rPr>
          <w:rFonts w:hint="eastAsia"/>
        </w:rPr>
        <w:t xml:space="preserve">Partially cancel/skip occasion of </w:t>
      </w:r>
      <w:r>
        <w:t>SMTC</w:t>
      </w:r>
      <w:r>
        <w:rPr>
          <w:rFonts w:hint="eastAsia"/>
        </w:rPr>
        <w:t>/restriction</w:t>
      </w:r>
    </w:p>
    <w:p>
      <w:pPr>
        <w:spacing w:before="120" w:after="120"/>
        <w:rPr>
          <w:sz w:val="20"/>
        </w:rPr>
      </w:pPr>
      <w:r>
        <w:rPr>
          <w:rFonts w:hint="eastAsia"/>
          <w:sz w:val="20"/>
        </w:rPr>
        <w:t>In RAN1#116 meeting, fully cancellation/skipping for the occasion(s) of gaps/restrictions is agreed to be the baseline of enabling Tx/Rx, and partial cancellation/skipping needs further study [1].</w:t>
      </w:r>
    </w:p>
    <w:p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Firstly, in case of scheduling availability in one example of current specification as below [3], when UE does not support </w:t>
      </w:r>
      <w:r>
        <w:rPr>
          <w:rFonts w:hint="eastAsia"/>
          <w:i/>
          <w:iCs/>
          <w:sz w:val="20"/>
        </w:rPr>
        <w:t xml:space="preserve">simultaneousRxDataSSB-DiffNumerology </w:t>
      </w:r>
      <w:r>
        <w:rPr>
          <w:rFonts w:hint="eastAsia"/>
          <w:sz w:val="20"/>
        </w:rPr>
        <w:t xml:space="preserve">and </w:t>
      </w:r>
      <w:r>
        <w:rPr>
          <w:rFonts w:eastAsia="MS Mincho"/>
          <w:i/>
          <w:sz w:val="20"/>
          <w:lang w:eastAsia="ja-JP"/>
        </w:rPr>
        <w:t>deriveSSB_IndexFromCell</w:t>
      </w:r>
      <w:r>
        <w:rPr>
          <w:rFonts w:hint="eastAsia"/>
          <w:iCs/>
          <w:sz w:val="20"/>
        </w:rPr>
        <w:t xml:space="preserve"> is enabled (which means the timing between serving cell and neighbor cell can be acquired), </w:t>
      </w:r>
      <w:r>
        <w:rPr>
          <w:rFonts w:hint="eastAsia"/>
          <w:sz w:val="20"/>
        </w:rPr>
        <w:t xml:space="preserve">the specification is clear that at least for intra-frequency measurement without measurement gap or with NCSG, scheduling restriction is actually in symbol </w:t>
      </w:r>
      <w:r>
        <w:rPr>
          <w:sz w:val="20"/>
        </w:rPr>
        <w:t xml:space="preserve">(SSB symbols) </w:t>
      </w:r>
      <w:r>
        <w:rPr>
          <w:rFonts w:hint="eastAsia"/>
          <w:sz w:val="20"/>
        </w:rPr>
        <w:t xml:space="preserve">level. Then take one SMTC window for example, maybe first </w:t>
      </w:r>
      <w:r>
        <w:rPr>
          <w:sz w:val="20"/>
        </w:rPr>
        <w:t>and second</w:t>
      </w:r>
      <w:r>
        <w:rPr>
          <w:rFonts w:hint="eastAsia"/>
          <w:sz w:val="20"/>
        </w:rPr>
        <w:t xml:space="preserve"> SSB burst</w:t>
      </w:r>
      <w:r>
        <w:rPr>
          <w:sz w:val="20"/>
        </w:rPr>
        <w:t>s</w:t>
      </w:r>
      <w:r>
        <w:rPr>
          <w:rFonts w:hint="eastAsia"/>
          <w:sz w:val="20"/>
        </w:rPr>
        <w:t xml:space="preserve"> </w:t>
      </w:r>
      <w:r>
        <w:rPr>
          <w:sz w:val="20"/>
        </w:rPr>
        <w:t>are</w:t>
      </w:r>
      <w:r>
        <w:rPr>
          <w:rFonts w:hint="eastAsia"/>
          <w:sz w:val="20"/>
        </w:rPr>
        <w:t xml:space="preserve"> to be measured, whereas third SSB burst is not to be measured. </w:t>
      </w:r>
    </w:p>
    <w:tbl>
      <w:tblPr>
        <w:tblStyle w:val="26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53" w:type="dxa"/>
          </w:tcPr>
          <w:p>
            <w:pPr>
              <w:pStyle w:val="6"/>
              <w:numPr>
                <w:ilvl w:val="2"/>
                <w:numId w:val="0"/>
              </w:numPr>
              <w:spacing w:before="120" w:after="160"/>
              <w:ind w:right="21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Example of NR intra-frequency measurement without measurement gap</w:t>
            </w:r>
          </w:p>
          <w:p>
            <w:pPr>
              <w:pStyle w:val="6"/>
              <w:numPr>
                <w:ilvl w:val="2"/>
                <w:numId w:val="0"/>
              </w:numPr>
              <w:ind w:right="210"/>
              <w:rPr>
                <w:rFonts w:ascii="Times New Roman" w:hAnsi="Times New Roman"/>
                <w:sz w:val="18"/>
                <w:szCs w:val="18"/>
                <w:u w:val="none"/>
              </w:rPr>
            </w:pPr>
            <w:r>
              <w:rPr>
                <w:rFonts w:ascii="Times New Roman" w:hAnsi="Times New Roman"/>
                <w:sz w:val="18"/>
                <w:szCs w:val="18"/>
                <w:u w:val="none"/>
              </w:rPr>
              <w:t>9.2.5.3.2</w:t>
            </w:r>
            <w:r>
              <w:rPr>
                <w:rFonts w:ascii="Times New Roman" w:hAnsi="Times New Roman"/>
                <w:sz w:val="18"/>
                <w:szCs w:val="18"/>
                <w:u w:val="none"/>
              </w:rPr>
              <w:tab/>
            </w:r>
            <w:r>
              <w:rPr>
                <w:rFonts w:ascii="Times New Roman" w:hAnsi="Times New Roman"/>
                <w:sz w:val="18"/>
                <w:szCs w:val="18"/>
                <w:u w:val="none"/>
              </w:rPr>
              <w:t>Scheduling availability of UE performing measurements with a different subcarrier spacing than PDSCH/PDCCH on FR1</w:t>
            </w:r>
          </w:p>
          <w:p>
            <w:p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cyan"/>
              </w:rPr>
              <w:t xml:space="preserve">For UE which do not support </w:t>
            </w:r>
            <w:r>
              <w:rPr>
                <w:i/>
                <w:sz w:val="18"/>
                <w:szCs w:val="18"/>
                <w:highlight w:val="cyan"/>
              </w:rPr>
              <w:t>simultaneousRxDataSSB-DiffNumerology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[14] the following restrictions apply due to SS-RSRP/RSRQ/SINR measurement</w:t>
            </w:r>
          </w:p>
          <w:p>
            <w:pPr>
              <w:pStyle w:val="66"/>
              <w:spacing w:before="120" w:after="120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  <w:highlight w:val="cyan"/>
              </w:rPr>
              <w:t xml:space="preserve">If </w:t>
            </w:r>
            <w:r>
              <w:rPr>
                <w:rFonts w:eastAsia="MS Mincho"/>
                <w:i/>
                <w:sz w:val="18"/>
                <w:szCs w:val="18"/>
                <w:highlight w:val="cyan"/>
                <w:lang w:eastAsia="ja-JP"/>
              </w:rPr>
              <w:t>deriveSSB_IndexFromCell</w:t>
            </w:r>
            <w:r>
              <w:rPr>
                <w:sz w:val="18"/>
                <w:szCs w:val="18"/>
                <w:highlight w:val="cyan"/>
              </w:rPr>
              <w:t xml:space="preserve"> is enabled</w:t>
            </w:r>
            <w:r>
              <w:rPr>
                <w:sz w:val="18"/>
                <w:szCs w:val="18"/>
              </w:rPr>
              <w:t xml:space="preserve"> the UE is not expected to transmit PUCCH/PUSCH/SRS or receive PDCCH/PDSCH/TRS/CSI-RS for CQI </w:t>
            </w:r>
            <w:r>
              <w:rPr>
                <w:b/>
                <w:bCs/>
                <w:sz w:val="18"/>
                <w:szCs w:val="18"/>
              </w:rPr>
              <w:t xml:space="preserve">on SSB symbols to be measured, and on 1 data symbol before each consecutive SSB symbols to be measured and 1 data symbol after each consecutive SSB symbols </w:t>
            </w:r>
            <w:r>
              <w:rPr>
                <w:sz w:val="18"/>
                <w:szCs w:val="18"/>
              </w:rPr>
              <w:t xml:space="preserve">to be measured within SMTC window duration. If the high layer signalling of </w:t>
            </w:r>
            <w:r>
              <w:rPr>
                <w:i/>
                <w:sz w:val="18"/>
                <w:szCs w:val="18"/>
              </w:rPr>
              <w:t>smtc2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is configured (in TS 38.331 [2]), the SMTC periodicity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 xml:space="preserve">follows </w:t>
            </w:r>
            <w:r>
              <w:rPr>
                <w:i/>
                <w:sz w:val="18"/>
                <w:szCs w:val="18"/>
              </w:rPr>
              <w:t>smtc2</w:t>
            </w:r>
            <w:r>
              <w:rPr>
                <w:sz w:val="18"/>
                <w:szCs w:val="18"/>
              </w:rPr>
              <w:t xml:space="preserve">; Otherwise the SMTC periodicity follows </w:t>
            </w:r>
            <w:r>
              <w:rPr>
                <w:i/>
                <w:sz w:val="18"/>
                <w:szCs w:val="18"/>
              </w:rPr>
              <w:t>smtc1.</w:t>
            </w:r>
          </w:p>
          <w:p>
            <w:pPr>
              <w:pStyle w:val="66"/>
              <w:spacing w:before="120" w:after="12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&lt;Omit&gt;</w:t>
            </w:r>
          </w:p>
          <w:p>
            <w:pPr>
              <w:pStyle w:val="6"/>
              <w:numPr>
                <w:ilvl w:val="2"/>
                <w:numId w:val="0"/>
              </w:numPr>
              <w:ind w:right="210"/>
              <w:rPr>
                <w:rFonts w:ascii="Times New Roman" w:hAnsi="Times New Roman"/>
                <w:sz w:val="18"/>
                <w:szCs w:val="18"/>
                <w:u w:val="none"/>
              </w:rPr>
            </w:pPr>
            <w:r>
              <w:rPr>
                <w:rFonts w:ascii="Times New Roman" w:hAnsi="Times New Roman"/>
                <w:sz w:val="18"/>
                <w:szCs w:val="18"/>
                <w:u w:val="none"/>
              </w:rPr>
              <w:t>9.2.5.3.3</w:t>
            </w:r>
            <w:r>
              <w:rPr>
                <w:rFonts w:ascii="Times New Roman" w:hAnsi="Times New Roman"/>
                <w:sz w:val="18"/>
                <w:szCs w:val="18"/>
                <w:u w:val="none"/>
              </w:rPr>
              <w:tab/>
            </w:r>
            <w:r>
              <w:rPr>
                <w:rFonts w:ascii="Times New Roman" w:hAnsi="Times New Roman"/>
                <w:sz w:val="18"/>
                <w:szCs w:val="18"/>
                <w:u w:val="none"/>
              </w:rPr>
              <w:t>Scheduling availability of UE performing measurements on FR2</w:t>
            </w:r>
          </w:p>
          <w:p>
            <w:p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following scheduling restriction applies due to SS-RSRP or SS-SINR measurement on an FR2 intra-frequency cell</w:t>
            </w:r>
          </w:p>
          <w:p>
            <w:pPr>
              <w:pStyle w:val="66"/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 xml:space="preserve">If </w:t>
            </w:r>
            <w:r>
              <w:rPr>
                <w:rFonts w:eastAsia="MS Mincho"/>
                <w:i/>
                <w:sz w:val="18"/>
                <w:szCs w:val="18"/>
                <w:highlight w:val="cyan"/>
                <w:lang w:eastAsia="ja-JP"/>
              </w:rPr>
              <w:t>deriveSSB-IndexFromCell</w:t>
            </w:r>
            <w:r>
              <w:rPr>
                <w:sz w:val="18"/>
                <w:szCs w:val="18"/>
                <w:highlight w:val="cyan"/>
              </w:rPr>
              <w:t xml:space="preserve"> is enabled</w:t>
            </w:r>
            <w:r>
              <w:rPr>
                <w:sz w:val="18"/>
                <w:szCs w:val="18"/>
              </w:rPr>
              <w:t xml:space="preserve"> the UE is not expected to transmit PUCCH/PUSCH/SRS or receive PDCCH/PDSCH/TRS/CSI-RS for CQI on SSB symbols to be measured, and on K data symbol(s) before each consecutive SSB symbols to be measured and K data symbol(s) after each consecutive SSB symbols to be measured within SMTC window duration. </w:t>
            </w:r>
          </w:p>
          <w:p>
            <w:pPr>
              <w:pStyle w:val="66"/>
              <w:spacing w:before="120" w:after="120"/>
            </w:pPr>
            <w:r>
              <w:rPr>
                <w:rFonts w:hint="eastAsia"/>
                <w:iCs/>
                <w:sz w:val="18"/>
                <w:szCs w:val="18"/>
              </w:rPr>
              <w:t>&lt;Omit&gt;</w:t>
            </w:r>
          </w:p>
        </w:tc>
      </w:tr>
    </w:tbl>
    <w:p>
      <w:pPr>
        <w:spacing w:before="120" w:after="120"/>
        <w:rPr>
          <w:iCs/>
          <w:sz w:val="20"/>
        </w:rPr>
      </w:pPr>
      <w:r>
        <w:rPr>
          <w:rFonts w:hint="eastAsia"/>
          <w:iCs/>
          <w:sz w:val="20"/>
        </w:rPr>
        <w:t xml:space="preserve">Furthermore, </w:t>
      </w:r>
      <w:r>
        <w:rPr>
          <w:iCs/>
          <w:sz w:val="20"/>
        </w:rPr>
        <w:t>legacy</w:t>
      </w:r>
      <w:r>
        <w:rPr>
          <w:rFonts w:hint="eastAsia"/>
          <w:iCs/>
          <w:sz w:val="20"/>
        </w:rPr>
        <w:t xml:space="preserve"> RRC signaling </w:t>
      </w:r>
      <w:r>
        <w:rPr>
          <w:rFonts w:hint="eastAsia"/>
          <w:i/>
          <w:sz w:val="20"/>
        </w:rPr>
        <w:t>ssb-ToMeasure</w:t>
      </w:r>
      <w:r>
        <w:rPr>
          <w:rFonts w:hint="eastAsia"/>
          <w:iCs/>
          <w:sz w:val="20"/>
        </w:rPr>
        <w:t xml:space="preserve"> can indicate </w:t>
      </w:r>
      <w:r>
        <w:rPr>
          <w:rFonts w:hint="eastAsia"/>
          <w:b/>
          <w:iCs/>
          <w:sz w:val="20"/>
        </w:rPr>
        <w:t>which SSBs</w:t>
      </w:r>
      <w:r>
        <w:rPr>
          <w:rFonts w:hint="eastAsia"/>
          <w:iCs/>
          <w:sz w:val="20"/>
        </w:rPr>
        <w:t xml:space="preserve"> UE should measured within the SMTC window, implying maybe partial SSBs in SMTC window are used for measurement, </w:t>
      </w:r>
      <w:r>
        <w:rPr>
          <w:iCs/>
          <w:sz w:val="20"/>
        </w:rPr>
        <w:t>and there are scheduling</w:t>
      </w:r>
      <w:r>
        <w:rPr>
          <w:rFonts w:hint="eastAsia"/>
          <w:iCs/>
          <w:sz w:val="20"/>
        </w:rPr>
        <w:t xml:space="preserve"> restrictions </w:t>
      </w:r>
      <w:r>
        <w:rPr>
          <w:iCs/>
          <w:sz w:val="20"/>
        </w:rPr>
        <w:t xml:space="preserve">for those </w:t>
      </w:r>
      <w:r>
        <w:rPr>
          <w:rFonts w:hint="eastAsia"/>
          <w:iCs/>
          <w:sz w:val="20"/>
        </w:rPr>
        <w:t>SSBs.</w:t>
      </w:r>
      <w:r>
        <w:rPr>
          <w:iCs/>
          <w:sz w:val="20"/>
        </w:rPr>
        <w:t xml:space="preserve"> For example, as shown in Figure 6, SSB#0, SSB#1, SSB#3 is used for measurement, and there is scheduling restrictions on these SSB symbols to be measured. On the other hand, for SSB#2 symbols, there is no scheduling restrictions.</w:t>
      </w:r>
    </w:p>
    <w:p>
      <w:pPr>
        <w:spacing w:before="120" w:after="120"/>
        <w:rPr>
          <w:iCs/>
          <w:sz w:val="20"/>
        </w:rPr>
      </w:pPr>
      <w:r>
        <w:rPr>
          <w:iCs/>
          <w:sz w:val="20"/>
        </w:rPr>
        <w:t xml:space="preserve">In our view, given different channel condition/ UE position/and random XR traffic, a dynamic way to indicate SSB symbols to be measured (with scheduling restriction) {e.g., SSB#0, SSB#1, SSB#3}, and SSB symbols </w:t>
      </w:r>
      <w:r>
        <w:rPr>
          <w:iCs/>
          <w:sz w:val="20"/>
          <w:u w:val="single"/>
        </w:rPr>
        <w:t xml:space="preserve">not to be measured </w:t>
      </w:r>
      <w:r>
        <w:rPr>
          <w:iCs/>
          <w:sz w:val="20"/>
        </w:rPr>
        <w:t xml:space="preserve">(without scheduling restriction) can potentially improve XR capacity. </w:t>
      </w:r>
    </w:p>
    <w:p>
      <w:pPr>
        <w:spacing w:before="120" w:after="120"/>
        <w:jc w:val="center"/>
        <w:rPr>
          <w:iCs/>
        </w:rPr>
      </w:pPr>
      <w:r>
        <w:drawing>
          <wp:inline distT="0" distB="0" distL="0" distR="0">
            <wp:extent cx="4255770" cy="144780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5577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/>
        <w:jc w:val="center"/>
        <w:rPr>
          <w:iCs/>
        </w:rPr>
      </w:pPr>
      <w:r>
        <w:rPr>
          <w:rFonts w:hint="eastAsia"/>
          <w:iCs/>
        </w:rPr>
        <w:t xml:space="preserve">Figure 6 </w:t>
      </w:r>
      <w:r>
        <w:rPr>
          <w:iCs/>
        </w:rPr>
        <w:t>Legacy RRC signaling indicates SSB symbols to be measured</w:t>
      </w:r>
      <w:r>
        <w:rPr>
          <w:iCs/>
        </w:rPr>
        <w:cr/>
      </w:r>
    </w:p>
    <w:p>
      <w:pPr>
        <w:spacing w:before="120" w:after="120"/>
        <w:rPr>
          <w:sz w:val="20"/>
        </w:rPr>
      </w:pPr>
      <w:r>
        <w:rPr>
          <w:rFonts w:hint="eastAsia"/>
          <w:sz w:val="20"/>
        </w:rPr>
        <w:t>On the other hand, considering the timeline of dynamic solution to enable Tx/Rx in gap/restriction, if one part of gap/restriction does not satisfy the timeline requirement of the dynamic signaling, while remaining gap/restriction is after the application delay of the dynamic signaling, we think that the former part of gap/restriction can be retained for measurement and the other partial of gap/restriction can be canceled/skipped.</w:t>
      </w:r>
    </w:p>
    <w:p>
      <w:pPr>
        <w:pStyle w:val="63"/>
        <w:spacing w:before="120" w:after="120"/>
        <w:jc w:val="both"/>
        <w:rPr>
          <w:lang w:val="en-US" w:eastAsia="zh-CN"/>
        </w:rPr>
      </w:pPr>
      <w:bookmarkStart w:id="4" w:name="_Toc23978"/>
      <w:r>
        <w:rPr>
          <w:rFonts w:hint="eastAsia"/>
          <w:lang w:val="en-US" w:eastAsia="zh-CN"/>
        </w:rPr>
        <w:t>T</w:t>
      </w:r>
      <w:r>
        <w:rPr>
          <w:lang w:val="en-US"/>
        </w:rPr>
        <w:t>he case where an occasion(s) of gap/restrictions that are caused by RRM measurements are canceled/skipped partially</w:t>
      </w:r>
      <w:r>
        <w:rPr>
          <w:rFonts w:hint="eastAsia"/>
          <w:lang w:val="en-US" w:eastAsia="zh-CN"/>
        </w:rPr>
        <w:t xml:space="preserve"> should not be excluded.</w:t>
      </w:r>
      <w:bookmarkEnd w:id="4"/>
    </w:p>
    <w:p>
      <w:pPr>
        <w:pStyle w:val="63"/>
        <w:spacing w:before="120" w:after="120"/>
        <w:jc w:val="both"/>
        <w:rPr>
          <w:lang w:val="en-US" w:eastAsia="zh-CN"/>
        </w:rPr>
      </w:pPr>
      <w:bookmarkStart w:id="5" w:name="_Toc26577"/>
      <w:r>
        <w:rPr>
          <w:rFonts w:hint="eastAsia"/>
          <w:lang w:val="en-US" w:eastAsia="zh-CN"/>
        </w:rPr>
        <w:t xml:space="preserve">Study how to support </w:t>
      </w:r>
      <w:r>
        <w:rPr>
          <w:lang w:val="en-US"/>
        </w:rPr>
        <w:t>the case where an occasion(s) of SMTC/restrictions that are caused by RRM measurements are canceled/skipped partially</w:t>
      </w:r>
      <w:r>
        <w:rPr>
          <w:rFonts w:hint="eastAsia"/>
          <w:lang w:val="en-US" w:eastAsia="zh-CN"/>
        </w:rPr>
        <w:t>.</w:t>
      </w:r>
      <w:bookmarkEnd w:id="5"/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 xml:space="preserve">Assistance information report </w:t>
      </w:r>
      <w:r>
        <w:rPr>
          <w:rFonts w:eastAsia="宋体"/>
        </w:rPr>
        <w:t xml:space="preserve"> </w:t>
      </w:r>
      <w:bookmarkStart w:id="6" w:name="_Toc29089"/>
      <w:bookmarkEnd w:id="6"/>
      <w:bookmarkStart w:id="7" w:name="_Toc29400"/>
      <w:bookmarkEnd w:id="7"/>
      <w:bookmarkStart w:id="8" w:name="_Toc525"/>
      <w:bookmarkEnd w:id="8"/>
      <w:bookmarkStart w:id="9" w:name="_Toc82"/>
      <w:bookmarkEnd w:id="9"/>
    </w:p>
    <w:p>
      <w:pPr>
        <w:spacing w:before="120" w:after="120"/>
      </w:pPr>
      <w:r>
        <w:rPr>
          <w:rFonts w:hint="eastAsia"/>
        </w:rPr>
        <w:t xml:space="preserve">In current specification [4], measurement results can be reported to gNB. For example, for the intra/inter-frequency measurement, UE may report </w:t>
      </w:r>
      <w:r>
        <w:rPr>
          <w:rFonts w:hint="eastAsia"/>
          <w:i/>
          <w:iCs/>
        </w:rPr>
        <w:t xml:space="preserve">MeasResults </w:t>
      </w:r>
      <w:r>
        <w:rPr>
          <w:rFonts w:hint="eastAsia"/>
        </w:rPr>
        <w:t xml:space="preserve">in the message </w:t>
      </w:r>
      <w:r>
        <w:rPr>
          <w:rFonts w:hint="eastAsia"/>
          <w:i/>
          <w:iCs/>
        </w:rPr>
        <w:t>MeasurementReport</w:t>
      </w:r>
      <w:r>
        <w:rPr>
          <w:rFonts w:hint="eastAsia"/>
        </w:rPr>
        <w:t xml:space="preserve"> to gNB. Basically network can get information of the quality of serving cell(s)/neighbour cell(s). For enabling Tx/Rx in gap/restriction, the necessity of additional assistance information may be considered. For instances, if UE is moving close to a neighbour cell, it likely need RRM measurement for preparing procedure of handover, with being aware of the movement information of UE, gNB knows not indicate UE to skip next MG/restriction.</w:t>
      </w:r>
    </w:p>
    <w:p>
      <w:pPr>
        <w:pStyle w:val="63"/>
        <w:spacing w:before="120" w:after="120"/>
        <w:jc w:val="both"/>
        <w:rPr>
          <w:lang w:val="en-US" w:eastAsia="zh-CN"/>
        </w:rPr>
      </w:pPr>
      <w:bookmarkStart w:id="10" w:name="_Toc27463"/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upport to report UE assistance information, including e.g., movement information of UE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for gNB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 xml:space="preserve">implementation of </w:t>
      </w:r>
      <w:r>
        <w:rPr>
          <w:rFonts w:hint="eastAsia"/>
          <w:lang w:val="en-US" w:eastAsia="zh-CN"/>
        </w:rPr>
        <w:t>indication/triggering.</w:t>
      </w:r>
      <w:bookmarkEnd w:id="10"/>
      <w:r>
        <w:rPr>
          <w:rFonts w:hint="eastAsia"/>
          <w:lang w:val="en-US" w:eastAsia="zh-CN"/>
        </w:rPr>
        <w:t xml:space="preserve"> </w:t>
      </w:r>
    </w:p>
    <w:p>
      <w:pPr>
        <w:spacing w:before="120" w:after="120"/>
      </w:pPr>
      <w:r>
        <w:rPr>
          <w:rFonts w:hint="eastAsia"/>
        </w:rPr>
        <w:t>Last but not least, the assistance information is reported to the gNB so that gNB collects more knowledge for making rules/decision of indication/triggering. It is clarified this is not UE initiated solution.</w:t>
      </w:r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eastAsia="宋体"/>
        </w:rPr>
        <w:t>Conclusion</w:t>
      </w:r>
    </w:p>
    <w:p>
      <w:pPr>
        <w:spacing w:before="120" w:after="120"/>
      </w:pPr>
      <w:r>
        <w:rPr>
          <w:rFonts w:hint="eastAsia"/>
        </w:rPr>
        <w:t>In this contribution, we have the following observations/proposals:</w:t>
      </w:r>
    </w:p>
    <w:p>
      <w:pPr>
        <w:pStyle w:val="20"/>
        <w:tabs>
          <w:tab w:val="right" w:leader="dot" w:pos="9660"/>
          <w:tab w:val="clear" w:pos="0"/>
        </w:tabs>
        <w:spacing w:before="120" w:after="120"/>
        <w:jc w:val="both"/>
      </w:pPr>
      <w:r>
        <w:rPr>
          <w:i w:val="0"/>
          <w:iCs w:val="0"/>
          <w:sz w:val="21"/>
          <w:szCs w:val="22"/>
          <w:highlight w:val="yellow"/>
        </w:rPr>
        <w:fldChar w:fldCharType="begin"/>
      </w:r>
      <w:r>
        <w:rPr>
          <w:i w:val="0"/>
          <w:iCs w:val="0"/>
          <w:sz w:val="21"/>
          <w:szCs w:val="22"/>
          <w:highlight w:val="yellow"/>
        </w:rPr>
        <w:instrText xml:space="preserve">TOC \n  \t "YJ-Observation,1,sub-observation,2,3rd level observation,3" \h</w:instrText>
      </w:r>
      <w:r>
        <w:rPr>
          <w:i w:val="0"/>
          <w:iCs w:val="0"/>
          <w:sz w:val="21"/>
          <w:szCs w:val="22"/>
          <w:highlight w:val="yellow"/>
        </w:rPr>
        <w:fldChar w:fldCharType="separate"/>
      </w:r>
      <w:r>
        <w:fldChar w:fldCharType="begin"/>
      </w:r>
      <w:r>
        <w:instrText xml:space="preserve"> HYPERLINK \l "_Toc27285" </w:instrText>
      </w:r>
      <w:r>
        <w:fldChar w:fldCharType="separate"/>
      </w:r>
      <w:r>
        <w:t xml:space="preserve">Observation 1: </w:t>
      </w:r>
      <w:r>
        <w:rPr>
          <w:rFonts w:hint="eastAsia"/>
        </w:rPr>
        <w:t xml:space="preserve">The delay for indicating </w:t>
      </w:r>
      <w:r>
        <w:t>to enable Tx/Rx in</w:t>
      </w:r>
      <w:r>
        <w:rPr>
          <w:rFonts w:hint="eastAsia"/>
        </w:rPr>
        <w:t xml:space="preserve"> </w:t>
      </w:r>
      <w:r>
        <w:t>gap(s)/restriction(s)</w:t>
      </w:r>
      <w:r>
        <w:rPr>
          <w:rFonts w:hint="eastAsia"/>
        </w:rPr>
        <w:t xml:space="preserve"> via DCI is shorter than the delay through MAC CE signaling.</w:t>
      </w:r>
      <w:r>
        <w:rPr>
          <w:rFonts w:hint="eastAsia"/>
        </w:rPr>
        <w:fldChar w:fldCharType="end"/>
      </w:r>
    </w:p>
    <w:p>
      <w:pPr>
        <w:spacing w:before="120" w:after="120"/>
        <w:jc w:val="both"/>
        <w:rPr>
          <w:highlight w:val="yellow"/>
        </w:rPr>
      </w:pPr>
      <w:r>
        <w:rPr>
          <w:szCs w:val="22"/>
          <w:highlight w:val="yellow"/>
        </w:rPr>
        <w:fldChar w:fldCharType="end"/>
      </w:r>
    </w:p>
    <w:p>
      <w:pPr>
        <w:pStyle w:val="20"/>
        <w:tabs>
          <w:tab w:val="right" w:leader="dot" w:pos="9660"/>
          <w:tab w:val="clear" w:pos="0"/>
        </w:tabs>
        <w:spacing w:before="120" w:after="120"/>
        <w:jc w:val="both"/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TOC \n  \t "YJ-Proposal,1,sub-proposal,2,3rd level proposal,3" \h</w:instrText>
      </w:r>
      <w:r>
        <w:rPr>
          <w:highlight w:val="yellow"/>
        </w:rPr>
        <w:fldChar w:fldCharType="separate"/>
      </w:r>
      <w:r>
        <w:fldChar w:fldCharType="begin"/>
      </w:r>
      <w:r>
        <w:instrText xml:space="preserve"> HYPERLINK \l "_Toc20755" </w:instrText>
      </w:r>
      <w:r>
        <w:fldChar w:fldCharType="separate"/>
      </w:r>
      <w:r>
        <w:t xml:space="preserve">Proposal 1: </w:t>
      </w:r>
      <w:r>
        <w:rPr>
          <w:rFonts w:hint="eastAsia"/>
        </w:rPr>
        <w:t>Specify dynamic solutions to enable Tx/Rx in particular gap(s)/restriction(s) that are caused by RRM measurements.</w:t>
      </w:r>
      <w:r>
        <w:rPr>
          <w:rFonts w:hint="eastAsia"/>
        </w:rPr>
        <w:fldChar w:fldCharType="end"/>
      </w:r>
      <w:bookmarkStart w:id="11" w:name="_GoBack"/>
      <w:bookmarkEnd w:id="11"/>
    </w:p>
    <w:p>
      <w:pPr>
        <w:pStyle w:val="20"/>
        <w:tabs>
          <w:tab w:val="right" w:leader="dot" w:pos="9660"/>
          <w:tab w:val="clear" w:pos="0"/>
        </w:tabs>
        <w:spacing w:before="120" w:after="120"/>
        <w:jc w:val="both"/>
      </w:pPr>
      <w:r>
        <w:fldChar w:fldCharType="begin"/>
      </w:r>
      <w:r>
        <w:instrText xml:space="preserve"> HYPERLINK \l "_Toc14561" </w:instrText>
      </w:r>
      <w:r>
        <w:fldChar w:fldCharType="separate"/>
      </w:r>
      <w:r>
        <w:t xml:space="preserve">Proposal 2: </w:t>
      </w:r>
      <w:r>
        <w:rPr>
          <w:rFonts w:hint="eastAsia"/>
        </w:rPr>
        <w:t>At least support Alt 1: Dynamic indication to enable Tx/Rx in particular gap(s)/restriction(s) that are caused by RRM measurements.</w:t>
      </w:r>
      <w:r>
        <w:rPr>
          <w:rFonts w:hint="eastAsia"/>
        </w:rPr>
        <w:fldChar w:fldCharType="end"/>
      </w:r>
    </w:p>
    <w:p>
      <w:pPr>
        <w:pStyle w:val="20"/>
        <w:tabs>
          <w:tab w:val="right" w:leader="dot" w:pos="9660"/>
          <w:tab w:val="clear" w:pos="0"/>
        </w:tabs>
        <w:spacing w:before="120" w:after="120"/>
        <w:jc w:val="both"/>
      </w:pPr>
      <w:r>
        <w:fldChar w:fldCharType="begin"/>
      </w:r>
      <w:r>
        <w:instrText xml:space="preserve"> HYPERLINK \l "_Toc1704" </w:instrText>
      </w:r>
      <w:r>
        <w:fldChar w:fldCharType="separate"/>
      </w:r>
      <w:r>
        <w:t xml:space="preserve">Proposal 3: </w:t>
      </w:r>
      <w:r>
        <w:rPr>
          <w:rFonts w:hint="eastAsia"/>
        </w:rPr>
        <w:t>Further study the feasibility of Alt 2, and de-prioritize Alt 4.</w:t>
      </w:r>
      <w:r>
        <w:rPr>
          <w:rFonts w:hint="eastAsia"/>
        </w:rPr>
        <w:fldChar w:fldCharType="end"/>
      </w:r>
    </w:p>
    <w:p>
      <w:pPr>
        <w:pStyle w:val="20"/>
        <w:tabs>
          <w:tab w:val="right" w:leader="dot" w:pos="9660"/>
          <w:tab w:val="clear" w:pos="0"/>
        </w:tabs>
        <w:spacing w:before="120" w:after="120"/>
        <w:jc w:val="both"/>
      </w:pPr>
      <w:r>
        <w:fldChar w:fldCharType="begin"/>
      </w:r>
      <w:r>
        <w:instrText xml:space="preserve"> HYPERLINK \l "_Toc23978" </w:instrText>
      </w:r>
      <w:r>
        <w:fldChar w:fldCharType="separate"/>
      </w:r>
      <w:r>
        <w:t xml:space="preserve">Proposal 4: </w:t>
      </w:r>
      <w:r>
        <w:rPr>
          <w:rFonts w:hint="eastAsia"/>
        </w:rPr>
        <w:t>T</w:t>
      </w:r>
      <w:r>
        <w:t>he case where an occasion(s) of gap/restrictions that are caused by RRM measurements are canceled/skipped partially</w:t>
      </w:r>
      <w:r>
        <w:rPr>
          <w:rFonts w:hint="eastAsia"/>
        </w:rPr>
        <w:t xml:space="preserve"> should not be excluded.</w:t>
      </w:r>
      <w:r>
        <w:rPr>
          <w:rFonts w:hint="eastAsia"/>
        </w:rPr>
        <w:fldChar w:fldCharType="end"/>
      </w:r>
    </w:p>
    <w:p>
      <w:pPr>
        <w:pStyle w:val="20"/>
        <w:tabs>
          <w:tab w:val="right" w:leader="dot" w:pos="9660"/>
          <w:tab w:val="clear" w:pos="0"/>
        </w:tabs>
        <w:spacing w:before="120" w:after="120"/>
        <w:jc w:val="both"/>
      </w:pPr>
      <w:r>
        <w:fldChar w:fldCharType="begin"/>
      </w:r>
      <w:r>
        <w:instrText xml:space="preserve"> HYPERLINK \l "_Toc26577" </w:instrText>
      </w:r>
      <w:r>
        <w:fldChar w:fldCharType="separate"/>
      </w:r>
      <w:r>
        <w:t xml:space="preserve">Proposal 5: </w:t>
      </w:r>
      <w:r>
        <w:rPr>
          <w:rFonts w:hint="eastAsia"/>
        </w:rPr>
        <w:t xml:space="preserve">Study how to support </w:t>
      </w:r>
      <w:r>
        <w:t>the case where an occasion(s) of SMTC/restrictions that are caused by RRM measurements are canceled/skipped partially</w:t>
      </w:r>
      <w:r>
        <w:rPr>
          <w:rFonts w:hint="eastAsia"/>
        </w:rPr>
        <w:t>.</w:t>
      </w:r>
      <w:r>
        <w:rPr>
          <w:rFonts w:hint="eastAsia"/>
        </w:rPr>
        <w:fldChar w:fldCharType="end"/>
      </w:r>
    </w:p>
    <w:p>
      <w:pPr>
        <w:pStyle w:val="20"/>
        <w:tabs>
          <w:tab w:val="right" w:leader="dot" w:pos="9660"/>
          <w:tab w:val="clear" w:pos="0"/>
        </w:tabs>
        <w:spacing w:before="120" w:after="120"/>
        <w:jc w:val="both"/>
      </w:pPr>
      <w:r>
        <w:fldChar w:fldCharType="begin"/>
      </w:r>
      <w:r>
        <w:instrText xml:space="preserve"> HYPERLINK \l "_Toc27463" </w:instrText>
      </w:r>
      <w:r>
        <w:fldChar w:fldCharType="separate"/>
      </w:r>
      <w:r>
        <w:t>Proposal 6: S</w:t>
      </w:r>
      <w:r>
        <w:rPr>
          <w:rFonts w:hint="eastAsia"/>
        </w:rPr>
        <w:t>upport to report UE assistance information, including e.g., movement information of UE</w:t>
      </w:r>
      <w:r>
        <w:t>,</w:t>
      </w:r>
      <w:r>
        <w:rPr>
          <w:rFonts w:hint="eastAsia"/>
        </w:rPr>
        <w:t xml:space="preserve"> for gNB</w:t>
      </w:r>
      <w:r>
        <w:t>’</w:t>
      </w:r>
      <w:r>
        <w:rPr>
          <w:rFonts w:hint="eastAsia"/>
        </w:rPr>
        <w:t xml:space="preserve">s </w:t>
      </w:r>
      <w:r>
        <w:t xml:space="preserve">implementation of </w:t>
      </w:r>
      <w:r>
        <w:rPr>
          <w:rFonts w:hint="eastAsia"/>
        </w:rPr>
        <w:t>indication/triggering.</w:t>
      </w:r>
      <w:r>
        <w:rPr>
          <w:rFonts w:hint="eastAsia"/>
        </w:rPr>
        <w:fldChar w:fldCharType="end"/>
      </w:r>
    </w:p>
    <w:p>
      <w:pPr>
        <w:spacing w:before="120" w:after="120"/>
        <w:jc w:val="both"/>
        <w:rPr>
          <w:highlight w:val="yellow"/>
        </w:rPr>
      </w:pPr>
      <w:r>
        <w:rPr>
          <w:highlight w:val="yellow"/>
        </w:rPr>
        <w:fldChar w:fldCharType="end"/>
      </w:r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>Reference</w:t>
      </w:r>
      <w:r>
        <w:rPr>
          <w:rFonts w:eastAsia="宋体"/>
        </w:rPr>
        <w:t>s</w:t>
      </w:r>
      <w:r>
        <w:rPr>
          <w:rFonts w:hint="eastAsia" w:eastAsia="宋体"/>
        </w:rPr>
        <w:tab/>
      </w:r>
    </w:p>
    <w:p>
      <w:pPr>
        <w:pStyle w:val="39"/>
        <w:spacing w:beforeLines="0" w:after="0" w:afterLines="0" w:line="240" w:lineRule="auto"/>
        <w:ind w:left="363" w:hanging="363"/>
      </w:pPr>
      <w:r>
        <w:rPr>
          <w:rFonts w:hint="eastAsia"/>
        </w:rPr>
        <w:t>RAN1 Chair</w:t>
      </w:r>
      <w:r>
        <w:t>’</w:t>
      </w:r>
      <w:r>
        <w:rPr>
          <w:rFonts w:hint="eastAsia"/>
        </w:rPr>
        <w:t>s Note, 3GPP TSG RAN WG1 #116, Athens, Greece, February 26th - March 1st, 2024.</w:t>
      </w:r>
    </w:p>
    <w:p>
      <w:pPr>
        <w:pStyle w:val="39"/>
        <w:spacing w:beforeLines="0" w:after="0" w:afterLines="0" w:line="240" w:lineRule="auto"/>
        <w:ind w:left="363" w:hanging="363"/>
      </w:pPr>
      <w:r>
        <w:rPr>
          <w:rFonts w:hint="eastAsia"/>
        </w:rPr>
        <w:t>3GPP TR 38.838, Study on XR (Extended Reality) Evaluations for NR.</w:t>
      </w:r>
    </w:p>
    <w:p>
      <w:pPr>
        <w:pStyle w:val="39"/>
        <w:spacing w:beforeLines="0" w:after="0" w:afterLines="0" w:line="240" w:lineRule="auto"/>
        <w:ind w:left="363" w:hanging="363"/>
      </w:pPr>
      <w:r>
        <w:rPr>
          <w:rFonts w:hint="eastAsia"/>
        </w:rPr>
        <w:t>TS 38.133, V18.3.0, User Equipment (UE) radio transmission and reception; Part 1: Range 1 Standalone (Release 18)</w:t>
      </w:r>
    </w:p>
    <w:p>
      <w:pPr>
        <w:pStyle w:val="39"/>
        <w:spacing w:beforeLines="0" w:after="0" w:afterLines="0" w:line="240" w:lineRule="auto"/>
        <w:ind w:left="363" w:hanging="363"/>
      </w:pPr>
      <w:r>
        <w:rPr>
          <w:rFonts w:hint="eastAsia"/>
        </w:rPr>
        <w:t>TS 38.331, V18.0.0, Radio Resource Control (RRC) protocol specification (Release 18)</w:t>
      </w:r>
    </w:p>
    <w:p>
      <w:pPr>
        <w:pStyle w:val="39"/>
        <w:numPr>
          <w:ilvl w:val="0"/>
          <w:numId w:val="0"/>
        </w:numPr>
        <w:spacing w:before="120" w:after="120"/>
      </w:pPr>
    </w:p>
    <w:p>
      <w:pPr>
        <w:pStyle w:val="39"/>
        <w:numPr>
          <w:ilvl w:val="0"/>
          <w:numId w:val="0"/>
        </w:numPr>
        <w:spacing w:before="120" w:after="120"/>
        <w:rPr>
          <w:color w:val="FF0000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8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23.1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aKXbD0QAAAAIBAAAPAAAAAAAAAAEAIAAAACIAAABkcnMvZG93bnJldi54bWxQ&#10;SwECFAAUAAAACACHTuJA/UKmI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34B193"/>
    <w:multiLevelType w:val="singleLevel"/>
    <w:tmpl w:val="AB34B193"/>
    <w:lvl w:ilvl="0" w:tentative="0">
      <w:start w:val="1"/>
      <w:numFmt w:val="decimal"/>
      <w:pStyle w:val="6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</w:abstractNum>
  <w:abstractNum w:abstractNumId="1">
    <w:nsid w:val="BD0CA652"/>
    <w:multiLevelType w:val="multilevel"/>
    <w:tmpl w:val="BD0CA652"/>
    <w:lvl w:ilvl="0" w:tentative="0">
      <w:start w:val="1"/>
      <w:numFmt w:val="decimal"/>
      <w:pStyle w:val="63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4962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2977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2E3A1262"/>
    <w:multiLevelType w:val="multilevel"/>
    <w:tmpl w:val="2E3A1262"/>
    <w:lvl w:ilvl="0" w:tentative="0">
      <w:start w:val="150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7FC4D35"/>
    <w:multiLevelType w:val="multilevel"/>
    <w:tmpl w:val="47FC4D3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C33"/>
    <w:rsid w:val="00050423"/>
    <w:rsid w:val="00051F4E"/>
    <w:rsid w:val="000529AC"/>
    <w:rsid w:val="00062202"/>
    <w:rsid w:val="00072FB0"/>
    <w:rsid w:val="00093DF3"/>
    <w:rsid w:val="000A15BE"/>
    <w:rsid w:val="000C1A96"/>
    <w:rsid w:val="000D0462"/>
    <w:rsid w:val="000E2433"/>
    <w:rsid w:val="000E3EA5"/>
    <w:rsid w:val="000F28CA"/>
    <w:rsid w:val="00103906"/>
    <w:rsid w:val="00142961"/>
    <w:rsid w:val="001470AA"/>
    <w:rsid w:val="00153BF7"/>
    <w:rsid w:val="0016113B"/>
    <w:rsid w:val="001632AB"/>
    <w:rsid w:val="00172A27"/>
    <w:rsid w:val="001754AE"/>
    <w:rsid w:val="0018732E"/>
    <w:rsid w:val="00191912"/>
    <w:rsid w:val="00195F46"/>
    <w:rsid w:val="001B3634"/>
    <w:rsid w:val="001C1894"/>
    <w:rsid w:val="001C196F"/>
    <w:rsid w:val="001D1287"/>
    <w:rsid w:val="001E125B"/>
    <w:rsid w:val="001E262F"/>
    <w:rsid w:val="001F1BB1"/>
    <w:rsid w:val="001F415E"/>
    <w:rsid w:val="001F6E58"/>
    <w:rsid w:val="0020406B"/>
    <w:rsid w:val="00212872"/>
    <w:rsid w:val="00216169"/>
    <w:rsid w:val="002240E1"/>
    <w:rsid w:val="00224A1A"/>
    <w:rsid w:val="00227DF5"/>
    <w:rsid w:val="002320CA"/>
    <w:rsid w:val="002401EC"/>
    <w:rsid w:val="00243B44"/>
    <w:rsid w:val="00244ABB"/>
    <w:rsid w:val="00247A67"/>
    <w:rsid w:val="00251814"/>
    <w:rsid w:val="00256B05"/>
    <w:rsid w:val="00261C72"/>
    <w:rsid w:val="0026766E"/>
    <w:rsid w:val="002748A9"/>
    <w:rsid w:val="00282069"/>
    <w:rsid w:val="002B4661"/>
    <w:rsid w:val="002C4448"/>
    <w:rsid w:val="002C68AC"/>
    <w:rsid w:val="002C7CCD"/>
    <w:rsid w:val="002E7D83"/>
    <w:rsid w:val="002F037D"/>
    <w:rsid w:val="002F0E7A"/>
    <w:rsid w:val="002F2535"/>
    <w:rsid w:val="002F5687"/>
    <w:rsid w:val="002F5A8D"/>
    <w:rsid w:val="00302F20"/>
    <w:rsid w:val="00303936"/>
    <w:rsid w:val="00314748"/>
    <w:rsid w:val="00316046"/>
    <w:rsid w:val="00317501"/>
    <w:rsid w:val="00322EE2"/>
    <w:rsid w:val="00325902"/>
    <w:rsid w:val="003275A3"/>
    <w:rsid w:val="00332D30"/>
    <w:rsid w:val="0033573E"/>
    <w:rsid w:val="00335FF9"/>
    <w:rsid w:val="0034009F"/>
    <w:rsid w:val="00340631"/>
    <w:rsid w:val="00343CE4"/>
    <w:rsid w:val="00344E48"/>
    <w:rsid w:val="003466BB"/>
    <w:rsid w:val="0035253F"/>
    <w:rsid w:val="00361D52"/>
    <w:rsid w:val="003704FF"/>
    <w:rsid w:val="00370D7F"/>
    <w:rsid w:val="00372A00"/>
    <w:rsid w:val="00373667"/>
    <w:rsid w:val="00376E4B"/>
    <w:rsid w:val="00376EEB"/>
    <w:rsid w:val="003872BB"/>
    <w:rsid w:val="00396F31"/>
    <w:rsid w:val="00397BA3"/>
    <w:rsid w:val="003A1DCE"/>
    <w:rsid w:val="003A31B3"/>
    <w:rsid w:val="003A4365"/>
    <w:rsid w:val="003A6BBE"/>
    <w:rsid w:val="003A7EAD"/>
    <w:rsid w:val="003B53DF"/>
    <w:rsid w:val="003D44C6"/>
    <w:rsid w:val="003F7415"/>
    <w:rsid w:val="004003D2"/>
    <w:rsid w:val="00417C55"/>
    <w:rsid w:val="004209E1"/>
    <w:rsid w:val="0042238B"/>
    <w:rsid w:val="00424C58"/>
    <w:rsid w:val="00450C17"/>
    <w:rsid w:val="004527B1"/>
    <w:rsid w:val="004545A5"/>
    <w:rsid w:val="004608F6"/>
    <w:rsid w:val="004724B4"/>
    <w:rsid w:val="00472B06"/>
    <w:rsid w:val="00477655"/>
    <w:rsid w:val="0048120F"/>
    <w:rsid w:val="00482706"/>
    <w:rsid w:val="00490434"/>
    <w:rsid w:val="004A142B"/>
    <w:rsid w:val="004A5D1D"/>
    <w:rsid w:val="004A699E"/>
    <w:rsid w:val="004B44A9"/>
    <w:rsid w:val="004C1A54"/>
    <w:rsid w:val="004F5994"/>
    <w:rsid w:val="00500F45"/>
    <w:rsid w:val="00503921"/>
    <w:rsid w:val="00507A00"/>
    <w:rsid w:val="005176E7"/>
    <w:rsid w:val="00523589"/>
    <w:rsid w:val="00523668"/>
    <w:rsid w:val="00523AD9"/>
    <w:rsid w:val="00523D5E"/>
    <w:rsid w:val="00527033"/>
    <w:rsid w:val="00531B5B"/>
    <w:rsid w:val="00532500"/>
    <w:rsid w:val="005349A5"/>
    <w:rsid w:val="00541B22"/>
    <w:rsid w:val="00546436"/>
    <w:rsid w:val="00547723"/>
    <w:rsid w:val="00564BCB"/>
    <w:rsid w:val="00572F6E"/>
    <w:rsid w:val="00574776"/>
    <w:rsid w:val="0058526A"/>
    <w:rsid w:val="0059321F"/>
    <w:rsid w:val="00593818"/>
    <w:rsid w:val="005A05C6"/>
    <w:rsid w:val="005A0FE9"/>
    <w:rsid w:val="005B77A5"/>
    <w:rsid w:val="005C6B42"/>
    <w:rsid w:val="005D6A1C"/>
    <w:rsid w:val="005E2C89"/>
    <w:rsid w:val="005F26E5"/>
    <w:rsid w:val="00611232"/>
    <w:rsid w:val="00614E28"/>
    <w:rsid w:val="00617327"/>
    <w:rsid w:val="00617EE7"/>
    <w:rsid w:val="00620288"/>
    <w:rsid w:val="00620D7C"/>
    <w:rsid w:val="006231ED"/>
    <w:rsid w:val="00624C23"/>
    <w:rsid w:val="00633E43"/>
    <w:rsid w:val="00637D11"/>
    <w:rsid w:val="00640B94"/>
    <w:rsid w:val="00642298"/>
    <w:rsid w:val="00646EAA"/>
    <w:rsid w:val="006501AA"/>
    <w:rsid w:val="006536B8"/>
    <w:rsid w:val="00654F58"/>
    <w:rsid w:val="00676C72"/>
    <w:rsid w:val="00680FFF"/>
    <w:rsid w:val="00691376"/>
    <w:rsid w:val="006922EF"/>
    <w:rsid w:val="00694EF8"/>
    <w:rsid w:val="00694FB9"/>
    <w:rsid w:val="006C2229"/>
    <w:rsid w:val="006C55B1"/>
    <w:rsid w:val="006C69C1"/>
    <w:rsid w:val="006D11DE"/>
    <w:rsid w:val="006D3D89"/>
    <w:rsid w:val="006D6D9B"/>
    <w:rsid w:val="006E01C3"/>
    <w:rsid w:val="006F4852"/>
    <w:rsid w:val="00700636"/>
    <w:rsid w:val="00701BF9"/>
    <w:rsid w:val="007036F7"/>
    <w:rsid w:val="0070691A"/>
    <w:rsid w:val="0070693A"/>
    <w:rsid w:val="0071249F"/>
    <w:rsid w:val="007127F4"/>
    <w:rsid w:val="00717A38"/>
    <w:rsid w:val="0073053B"/>
    <w:rsid w:val="00735DC1"/>
    <w:rsid w:val="007427BB"/>
    <w:rsid w:val="007440A2"/>
    <w:rsid w:val="007440C5"/>
    <w:rsid w:val="00745143"/>
    <w:rsid w:val="00747C56"/>
    <w:rsid w:val="007501AC"/>
    <w:rsid w:val="00757BF5"/>
    <w:rsid w:val="00762F1B"/>
    <w:rsid w:val="0076682E"/>
    <w:rsid w:val="0077581A"/>
    <w:rsid w:val="0077761A"/>
    <w:rsid w:val="00784828"/>
    <w:rsid w:val="00785A2A"/>
    <w:rsid w:val="00786A2C"/>
    <w:rsid w:val="00787FA9"/>
    <w:rsid w:val="007A0CD8"/>
    <w:rsid w:val="007B0FD9"/>
    <w:rsid w:val="007B458B"/>
    <w:rsid w:val="007C4328"/>
    <w:rsid w:val="007C440F"/>
    <w:rsid w:val="007E4A23"/>
    <w:rsid w:val="007E5930"/>
    <w:rsid w:val="007F39F4"/>
    <w:rsid w:val="00802A15"/>
    <w:rsid w:val="00810C42"/>
    <w:rsid w:val="00816EF3"/>
    <w:rsid w:val="008266C4"/>
    <w:rsid w:val="008412CD"/>
    <w:rsid w:val="0084332A"/>
    <w:rsid w:val="00847621"/>
    <w:rsid w:val="00852635"/>
    <w:rsid w:val="0085443B"/>
    <w:rsid w:val="00857E93"/>
    <w:rsid w:val="008652E8"/>
    <w:rsid w:val="00870679"/>
    <w:rsid w:val="00870A85"/>
    <w:rsid w:val="00870E40"/>
    <w:rsid w:val="00886E49"/>
    <w:rsid w:val="00886EA7"/>
    <w:rsid w:val="00892B4C"/>
    <w:rsid w:val="00893268"/>
    <w:rsid w:val="0089344F"/>
    <w:rsid w:val="00894520"/>
    <w:rsid w:val="008A72B5"/>
    <w:rsid w:val="008B3130"/>
    <w:rsid w:val="008B547D"/>
    <w:rsid w:val="008B5C48"/>
    <w:rsid w:val="008B7F10"/>
    <w:rsid w:val="008C0445"/>
    <w:rsid w:val="008F255E"/>
    <w:rsid w:val="008F3DC8"/>
    <w:rsid w:val="00903A35"/>
    <w:rsid w:val="00922624"/>
    <w:rsid w:val="00923BDA"/>
    <w:rsid w:val="0093617A"/>
    <w:rsid w:val="009411A5"/>
    <w:rsid w:val="00946A7C"/>
    <w:rsid w:val="00950DB1"/>
    <w:rsid w:val="00952C83"/>
    <w:rsid w:val="00957418"/>
    <w:rsid w:val="009610C6"/>
    <w:rsid w:val="0096194F"/>
    <w:rsid w:val="00966E7D"/>
    <w:rsid w:val="00970630"/>
    <w:rsid w:val="00971A1F"/>
    <w:rsid w:val="009734B7"/>
    <w:rsid w:val="00983FE2"/>
    <w:rsid w:val="00986B97"/>
    <w:rsid w:val="00994A41"/>
    <w:rsid w:val="009A380A"/>
    <w:rsid w:val="009A3A36"/>
    <w:rsid w:val="009A4F31"/>
    <w:rsid w:val="009B05AD"/>
    <w:rsid w:val="009B18A3"/>
    <w:rsid w:val="009B5557"/>
    <w:rsid w:val="009D6400"/>
    <w:rsid w:val="009D7770"/>
    <w:rsid w:val="009D7C12"/>
    <w:rsid w:val="009E0B10"/>
    <w:rsid w:val="009F65A8"/>
    <w:rsid w:val="009F7747"/>
    <w:rsid w:val="00A05A33"/>
    <w:rsid w:val="00A14F22"/>
    <w:rsid w:val="00A171E5"/>
    <w:rsid w:val="00A17810"/>
    <w:rsid w:val="00A21523"/>
    <w:rsid w:val="00A26720"/>
    <w:rsid w:val="00A33BD9"/>
    <w:rsid w:val="00A40C3F"/>
    <w:rsid w:val="00A4182C"/>
    <w:rsid w:val="00A50B2A"/>
    <w:rsid w:val="00A51CDD"/>
    <w:rsid w:val="00A54A48"/>
    <w:rsid w:val="00A551E2"/>
    <w:rsid w:val="00A56849"/>
    <w:rsid w:val="00A656E5"/>
    <w:rsid w:val="00A809DB"/>
    <w:rsid w:val="00A86EB5"/>
    <w:rsid w:val="00A91773"/>
    <w:rsid w:val="00A92854"/>
    <w:rsid w:val="00A92CA8"/>
    <w:rsid w:val="00A94652"/>
    <w:rsid w:val="00AA1889"/>
    <w:rsid w:val="00AB0AAF"/>
    <w:rsid w:val="00AB251B"/>
    <w:rsid w:val="00AB5108"/>
    <w:rsid w:val="00AB6D34"/>
    <w:rsid w:val="00AC24BF"/>
    <w:rsid w:val="00AC5F8D"/>
    <w:rsid w:val="00AD56C4"/>
    <w:rsid w:val="00AD7FE5"/>
    <w:rsid w:val="00AE18E8"/>
    <w:rsid w:val="00AE5530"/>
    <w:rsid w:val="00B031EF"/>
    <w:rsid w:val="00B11405"/>
    <w:rsid w:val="00B138E9"/>
    <w:rsid w:val="00B179E3"/>
    <w:rsid w:val="00B245AA"/>
    <w:rsid w:val="00B34FF8"/>
    <w:rsid w:val="00B43645"/>
    <w:rsid w:val="00B46502"/>
    <w:rsid w:val="00B54730"/>
    <w:rsid w:val="00B56091"/>
    <w:rsid w:val="00B60F6C"/>
    <w:rsid w:val="00B663FA"/>
    <w:rsid w:val="00B76824"/>
    <w:rsid w:val="00B81C3C"/>
    <w:rsid w:val="00B87AB7"/>
    <w:rsid w:val="00BA72B7"/>
    <w:rsid w:val="00BA7674"/>
    <w:rsid w:val="00BB08C4"/>
    <w:rsid w:val="00BD72A5"/>
    <w:rsid w:val="00BE22EC"/>
    <w:rsid w:val="00BE5D22"/>
    <w:rsid w:val="00BF526E"/>
    <w:rsid w:val="00BF743C"/>
    <w:rsid w:val="00C07C74"/>
    <w:rsid w:val="00C12784"/>
    <w:rsid w:val="00C16276"/>
    <w:rsid w:val="00C2142E"/>
    <w:rsid w:val="00C22FCF"/>
    <w:rsid w:val="00C2334E"/>
    <w:rsid w:val="00C2713A"/>
    <w:rsid w:val="00C31212"/>
    <w:rsid w:val="00C34FD0"/>
    <w:rsid w:val="00C625E3"/>
    <w:rsid w:val="00C636E5"/>
    <w:rsid w:val="00C67AE3"/>
    <w:rsid w:val="00C76271"/>
    <w:rsid w:val="00C829B3"/>
    <w:rsid w:val="00C855D2"/>
    <w:rsid w:val="00C922BC"/>
    <w:rsid w:val="00C925E7"/>
    <w:rsid w:val="00CA09F5"/>
    <w:rsid w:val="00CA152B"/>
    <w:rsid w:val="00CB03D7"/>
    <w:rsid w:val="00CB046A"/>
    <w:rsid w:val="00CB7FB3"/>
    <w:rsid w:val="00CC01B0"/>
    <w:rsid w:val="00CC11A8"/>
    <w:rsid w:val="00CD5E4A"/>
    <w:rsid w:val="00CD62C4"/>
    <w:rsid w:val="00CE32ED"/>
    <w:rsid w:val="00CF0062"/>
    <w:rsid w:val="00CF25E8"/>
    <w:rsid w:val="00CF4293"/>
    <w:rsid w:val="00D06F00"/>
    <w:rsid w:val="00D14578"/>
    <w:rsid w:val="00D24465"/>
    <w:rsid w:val="00D27BF8"/>
    <w:rsid w:val="00D30D70"/>
    <w:rsid w:val="00D30FF6"/>
    <w:rsid w:val="00D54F1B"/>
    <w:rsid w:val="00D57D7B"/>
    <w:rsid w:val="00D60DA9"/>
    <w:rsid w:val="00D701BB"/>
    <w:rsid w:val="00D714E2"/>
    <w:rsid w:val="00D7289E"/>
    <w:rsid w:val="00D82051"/>
    <w:rsid w:val="00D82CF5"/>
    <w:rsid w:val="00D838A0"/>
    <w:rsid w:val="00D871C4"/>
    <w:rsid w:val="00D8785A"/>
    <w:rsid w:val="00D91349"/>
    <w:rsid w:val="00D92E3B"/>
    <w:rsid w:val="00DB0E95"/>
    <w:rsid w:val="00DB12AD"/>
    <w:rsid w:val="00DC0C4F"/>
    <w:rsid w:val="00DC1213"/>
    <w:rsid w:val="00DC6E1E"/>
    <w:rsid w:val="00DC70F6"/>
    <w:rsid w:val="00DC724A"/>
    <w:rsid w:val="00DD5F49"/>
    <w:rsid w:val="00DF4482"/>
    <w:rsid w:val="00E05651"/>
    <w:rsid w:val="00E068AA"/>
    <w:rsid w:val="00E258FC"/>
    <w:rsid w:val="00E30348"/>
    <w:rsid w:val="00E339EA"/>
    <w:rsid w:val="00E52879"/>
    <w:rsid w:val="00E55791"/>
    <w:rsid w:val="00E56340"/>
    <w:rsid w:val="00E67009"/>
    <w:rsid w:val="00E704FD"/>
    <w:rsid w:val="00E74935"/>
    <w:rsid w:val="00E75D6F"/>
    <w:rsid w:val="00E8609B"/>
    <w:rsid w:val="00E92BF0"/>
    <w:rsid w:val="00E94718"/>
    <w:rsid w:val="00E95FFE"/>
    <w:rsid w:val="00EA0820"/>
    <w:rsid w:val="00EA3CF2"/>
    <w:rsid w:val="00EB70EA"/>
    <w:rsid w:val="00ED0DCA"/>
    <w:rsid w:val="00ED47A7"/>
    <w:rsid w:val="00EE1EE7"/>
    <w:rsid w:val="00F019E9"/>
    <w:rsid w:val="00F05DFC"/>
    <w:rsid w:val="00F072E8"/>
    <w:rsid w:val="00F11A02"/>
    <w:rsid w:val="00F143A1"/>
    <w:rsid w:val="00F1480F"/>
    <w:rsid w:val="00F179F3"/>
    <w:rsid w:val="00F2072B"/>
    <w:rsid w:val="00F34277"/>
    <w:rsid w:val="00F4372E"/>
    <w:rsid w:val="00F453FE"/>
    <w:rsid w:val="00F71825"/>
    <w:rsid w:val="00F80169"/>
    <w:rsid w:val="00F81514"/>
    <w:rsid w:val="00F82200"/>
    <w:rsid w:val="00F86352"/>
    <w:rsid w:val="00F87040"/>
    <w:rsid w:val="00F91979"/>
    <w:rsid w:val="00F95A32"/>
    <w:rsid w:val="00FA1BFE"/>
    <w:rsid w:val="00FA3FD9"/>
    <w:rsid w:val="00FA6AF6"/>
    <w:rsid w:val="00FA7D65"/>
    <w:rsid w:val="00FB593A"/>
    <w:rsid w:val="00FC20D8"/>
    <w:rsid w:val="00FC72FB"/>
    <w:rsid w:val="00FE0900"/>
    <w:rsid w:val="010D0267"/>
    <w:rsid w:val="010D6400"/>
    <w:rsid w:val="01116D56"/>
    <w:rsid w:val="011C7F2E"/>
    <w:rsid w:val="01466B34"/>
    <w:rsid w:val="015462A2"/>
    <w:rsid w:val="01804EE8"/>
    <w:rsid w:val="01864AED"/>
    <w:rsid w:val="01881F56"/>
    <w:rsid w:val="01B74129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3E4DC6"/>
    <w:rsid w:val="023F0143"/>
    <w:rsid w:val="02443513"/>
    <w:rsid w:val="024C16A6"/>
    <w:rsid w:val="027B6543"/>
    <w:rsid w:val="027C2452"/>
    <w:rsid w:val="0294765E"/>
    <w:rsid w:val="02A23A7B"/>
    <w:rsid w:val="02BE42E8"/>
    <w:rsid w:val="031A6DDF"/>
    <w:rsid w:val="032219B3"/>
    <w:rsid w:val="0348179E"/>
    <w:rsid w:val="035F7137"/>
    <w:rsid w:val="0368661B"/>
    <w:rsid w:val="03817C6C"/>
    <w:rsid w:val="03F50BF8"/>
    <w:rsid w:val="03F757EE"/>
    <w:rsid w:val="040D5006"/>
    <w:rsid w:val="04176B15"/>
    <w:rsid w:val="04250069"/>
    <w:rsid w:val="04332B60"/>
    <w:rsid w:val="044D1A33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2E7C86"/>
    <w:rsid w:val="05396067"/>
    <w:rsid w:val="053962A9"/>
    <w:rsid w:val="05421686"/>
    <w:rsid w:val="054B7C66"/>
    <w:rsid w:val="054E3F97"/>
    <w:rsid w:val="054F7EC4"/>
    <w:rsid w:val="055F3E8F"/>
    <w:rsid w:val="05631304"/>
    <w:rsid w:val="05965B13"/>
    <w:rsid w:val="05AA751F"/>
    <w:rsid w:val="05AB3E4C"/>
    <w:rsid w:val="05C40254"/>
    <w:rsid w:val="05D01949"/>
    <w:rsid w:val="05D45DE8"/>
    <w:rsid w:val="05DD3B0E"/>
    <w:rsid w:val="061E71D7"/>
    <w:rsid w:val="064D537E"/>
    <w:rsid w:val="06541F59"/>
    <w:rsid w:val="06551195"/>
    <w:rsid w:val="067056D9"/>
    <w:rsid w:val="067A5C39"/>
    <w:rsid w:val="067F5C8B"/>
    <w:rsid w:val="06883795"/>
    <w:rsid w:val="069258CC"/>
    <w:rsid w:val="06A12B72"/>
    <w:rsid w:val="06D94F62"/>
    <w:rsid w:val="06E930D6"/>
    <w:rsid w:val="06F9688C"/>
    <w:rsid w:val="06FA3145"/>
    <w:rsid w:val="073C0F1E"/>
    <w:rsid w:val="07573824"/>
    <w:rsid w:val="075A5568"/>
    <w:rsid w:val="077046F9"/>
    <w:rsid w:val="07816512"/>
    <w:rsid w:val="0797540B"/>
    <w:rsid w:val="07C51163"/>
    <w:rsid w:val="07F63B68"/>
    <w:rsid w:val="07FE43B3"/>
    <w:rsid w:val="07FF469C"/>
    <w:rsid w:val="08015806"/>
    <w:rsid w:val="08067A83"/>
    <w:rsid w:val="080C2DB1"/>
    <w:rsid w:val="083900EE"/>
    <w:rsid w:val="084F55D9"/>
    <w:rsid w:val="086F5C08"/>
    <w:rsid w:val="087807B5"/>
    <w:rsid w:val="087C2BF1"/>
    <w:rsid w:val="089D4BC3"/>
    <w:rsid w:val="08A367A0"/>
    <w:rsid w:val="08AD693C"/>
    <w:rsid w:val="08CA4673"/>
    <w:rsid w:val="08D24C49"/>
    <w:rsid w:val="08D545C6"/>
    <w:rsid w:val="08D92F9A"/>
    <w:rsid w:val="08E152BA"/>
    <w:rsid w:val="08E3236B"/>
    <w:rsid w:val="08E41C3F"/>
    <w:rsid w:val="08F362FF"/>
    <w:rsid w:val="08F76659"/>
    <w:rsid w:val="092A35DC"/>
    <w:rsid w:val="09733A93"/>
    <w:rsid w:val="09773AD2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9F6199A"/>
    <w:rsid w:val="0A0D0A5C"/>
    <w:rsid w:val="0A1332A7"/>
    <w:rsid w:val="0A1434BD"/>
    <w:rsid w:val="0A177598"/>
    <w:rsid w:val="0A2A0A4E"/>
    <w:rsid w:val="0A33259C"/>
    <w:rsid w:val="0A670FF2"/>
    <w:rsid w:val="0A902401"/>
    <w:rsid w:val="0AA04A08"/>
    <w:rsid w:val="0AC857E6"/>
    <w:rsid w:val="0AD619F4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7E42D9"/>
    <w:rsid w:val="0B867DD4"/>
    <w:rsid w:val="0B8906D5"/>
    <w:rsid w:val="0B990F05"/>
    <w:rsid w:val="0BA163C4"/>
    <w:rsid w:val="0BBA4C3E"/>
    <w:rsid w:val="0BC527E7"/>
    <w:rsid w:val="0BDE30C9"/>
    <w:rsid w:val="0BE9216B"/>
    <w:rsid w:val="0C04199B"/>
    <w:rsid w:val="0C0569A5"/>
    <w:rsid w:val="0C0B0A79"/>
    <w:rsid w:val="0C182984"/>
    <w:rsid w:val="0C233DDB"/>
    <w:rsid w:val="0C243614"/>
    <w:rsid w:val="0C641CE4"/>
    <w:rsid w:val="0C8E4C85"/>
    <w:rsid w:val="0C9A21C7"/>
    <w:rsid w:val="0CBA3E26"/>
    <w:rsid w:val="0CC86926"/>
    <w:rsid w:val="0CCA2E65"/>
    <w:rsid w:val="0CD87B6A"/>
    <w:rsid w:val="0CE70F5A"/>
    <w:rsid w:val="0CED70FB"/>
    <w:rsid w:val="0CF04B26"/>
    <w:rsid w:val="0D274B82"/>
    <w:rsid w:val="0D6718A8"/>
    <w:rsid w:val="0D8348AF"/>
    <w:rsid w:val="0D8A5C4C"/>
    <w:rsid w:val="0D9D3B84"/>
    <w:rsid w:val="0DA826B2"/>
    <w:rsid w:val="0DC46801"/>
    <w:rsid w:val="0DD03A03"/>
    <w:rsid w:val="0DDA5E66"/>
    <w:rsid w:val="0DDB1E7A"/>
    <w:rsid w:val="0DE80CCD"/>
    <w:rsid w:val="0DE92A73"/>
    <w:rsid w:val="0DFC6FB1"/>
    <w:rsid w:val="0E084742"/>
    <w:rsid w:val="0E1B6666"/>
    <w:rsid w:val="0E342F61"/>
    <w:rsid w:val="0E546450"/>
    <w:rsid w:val="0E6A657A"/>
    <w:rsid w:val="0E8756CE"/>
    <w:rsid w:val="0E875907"/>
    <w:rsid w:val="0E9E306F"/>
    <w:rsid w:val="0EBE485B"/>
    <w:rsid w:val="0ECE319D"/>
    <w:rsid w:val="0EE11FA9"/>
    <w:rsid w:val="0EEE11BD"/>
    <w:rsid w:val="0EF36676"/>
    <w:rsid w:val="0EFF2521"/>
    <w:rsid w:val="0F0E45C0"/>
    <w:rsid w:val="0F121040"/>
    <w:rsid w:val="0F244800"/>
    <w:rsid w:val="0F343655"/>
    <w:rsid w:val="0F644218"/>
    <w:rsid w:val="0F7D1FFA"/>
    <w:rsid w:val="0F8E4908"/>
    <w:rsid w:val="0F913335"/>
    <w:rsid w:val="0F96680B"/>
    <w:rsid w:val="0FB60B75"/>
    <w:rsid w:val="0FD96CA9"/>
    <w:rsid w:val="0FDD68DC"/>
    <w:rsid w:val="0FF15BB9"/>
    <w:rsid w:val="0FF906E7"/>
    <w:rsid w:val="0FFD586A"/>
    <w:rsid w:val="10020B62"/>
    <w:rsid w:val="10087FF8"/>
    <w:rsid w:val="10135C77"/>
    <w:rsid w:val="1035011A"/>
    <w:rsid w:val="103607AE"/>
    <w:rsid w:val="10384280"/>
    <w:rsid w:val="105D7F23"/>
    <w:rsid w:val="108E0879"/>
    <w:rsid w:val="10B011B8"/>
    <w:rsid w:val="10C359D9"/>
    <w:rsid w:val="11011524"/>
    <w:rsid w:val="110877A1"/>
    <w:rsid w:val="110D72EA"/>
    <w:rsid w:val="110E7959"/>
    <w:rsid w:val="1119722C"/>
    <w:rsid w:val="1127264D"/>
    <w:rsid w:val="112F7E4A"/>
    <w:rsid w:val="11434434"/>
    <w:rsid w:val="114A05F1"/>
    <w:rsid w:val="115C58D6"/>
    <w:rsid w:val="11604BE2"/>
    <w:rsid w:val="118F4329"/>
    <w:rsid w:val="119F6D5C"/>
    <w:rsid w:val="11A0225A"/>
    <w:rsid w:val="11A922D8"/>
    <w:rsid w:val="11D45AE1"/>
    <w:rsid w:val="11E26CBA"/>
    <w:rsid w:val="11EA2125"/>
    <w:rsid w:val="12023099"/>
    <w:rsid w:val="12355F6F"/>
    <w:rsid w:val="12373AAE"/>
    <w:rsid w:val="123D7233"/>
    <w:rsid w:val="124D011C"/>
    <w:rsid w:val="125B107A"/>
    <w:rsid w:val="12753E07"/>
    <w:rsid w:val="127B28B7"/>
    <w:rsid w:val="128C3BD1"/>
    <w:rsid w:val="129245E5"/>
    <w:rsid w:val="12C10D7D"/>
    <w:rsid w:val="12CE1204"/>
    <w:rsid w:val="12F06EE1"/>
    <w:rsid w:val="12F32533"/>
    <w:rsid w:val="12F34854"/>
    <w:rsid w:val="13153AEF"/>
    <w:rsid w:val="134F7B0B"/>
    <w:rsid w:val="13683A5C"/>
    <w:rsid w:val="137C5217"/>
    <w:rsid w:val="13917553"/>
    <w:rsid w:val="13B07F3E"/>
    <w:rsid w:val="13B26405"/>
    <w:rsid w:val="13BF5ED3"/>
    <w:rsid w:val="13FD1C15"/>
    <w:rsid w:val="14083C98"/>
    <w:rsid w:val="140876D8"/>
    <w:rsid w:val="141845E0"/>
    <w:rsid w:val="141C18EA"/>
    <w:rsid w:val="141F1808"/>
    <w:rsid w:val="142E08FB"/>
    <w:rsid w:val="142F47CB"/>
    <w:rsid w:val="142F7B6B"/>
    <w:rsid w:val="1441758D"/>
    <w:rsid w:val="14515CA4"/>
    <w:rsid w:val="145B1FDF"/>
    <w:rsid w:val="145E7A95"/>
    <w:rsid w:val="146575A3"/>
    <w:rsid w:val="148B15E0"/>
    <w:rsid w:val="14D20D9B"/>
    <w:rsid w:val="14F20D79"/>
    <w:rsid w:val="15006FBE"/>
    <w:rsid w:val="151F6B5A"/>
    <w:rsid w:val="15212130"/>
    <w:rsid w:val="156542CB"/>
    <w:rsid w:val="158014E9"/>
    <w:rsid w:val="158A5B50"/>
    <w:rsid w:val="159F23B3"/>
    <w:rsid w:val="15A2498C"/>
    <w:rsid w:val="15B66B91"/>
    <w:rsid w:val="15C3420A"/>
    <w:rsid w:val="15E47F68"/>
    <w:rsid w:val="15FF6EEC"/>
    <w:rsid w:val="16041E01"/>
    <w:rsid w:val="16232CF9"/>
    <w:rsid w:val="16262029"/>
    <w:rsid w:val="16397749"/>
    <w:rsid w:val="16406CEA"/>
    <w:rsid w:val="16562259"/>
    <w:rsid w:val="165B3324"/>
    <w:rsid w:val="16764951"/>
    <w:rsid w:val="167A273E"/>
    <w:rsid w:val="16A61F0D"/>
    <w:rsid w:val="16AC5F02"/>
    <w:rsid w:val="16B27F4D"/>
    <w:rsid w:val="16C77FE5"/>
    <w:rsid w:val="16F47E57"/>
    <w:rsid w:val="16F53AB0"/>
    <w:rsid w:val="17220FF1"/>
    <w:rsid w:val="17320F2E"/>
    <w:rsid w:val="17613E3F"/>
    <w:rsid w:val="17664D13"/>
    <w:rsid w:val="1766777C"/>
    <w:rsid w:val="17676E2A"/>
    <w:rsid w:val="176D41EE"/>
    <w:rsid w:val="1780422F"/>
    <w:rsid w:val="17A75F25"/>
    <w:rsid w:val="17AA5C9C"/>
    <w:rsid w:val="17BD6AB4"/>
    <w:rsid w:val="17C023C9"/>
    <w:rsid w:val="17EF5DD9"/>
    <w:rsid w:val="1818083E"/>
    <w:rsid w:val="181A2BD1"/>
    <w:rsid w:val="184253B9"/>
    <w:rsid w:val="18434C37"/>
    <w:rsid w:val="186202E0"/>
    <w:rsid w:val="18655B8E"/>
    <w:rsid w:val="186E43F1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117B58"/>
    <w:rsid w:val="19270D53"/>
    <w:rsid w:val="193337BA"/>
    <w:rsid w:val="19402796"/>
    <w:rsid w:val="19407B9F"/>
    <w:rsid w:val="195254FA"/>
    <w:rsid w:val="195919BF"/>
    <w:rsid w:val="19677C6A"/>
    <w:rsid w:val="19733859"/>
    <w:rsid w:val="198A4DC2"/>
    <w:rsid w:val="198F1447"/>
    <w:rsid w:val="199750ED"/>
    <w:rsid w:val="19A57045"/>
    <w:rsid w:val="19AC0EF2"/>
    <w:rsid w:val="19B57275"/>
    <w:rsid w:val="19BE3E90"/>
    <w:rsid w:val="19C11AC9"/>
    <w:rsid w:val="19C37E45"/>
    <w:rsid w:val="19CF40F7"/>
    <w:rsid w:val="19ED0EB9"/>
    <w:rsid w:val="19F21F24"/>
    <w:rsid w:val="1A00617E"/>
    <w:rsid w:val="1A1C2BAB"/>
    <w:rsid w:val="1A1F124B"/>
    <w:rsid w:val="1A210F06"/>
    <w:rsid w:val="1A251079"/>
    <w:rsid w:val="1A28484F"/>
    <w:rsid w:val="1A3573C0"/>
    <w:rsid w:val="1A58762F"/>
    <w:rsid w:val="1A6D533B"/>
    <w:rsid w:val="1A9D156F"/>
    <w:rsid w:val="1AA80D9B"/>
    <w:rsid w:val="1AA847EC"/>
    <w:rsid w:val="1AAD0BB3"/>
    <w:rsid w:val="1AC0624B"/>
    <w:rsid w:val="1AC359F5"/>
    <w:rsid w:val="1AD01EB8"/>
    <w:rsid w:val="1AD03E52"/>
    <w:rsid w:val="1AD1685B"/>
    <w:rsid w:val="1AD875EC"/>
    <w:rsid w:val="1AE26A3D"/>
    <w:rsid w:val="1AF475AD"/>
    <w:rsid w:val="1AF92EDF"/>
    <w:rsid w:val="1AFD70F0"/>
    <w:rsid w:val="1B0270FF"/>
    <w:rsid w:val="1B181DD9"/>
    <w:rsid w:val="1B2F477F"/>
    <w:rsid w:val="1B360960"/>
    <w:rsid w:val="1B4604AB"/>
    <w:rsid w:val="1B68276D"/>
    <w:rsid w:val="1B6C3B7D"/>
    <w:rsid w:val="1B7F0ABE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C2E6201"/>
    <w:rsid w:val="1C302928"/>
    <w:rsid w:val="1C52178E"/>
    <w:rsid w:val="1C68632B"/>
    <w:rsid w:val="1C9F1651"/>
    <w:rsid w:val="1CAB7A6B"/>
    <w:rsid w:val="1CEB46F7"/>
    <w:rsid w:val="1D23735C"/>
    <w:rsid w:val="1D54071F"/>
    <w:rsid w:val="1D6451C6"/>
    <w:rsid w:val="1D654C9F"/>
    <w:rsid w:val="1D69417C"/>
    <w:rsid w:val="1D807289"/>
    <w:rsid w:val="1D8E233B"/>
    <w:rsid w:val="1D975DF7"/>
    <w:rsid w:val="1D9B123D"/>
    <w:rsid w:val="1D9E12E8"/>
    <w:rsid w:val="1DC82338"/>
    <w:rsid w:val="1DCB4927"/>
    <w:rsid w:val="1DD6405C"/>
    <w:rsid w:val="1DDD3571"/>
    <w:rsid w:val="1E190463"/>
    <w:rsid w:val="1E24668A"/>
    <w:rsid w:val="1E2A27A6"/>
    <w:rsid w:val="1E4B2FD7"/>
    <w:rsid w:val="1E62300D"/>
    <w:rsid w:val="1E645EBF"/>
    <w:rsid w:val="1E7911C9"/>
    <w:rsid w:val="1E7B335B"/>
    <w:rsid w:val="1E8D194D"/>
    <w:rsid w:val="1EA50F33"/>
    <w:rsid w:val="1ED503FA"/>
    <w:rsid w:val="1EE724BA"/>
    <w:rsid w:val="1EFF6434"/>
    <w:rsid w:val="1F311F17"/>
    <w:rsid w:val="1F3A0011"/>
    <w:rsid w:val="1F3A5F92"/>
    <w:rsid w:val="1F701095"/>
    <w:rsid w:val="1F923DE6"/>
    <w:rsid w:val="1FA42D75"/>
    <w:rsid w:val="1FA610B9"/>
    <w:rsid w:val="1FD024AA"/>
    <w:rsid w:val="1FDC54C4"/>
    <w:rsid w:val="1FEE4C5C"/>
    <w:rsid w:val="1FF012A4"/>
    <w:rsid w:val="1FF23EC9"/>
    <w:rsid w:val="20040834"/>
    <w:rsid w:val="20190666"/>
    <w:rsid w:val="202C1885"/>
    <w:rsid w:val="203B574B"/>
    <w:rsid w:val="204A7C68"/>
    <w:rsid w:val="2053493C"/>
    <w:rsid w:val="205E4038"/>
    <w:rsid w:val="2075093F"/>
    <w:rsid w:val="20786BA2"/>
    <w:rsid w:val="207F447D"/>
    <w:rsid w:val="20884263"/>
    <w:rsid w:val="209D6390"/>
    <w:rsid w:val="20A160B2"/>
    <w:rsid w:val="20D105CB"/>
    <w:rsid w:val="20D16460"/>
    <w:rsid w:val="20DD7F39"/>
    <w:rsid w:val="20E24774"/>
    <w:rsid w:val="20F25221"/>
    <w:rsid w:val="21145BE0"/>
    <w:rsid w:val="212415CD"/>
    <w:rsid w:val="21440678"/>
    <w:rsid w:val="216365D8"/>
    <w:rsid w:val="2165140C"/>
    <w:rsid w:val="21691F88"/>
    <w:rsid w:val="2187182E"/>
    <w:rsid w:val="218A070F"/>
    <w:rsid w:val="21957939"/>
    <w:rsid w:val="21C1624C"/>
    <w:rsid w:val="21E26EA0"/>
    <w:rsid w:val="21F34D45"/>
    <w:rsid w:val="21F61BF5"/>
    <w:rsid w:val="21F950CF"/>
    <w:rsid w:val="22045432"/>
    <w:rsid w:val="222A3C9E"/>
    <w:rsid w:val="22396FF8"/>
    <w:rsid w:val="22431035"/>
    <w:rsid w:val="225C0846"/>
    <w:rsid w:val="22B0252A"/>
    <w:rsid w:val="22D75BB2"/>
    <w:rsid w:val="22E819D8"/>
    <w:rsid w:val="22F57E73"/>
    <w:rsid w:val="231523F7"/>
    <w:rsid w:val="234B605E"/>
    <w:rsid w:val="234C0DFE"/>
    <w:rsid w:val="235133E3"/>
    <w:rsid w:val="23560A29"/>
    <w:rsid w:val="235F59AB"/>
    <w:rsid w:val="238A4219"/>
    <w:rsid w:val="239051E5"/>
    <w:rsid w:val="23924A0F"/>
    <w:rsid w:val="23987B60"/>
    <w:rsid w:val="239D13E8"/>
    <w:rsid w:val="239F6D5D"/>
    <w:rsid w:val="239F7F68"/>
    <w:rsid w:val="23EC713A"/>
    <w:rsid w:val="23ED0F94"/>
    <w:rsid w:val="23FC3011"/>
    <w:rsid w:val="240D18BD"/>
    <w:rsid w:val="246E404E"/>
    <w:rsid w:val="247F538E"/>
    <w:rsid w:val="248114CC"/>
    <w:rsid w:val="24A3249E"/>
    <w:rsid w:val="24A62D02"/>
    <w:rsid w:val="24AF069B"/>
    <w:rsid w:val="24AF1929"/>
    <w:rsid w:val="24B63D40"/>
    <w:rsid w:val="24C674E1"/>
    <w:rsid w:val="24C8317D"/>
    <w:rsid w:val="24FA0B67"/>
    <w:rsid w:val="25082A0B"/>
    <w:rsid w:val="252A182D"/>
    <w:rsid w:val="25417958"/>
    <w:rsid w:val="254369E7"/>
    <w:rsid w:val="25494E1D"/>
    <w:rsid w:val="257A74F9"/>
    <w:rsid w:val="25895A3D"/>
    <w:rsid w:val="258D735D"/>
    <w:rsid w:val="259A68BC"/>
    <w:rsid w:val="25C069EC"/>
    <w:rsid w:val="25D1716B"/>
    <w:rsid w:val="25DF6A97"/>
    <w:rsid w:val="25E6024A"/>
    <w:rsid w:val="25EA0F86"/>
    <w:rsid w:val="26212585"/>
    <w:rsid w:val="26282ED7"/>
    <w:rsid w:val="265B6DE8"/>
    <w:rsid w:val="265F04C1"/>
    <w:rsid w:val="267440C5"/>
    <w:rsid w:val="268C256C"/>
    <w:rsid w:val="269F48BD"/>
    <w:rsid w:val="26A7223A"/>
    <w:rsid w:val="26F23979"/>
    <w:rsid w:val="272A1178"/>
    <w:rsid w:val="272D26C8"/>
    <w:rsid w:val="274604BA"/>
    <w:rsid w:val="27530B85"/>
    <w:rsid w:val="27537ACC"/>
    <w:rsid w:val="27572E13"/>
    <w:rsid w:val="276C2A3C"/>
    <w:rsid w:val="27743788"/>
    <w:rsid w:val="277B261F"/>
    <w:rsid w:val="27962ACA"/>
    <w:rsid w:val="279B5A93"/>
    <w:rsid w:val="27A35CC1"/>
    <w:rsid w:val="27E916BA"/>
    <w:rsid w:val="27F10483"/>
    <w:rsid w:val="27FD55EF"/>
    <w:rsid w:val="28022D32"/>
    <w:rsid w:val="28153567"/>
    <w:rsid w:val="28594A6E"/>
    <w:rsid w:val="286B5520"/>
    <w:rsid w:val="287D3F8A"/>
    <w:rsid w:val="28870747"/>
    <w:rsid w:val="288E5631"/>
    <w:rsid w:val="28C32DF1"/>
    <w:rsid w:val="28C534E8"/>
    <w:rsid w:val="28D02103"/>
    <w:rsid w:val="29095837"/>
    <w:rsid w:val="293734A8"/>
    <w:rsid w:val="294E0AA4"/>
    <w:rsid w:val="296735A6"/>
    <w:rsid w:val="296D7E15"/>
    <w:rsid w:val="29962D19"/>
    <w:rsid w:val="29AD3BB2"/>
    <w:rsid w:val="29B4309C"/>
    <w:rsid w:val="29C153D9"/>
    <w:rsid w:val="29C30BAC"/>
    <w:rsid w:val="29CD7458"/>
    <w:rsid w:val="29D9048F"/>
    <w:rsid w:val="29EF70CC"/>
    <w:rsid w:val="2A0A0002"/>
    <w:rsid w:val="2A1C62F4"/>
    <w:rsid w:val="2A5F0A9A"/>
    <w:rsid w:val="2A802A87"/>
    <w:rsid w:val="2A931BB9"/>
    <w:rsid w:val="2A9D346A"/>
    <w:rsid w:val="2AB51A38"/>
    <w:rsid w:val="2AB903D8"/>
    <w:rsid w:val="2ACD6CCC"/>
    <w:rsid w:val="2ADF720A"/>
    <w:rsid w:val="2AEE4512"/>
    <w:rsid w:val="2AFC30F1"/>
    <w:rsid w:val="2B341240"/>
    <w:rsid w:val="2B34584A"/>
    <w:rsid w:val="2B64015F"/>
    <w:rsid w:val="2B644948"/>
    <w:rsid w:val="2B7C6921"/>
    <w:rsid w:val="2B9C4F86"/>
    <w:rsid w:val="2BD1675A"/>
    <w:rsid w:val="2BFE1EDB"/>
    <w:rsid w:val="2C127758"/>
    <w:rsid w:val="2C1A4265"/>
    <w:rsid w:val="2C1F32E8"/>
    <w:rsid w:val="2C2326B1"/>
    <w:rsid w:val="2C26626A"/>
    <w:rsid w:val="2C275841"/>
    <w:rsid w:val="2C3E2651"/>
    <w:rsid w:val="2C4630F8"/>
    <w:rsid w:val="2C636708"/>
    <w:rsid w:val="2C68059F"/>
    <w:rsid w:val="2C6917E7"/>
    <w:rsid w:val="2C756800"/>
    <w:rsid w:val="2CA3554E"/>
    <w:rsid w:val="2CBC0FFA"/>
    <w:rsid w:val="2CC23437"/>
    <w:rsid w:val="2CC27AB8"/>
    <w:rsid w:val="2CC379B0"/>
    <w:rsid w:val="2CEF3C54"/>
    <w:rsid w:val="2CF23870"/>
    <w:rsid w:val="2D006219"/>
    <w:rsid w:val="2D05566F"/>
    <w:rsid w:val="2D11170D"/>
    <w:rsid w:val="2D13298D"/>
    <w:rsid w:val="2D221D5D"/>
    <w:rsid w:val="2D2A0414"/>
    <w:rsid w:val="2D383726"/>
    <w:rsid w:val="2D386439"/>
    <w:rsid w:val="2D4000C8"/>
    <w:rsid w:val="2D7B766B"/>
    <w:rsid w:val="2D9379FB"/>
    <w:rsid w:val="2D9E7CAE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223E47"/>
    <w:rsid w:val="2E270A97"/>
    <w:rsid w:val="2E3F4045"/>
    <w:rsid w:val="2E406C0B"/>
    <w:rsid w:val="2E4430FB"/>
    <w:rsid w:val="2E4A213E"/>
    <w:rsid w:val="2E6A7B7E"/>
    <w:rsid w:val="2E852BFA"/>
    <w:rsid w:val="2EB72D84"/>
    <w:rsid w:val="2EE359E2"/>
    <w:rsid w:val="2EEC1574"/>
    <w:rsid w:val="2F1B43C7"/>
    <w:rsid w:val="2F2763E1"/>
    <w:rsid w:val="2F5604CA"/>
    <w:rsid w:val="2F592F8F"/>
    <w:rsid w:val="2FA36E63"/>
    <w:rsid w:val="2FC33170"/>
    <w:rsid w:val="2FD352CF"/>
    <w:rsid w:val="2FD66838"/>
    <w:rsid w:val="2FDB72F7"/>
    <w:rsid w:val="300E7DD2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C5260"/>
    <w:rsid w:val="30CD10F6"/>
    <w:rsid w:val="30D14AFA"/>
    <w:rsid w:val="30E14993"/>
    <w:rsid w:val="30E206FC"/>
    <w:rsid w:val="30EF21BA"/>
    <w:rsid w:val="30EF472A"/>
    <w:rsid w:val="30F84959"/>
    <w:rsid w:val="30FA5F5C"/>
    <w:rsid w:val="30FB65D1"/>
    <w:rsid w:val="30FC5A3F"/>
    <w:rsid w:val="31052214"/>
    <w:rsid w:val="3136571E"/>
    <w:rsid w:val="314A52DD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F43EF2"/>
    <w:rsid w:val="320F656E"/>
    <w:rsid w:val="3229313A"/>
    <w:rsid w:val="322A09EC"/>
    <w:rsid w:val="322E6D47"/>
    <w:rsid w:val="32343227"/>
    <w:rsid w:val="324748F5"/>
    <w:rsid w:val="327945B0"/>
    <w:rsid w:val="327E049A"/>
    <w:rsid w:val="32AD5AEA"/>
    <w:rsid w:val="32C3640C"/>
    <w:rsid w:val="32C47E69"/>
    <w:rsid w:val="32DF4B9C"/>
    <w:rsid w:val="32EE5E66"/>
    <w:rsid w:val="32F707FF"/>
    <w:rsid w:val="32FE7982"/>
    <w:rsid w:val="330D52B8"/>
    <w:rsid w:val="331E1C54"/>
    <w:rsid w:val="334753AB"/>
    <w:rsid w:val="335A2666"/>
    <w:rsid w:val="33666803"/>
    <w:rsid w:val="33871402"/>
    <w:rsid w:val="338A0060"/>
    <w:rsid w:val="338C018A"/>
    <w:rsid w:val="338C598B"/>
    <w:rsid w:val="33901C94"/>
    <w:rsid w:val="33A045C6"/>
    <w:rsid w:val="33A655BD"/>
    <w:rsid w:val="33AF50D7"/>
    <w:rsid w:val="33C2279E"/>
    <w:rsid w:val="33E6404A"/>
    <w:rsid w:val="34052E84"/>
    <w:rsid w:val="34195765"/>
    <w:rsid w:val="3435099A"/>
    <w:rsid w:val="343B5578"/>
    <w:rsid w:val="34510B5E"/>
    <w:rsid w:val="3465056A"/>
    <w:rsid w:val="346866A1"/>
    <w:rsid w:val="34700522"/>
    <w:rsid w:val="348167F0"/>
    <w:rsid w:val="34921598"/>
    <w:rsid w:val="349A1C0D"/>
    <w:rsid w:val="34A75868"/>
    <w:rsid w:val="34A83FD4"/>
    <w:rsid w:val="34C804C4"/>
    <w:rsid w:val="34E261D0"/>
    <w:rsid w:val="34E3740B"/>
    <w:rsid w:val="350D2053"/>
    <w:rsid w:val="350D51A0"/>
    <w:rsid w:val="3516735B"/>
    <w:rsid w:val="35286BF7"/>
    <w:rsid w:val="35522321"/>
    <w:rsid w:val="355D53D4"/>
    <w:rsid w:val="35753453"/>
    <w:rsid w:val="3599429E"/>
    <w:rsid w:val="35A73257"/>
    <w:rsid w:val="35B12F84"/>
    <w:rsid w:val="35B57875"/>
    <w:rsid w:val="35DC1D0C"/>
    <w:rsid w:val="36033A12"/>
    <w:rsid w:val="362F0086"/>
    <w:rsid w:val="363D403E"/>
    <w:rsid w:val="366D3CBC"/>
    <w:rsid w:val="36750E50"/>
    <w:rsid w:val="36776EAA"/>
    <w:rsid w:val="367C01BA"/>
    <w:rsid w:val="36B77EB7"/>
    <w:rsid w:val="36DE7BD3"/>
    <w:rsid w:val="37510F39"/>
    <w:rsid w:val="37592FE4"/>
    <w:rsid w:val="375E20CF"/>
    <w:rsid w:val="377336AC"/>
    <w:rsid w:val="377F502A"/>
    <w:rsid w:val="37804449"/>
    <w:rsid w:val="37817D02"/>
    <w:rsid w:val="378A028C"/>
    <w:rsid w:val="37BC42C1"/>
    <w:rsid w:val="37C51AE9"/>
    <w:rsid w:val="37CA1388"/>
    <w:rsid w:val="37CC6ED3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995310"/>
    <w:rsid w:val="38AB3C78"/>
    <w:rsid w:val="38BD6057"/>
    <w:rsid w:val="38FA192C"/>
    <w:rsid w:val="38FB4BD9"/>
    <w:rsid w:val="39076C11"/>
    <w:rsid w:val="391F2580"/>
    <w:rsid w:val="39221703"/>
    <w:rsid w:val="39283EEC"/>
    <w:rsid w:val="392D67AC"/>
    <w:rsid w:val="3930488C"/>
    <w:rsid w:val="39401394"/>
    <w:rsid w:val="3968060E"/>
    <w:rsid w:val="398473E8"/>
    <w:rsid w:val="39A644DA"/>
    <w:rsid w:val="39C531C8"/>
    <w:rsid w:val="39DF0FA6"/>
    <w:rsid w:val="39E23259"/>
    <w:rsid w:val="39EA289E"/>
    <w:rsid w:val="3A0B2C87"/>
    <w:rsid w:val="3A0E4E62"/>
    <w:rsid w:val="3A0F0F43"/>
    <w:rsid w:val="3A2140D2"/>
    <w:rsid w:val="3A380799"/>
    <w:rsid w:val="3A476B5E"/>
    <w:rsid w:val="3A4B0E8F"/>
    <w:rsid w:val="3A555FAD"/>
    <w:rsid w:val="3A711825"/>
    <w:rsid w:val="3A7B1CBC"/>
    <w:rsid w:val="3A931991"/>
    <w:rsid w:val="3AA82CF8"/>
    <w:rsid w:val="3AAC5B36"/>
    <w:rsid w:val="3AD06974"/>
    <w:rsid w:val="3ADA42A0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A281B"/>
    <w:rsid w:val="3B896874"/>
    <w:rsid w:val="3B9D4373"/>
    <w:rsid w:val="3BA92EC6"/>
    <w:rsid w:val="3BB663C6"/>
    <w:rsid w:val="3BB94D10"/>
    <w:rsid w:val="3BDE416C"/>
    <w:rsid w:val="3BE70BEC"/>
    <w:rsid w:val="3C0435A9"/>
    <w:rsid w:val="3C3158BF"/>
    <w:rsid w:val="3C512C6A"/>
    <w:rsid w:val="3C5E6096"/>
    <w:rsid w:val="3C6B63F3"/>
    <w:rsid w:val="3C6D0AA3"/>
    <w:rsid w:val="3C7D446D"/>
    <w:rsid w:val="3C8805E4"/>
    <w:rsid w:val="3C903856"/>
    <w:rsid w:val="3CAF357E"/>
    <w:rsid w:val="3CB05E10"/>
    <w:rsid w:val="3CBF3D07"/>
    <w:rsid w:val="3CE90D4D"/>
    <w:rsid w:val="3CEC5BD9"/>
    <w:rsid w:val="3D005BF0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A75BB4"/>
    <w:rsid w:val="3DB73788"/>
    <w:rsid w:val="3DBE7888"/>
    <w:rsid w:val="3DC72FAC"/>
    <w:rsid w:val="3DD4640D"/>
    <w:rsid w:val="3DF15BE8"/>
    <w:rsid w:val="3E00648E"/>
    <w:rsid w:val="3E097ED6"/>
    <w:rsid w:val="3E0F619F"/>
    <w:rsid w:val="3E2C07D2"/>
    <w:rsid w:val="3E4B1EC4"/>
    <w:rsid w:val="3E4C5C7B"/>
    <w:rsid w:val="3E4F06BE"/>
    <w:rsid w:val="3E60232E"/>
    <w:rsid w:val="3E6966CC"/>
    <w:rsid w:val="3E6F6349"/>
    <w:rsid w:val="3E7001DF"/>
    <w:rsid w:val="3E815E9D"/>
    <w:rsid w:val="3E8F04CD"/>
    <w:rsid w:val="3EA37326"/>
    <w:rsid w:val="3EA4334C"/>
    <w:rsid w:val="3EC21710"/>
    <w:rsid w:val="3ED07B39"/>
    <w:rsid w:val="3EEE4BA8"/>
    <w:rsid w:val="3F227ECC"/>
    <w:rsid w:val="3F2A1510"/>
    <w:rsid w:val="3F2B288B"/>
    <w:rsid w:val="3F323523"/>
    <w:rsid w:val="3F59407A"/>
    <w:rsid w:val="3F66080D"/>
    <w:rsid w:val="3F963935"/>
    <w:rsid w:val="3FBD7ADB"/>
    <w:rsid w:val="3FE66D38"/>
    <w:rsid w:val="3FED10C4"/>
    <w:rsid w:val="3FFD69BE"/>
    <w:rsid w:val="40115E5D"/>
    <w:rsid w:val="40142B28"/>
    <w:rsid w:val="402551CC"/>
    <w:rsid w:val="404C0EDB"/>
    <w:rsid w:val="405A7340"/>
    <w:rsid w:val="406563D6"/>
    <w:rsid w:val="406B7B27"/>
    <w:rsid w:val="40A1164F"/>
    <w:rsid w:val="40AD7C5B"/>
    <w:rsid w:val="40CD5F0B"/>
    <w:rsid w:val="40DD4729"/>
    <w:rsid w:val="40EB7E0B"/>
    <w:rsid w:val="40F1349D"/>
    <w:rsid w:val="4100539E"/>
    <w:rsid w:val="411E2BE4"/>
    <w:rsid w:val="413A144A"/>
    <w:rsid w:val="41694287"/>
    <w:rsid w:val="416948A9"/>
    <w:rsid w:val="416B194D"/>
    <w:rsid w:val="41724916"/>
    <w:rsid w:val="41851622"/>
    <w:rsid w:val="41BE3E52"/>
    <w:rsid w:val="41C36A02"/>
    <w:rsid w:val="41D8445C"/>
    <w:rsid w:val="41E40788"/>
    <w:rsid w:val="41F85D27"/>
    <w:rsid w:val="420E2A1A"/>
    <w:rsid w:val="4237497C"/>
    <w:rsid w:val="424D68DB"/>
    <w:rsid w:val="42565FD0"/>
    <w:rsid w:val="42596CCD"/>
    <w:rsid w:val="425E5FDE"/>
    <w:rsid w:val="427F350F"/>
    <w:rsid w:val="42914340"/>
    <w:rsid w:val="42AF1A12"/>
    <w:rsid w:val="42B008AC"/>
    <w:rsid w:val="43127FA0"/>
    <w:rsid w:val="431D66E9"/>
    <w:rsid w:val="433C4CD6"/>
    <w:rsid w:val="4357457D"/>
    <w:rsid w:val="43587C29"/>
    <w:rsid w:val="435C6176"/>
    <w:rsid w:val="43616901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D14618"/>
    <w:rsid w:val="43E63027"/>
    <w:rsid w:val="43F669C3"/>
    <w:rsid w:val="44205D19"/>
    <w:rsid w:val="442C10DA"/>
    <w:rsid w:val="44314B0E"/>
    <w:rsid w:val="446B48FC"/>
    <w:rsid w:val="44785AEE"/>
    <w:rsid w:val="44843CC9"/>
    <w:rsid w:val="44880967"/>
    <w:rsid w:val="44B673AA"/>
    <w:rsid w:val="44D26E80"/>
    <w:rsid w:val="44DB773A"/>
    <w:rsid w:val="44F14784"/>
    <w:rsid w:val="450039C1"/>
    <w:rsid w:val="451A32B1"/>
    <w:rsid w:val="451E341B"/>
    <w:rsid w:val="452D6C34"/>
    <w:rsid w:val="454D00BA"/>
    <w:rsid w:val="456951DA"/>
    <w:rsid w:val="45973AD6"/>
    <w:rsid w:val="45A52B1C"/>
    <w:rsid w:val="45AC4CF4"/>
    <w:rsid w:val="45AD524F"/>
    <w:rsid w:val="45AE36B8"/>
    <w:rsid w:val="45CF7FBC"/>
    <w:rsid w:val="45F35C5E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95FD1"/>
    <w:rsid w:val="46B06667"/>
    <w:rsid w:val="46C35907"/>
    <w:rsid w:val="47032B85"/>
    <w:rsid w:val="47111705"/>
    <w:rsid w:val="4719625B"/>
    <w:rsid w:val="472C0755"/>
    <w:rsid w:val="4745188E"/>
    <w:rsid w:val="476D2EF2"/>
    <w:rsid w:val="476E7A2B"/>
    <w:rsid w:val="477A07F4"/>
    <w:rsid w:val="47B54AA8"/>
    <w:rsid w:val="47BA08A0"/>
    <w:rsid w:val="47BD13B2"/>
    <w:rsid w:val="47BF5406"/>
    <w:rsid w:val="47C073E7"/>
    <w:rsid w:val="47C621A4"/>
    <w:rsid w:val="47DE197A"/>
    <w:rsid w:val="47E3143C"/>
    <w:rsid w:val="47F04F1C"/>
    <w:rsid w:val="47F261EE"/>
    <w:rsid w:val="4801327C"/>
    <w:rsid w:val="48391BF8"/>
    <w:rsid w:val="484B3CA6"/>
    <w:rsid w:val="48713429"/>
    <w:rsid w:val="487B3B0A"/>
    <w:rsid w:val="487F761D"/>
    <w:rsid w:val="48850709"/>
    <w:rsid w:val="4891605D"/>
    <w:rsid w:val="48CC0A6E"/>
    <w:rsid w:val="48D173C6"/>
    <w:rsid w:val="48E02F78"/>
    <w:rsid w:val="48E76F84"/>
    <w:rsid w:val="48F00546"/>
    <w:rsid w:val="48FB0E4C"/>
    <w:rsid w:val="4906501C"/>
    <w:rsid w:val="49132398"/>
    <w:rsid w:val="491B5B23"/>
    <w:rsid w:val="493B491E"/>
    <w:rsid w:val="494305AE"/>
    <w:rsid w:val="49550F29"/>
    <w:rsid w:val="498E5DDA"/>
    <w:rsid w:val="499A319C"/>
    <w:rsid w:val="49A75100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C77F8B"/>
    <w:rsid w:val="4AD74EF4"/>
    <w:rsid w:val="4AED5C11"/>
    <w:rsid w:val="4AFF253A"/>
    <w:rsid w:val="4B096721"/>
    <w:rsid w:val="4B151DD8"/>
    <w:rsid w:val="4B1E03CD"/>
    <w:rsid w:val="4B2F5A69"/>
    <w:rsid w:val="4B600DBB"/>
    <w:rsid w:val="4B740186"/>
    <w:rsid w:val="4B7467CA"/>
    <w:rsid w:val="4B7A2CD7"/>
    <w:rsid w:val="4B8464B3"/>
    <w:rsid w:val="4B96469A"/>
    <w:rsid w:val="4BB96A99"/>
    <w:rsid w:val="4BD47B3A"/>
    <w:rsid w:val="4BE60345"/>
    <w:rsid w:val="4BF61A49"/>
    <w:rsid w:val="4BFD254C"/>
    <w:rsid w:val="4BFD2BB9"/>
    <w:rsid w:val="4C007D9B"/>
    <w:rsid w:val="4C097E52"/>
    <w:rsid w:val="4C251632"/>
    <w:rsid w:val="4C266DAF"/>
    <w:rsid w:val="4C3C7997"/>
    <w:rsid w:val="4C423D11"/>
    <w:rsid w:val="4C4277B1"/>
    <w:rsid w:val="4C4A7111"/>
    <w:rsid w:val="4C9A635E"/>
    <w:rsid w:val="4CA860AF"/>
    <w:rsid w:val="4CB66E36"/>
    <w:rsid w:val="4CD04687"/>
    <w:rsid w:val="4D09681B"/>
    <w:rsid w:val="4D1A6222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CB0227"/>
    <w:rsid w:val="4DCF155E"/>
    <w:rsid w:val="4DD11AEE"/>
    <w:rsid w:val="4DE22B61"/>
    <w:rsid w:val="4E071018"/>
    <w:rsid w:val="4E1E35A8"/>
    <w:rsid w:val="4E4A36DE"/>
    <w:rsid w:val="4E4B1237"/>
    <w:rsid w:val="4E685D9D"/>
    <w:rsid w:val="4E997F39"/>
    <w:rsid w:val="4EA45038"/>
    <w:rsid w:val="4EA535EA"/>
    <w:rsid w:val="4EAA452F"/>
    <w:rsid w:val="4EAB7555"/>
    <w:rsid w:val="4EB16F4D"/>
    <w:rsid w:val="4ED37A9C"/>
    <w:rsid w:val="4EDE0A69"/>
    <w:rsid w:val="4EF438A7"/>
    <w:rsid w:val="4EF74679"/>
    <w:rsid w:val="4F053AD4"/>
    <w:rsid w:val="4F4F7C97"/>
    <w:rsid w:val="4F586DFE"/>
    <w:rsid w:val="4F7F3425"/>
    <w:rsid w:val="4F890EBD"/>
    <w:rsid w:val="4F951D60"/>
    <w:rsid w:val="4F9B52CA"/>
    <w:rsid w:val="4FAB27E4"/>
    <w:rsid w:val="4FAD4336"/>
    <w:rsid w:val="4FEA66FB"/>
    <w:rsid w:val="50000326"/>
    <w:rsid w:val="5012456C"/>
    <w:rsid w:val="501B0160"/>
    <w:rsid w:val="5028413A"/>
    <w:rsid w:val="502E0E02"/>
    <w:rsid w:val="5034185C"/>
    <w:rsid w:val="50412BC6"/>
    <w:rsid w:val="50662285"/>
    <w:rsid w:val="50935D58"/>
    <w:rsid w:val="509473B7"/>
    <w:rsid w:val="50955464"/>
    <w:rsid w:val="50C85002"/>
    <w:rsid w:val="50D3250E"/>
    <w:rsid w:val="50D33AD4"/>
    <w:rsid w:val="50D565E3"/>
    <w:rsid w:val="51251091"/>
    <w:rsid w:val="512B4D4B"/>
    <w:rsid w:val="51351C9B"/>
    <w:rsid w:val="513D3709"/>
    <w:rsid w:val="515323AC"/>
    <w:rsid w:val="515911D2"/>
    <w:rsid w:val="5159308A"/>
    <w:rsid w:val="51607B17"/>
    <w:rsid w:val="51636223"/>
    <w:rsid w:val="51665649"/>
    <w:rsid w:val="517462FF"/>
    <w:rsid w:val="51996C1B"/>
    <w:rsid w:val="51A56DF6"/>
    <w:rsid w:val="51AB46BA"/>
    <w:rsid w:val="51C04F90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D4979"/>
    <w:rsid w:val="523456B6"/>
    <w:rsid w:val="5235465D"/>
    <w:rsid w:val="52367473"/>
    <w:rsid w:val="523E15D7"/>
    <w:rsid w:val="5249313E"/>
    <w:rsid w:val="52527419"/>
    <w:rsid w:val="525A4669"/>
    <w:rsid w:val="525B22C4"/>
    <w:rsid w:val="526018C0"/>
    <w:rsid w:val="52841F28"/>
    <w:rsid w:val="52AD06F5"/>
    <w:rsid w:val="52BE0F28"/>
    <w:rsid w:val="52D32108"/>
    <w:rsid w:val="52D6356D"/>
    <w:rsid w:val="52F77D67"/>
    <w:rsid w:val="52F836E3"/>
    <w:rsid w:val="532F7394"/>
    <w:rsid w:val="53374AF5"/>
    <w:rsid w:val="53385FAE"/>
    <w:rsid w:val="534E489F"/>
    <w:rsid w:val="536E730E"/>
    <w:rsid w:val="537C2BD7"/>
    <w:rsid w:val="53971E29"/>
    <w:rsid w:val="539D713D"/>
    <w:rsid w:val="53A35F99"/>
    <w:rsid w:val="53E6334F"/>
    <w:rsid w:val="53FB17FA"/>
    <w:rsid w:val="54167AE8"/>
    <w:rsid w:val="541862F0"/>
    <w:rsid w:val="542D068B"/>
    <w:rsid w:val="546A6559"/>
    <w:rsid w:val="546F0B91"/>
    <w:rsid w:val="54B70A61"/>
    <w:rsid w:val="54B779B5"/>
    <w:rsid w:val="54D25371"/>
    <w:rsid w:val="54EA3421"/>
    <w:rsid w:val="54EC1FC6"/>
    <w:rsid w:val="54EC416F"/>
    <w:rsid w:val="550939D7"/>
    <w:rsid w:val="552C68B9"/>
    <w:rsid w:val="55335647"/>
    <w:rsid w:val="5538682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A45CC4"/>
    <w:rsid w:val="55B13035"/>
    <w:rsid w:val="55BD15CA"/>
    <w:rsid w:val="55C10548"/>
    <w:rsid w:val="55C244BC"/>
    <w:rsid w:val="55C708F6"/>
    <w:rsid w:val="55E14A9E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534D2A"/>
    <w:rsid w:val="5659691E"/>
    <w:rsid w:val="56635FA9"/>
    <w:rsid w:val="56737273"/>
    <w:rsid w:val="56773C48"/>
    <w:rsid w:val="56AF2A5F"/>
    <w:rsid w:val="56BB5794"/>
    <w:rsid w:val="56C16A07"/>
    <w:rsid w:val="56C56026"/>
    <w:rsid w:val="56C721C1"/>
    <w:rsid w:val="56C75E65"/>
    <w:rsid w:val="56ED49AC"/>
    <w:rsid w:val="56F42152"/>
    <w:rsid w:val="57037964"/>
    <w:rsid w:val="570D1D86"/>
    <w:rsid w:val="570E1422"/>
    <w:rsid w:val="573F549A"/>
    <w:rsid w:val="57553D3F"/>
    <w:rsid w:val="57703672"/>
    <w:rsid w:val="5773534B"/>
    <w:rsid w:val="57780B7F"/>
    <w:rsid w:val="578541CE"/>
    <w:rsid w:val="57856672"/>
    <w:rsid w:val="578C265D"/>
    <w:rsid w:val="579D25BA"/>
    <w:rsid w:val="57B9331D"/>
    <w:rsid w:val="57B975D7"/>
    <w:rsid w:val="57BB6757"/>
    <w:rsid w:val="57C82DD9"/>
    <w:rsid w:val="57E73B91"/>
    <w:rsid w:val="57F3287F"/>
    <w:rsid w:val="57F45188"/>
    <w:rsid w:val="57F81A83"/>
    <w:rsid w:val="57FA113C"/>
    <w:rsid w:val="57FA61B1"/>
    <w:rsid w:val="58032997"/>
    <w:rsid w:val="581D6018"/>
    <w:rsid w:val="583F1055"/>
    <w:rsid w:val="58441188"/>
    <w:rsid w:val="58477459"/>
    <w:rsid w:val="58494A10"/>
    <w:rsid w:val="584B2FF5"/>
    <w:rsid w:val="585A018E"/>
    <w:rsid w:val="585B0937"/>
    <w:rsid w:val="585E0241"/>
    <w:rsid w:val="58744829"/>
    <w:rsid w:val="587673AC"/>
    <w:rsid w:val="588562E3"/>
    <w:rsid w:val="5898522B"/>
    <w:rsid w:val="589F3897"/>
    <w:rsid w:val="58A045EF"/>
    <w:rsid w:val="58AE0C9D"/>
    <w:rsid w:val="58BD3A38"/>
    <w:rsid w:val="58DC744B"/>
    <w:rsid w:val="58F609E4"/>
    <w:rsid w:val="58FB67BC"/>
    <w:rsid w:val="5930657D"/>
    <w:rsid w:val="59327DEB"/>
    <w:rsid w:val="59392E42"/>
    <w:rsid w:val="593B5B55"/>
    <w:rsid w:val="593D19BE"/>
    <w:rsid w:val="597D137C"/>
    <w:rsid w:val="599D01FE"/>
    <w:rsid w:val="59AF4353"/>
    <w:rsid w:val="59CB134C"/>
    <w:rsid w:val="59D13042"/>
    <w:rsid w:val="59EA652F"/>
    <w:rsid w:val="59ED4AA2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A34E07"/>
    <w:rsid w:val="5AD937F3"/>
    <w:rsid w:val="5ADB5FCA"/>
    <w:rsid w:val="5ADD77B5"/>
    <w:rsid w:val="5AE30663"/>
    <w:rsid w:val="5AE36AFC"/>
    <w:rsid w:val="5AE47198"/>
    <w:rsid w:val="5AEF3CA7"/>
    <w:rsid w:val="5AFB0199"/>
    <w:rsid w:val="5B0001EA"/>
    <w:rsid w:val="5B2D4307"/>
    <w:rsid w:val="5B5041D6"/>
    <w:rsid w:val="5B554FD4"/>
    <w:rsid w:val="5B6B25D0"/>
    <w:rsid w:val="5B6B4549"/>
    <w:rsid w:val="5B9F5E0C"/>
    <w:rsid w:val="5BAD031C"/>
    <w:rsid w:val="5BB36D0A"/>
    <w:rsid w:val="5BD03C5A"/>
    <w:rsid w:val="5BD33975"/>
    <w:rsid w:val="5BDA775F"/>
    <w:rsid w:val="5BEA7806"/>
    <w:rsid w:val="5BED1355"/>
    <w:rsid w:val="5C035D5C"/>
    <w:rsid w:val="5C054372"/>
    <w:rsid w:val="5C0B1081"/>
    <w:rsid w:val="5C2E76F3"/>
    <w:rsid w:val="5C531DAC"/>
    <w:rsid w:val="5C5F19A2"/>
    <w:rsid w:val="5C6742FC"/>
    <w:rsid w:val="5C7870C9"/>
    <w:rsid w:val="5C793AF2"/>
    <w:rsid w:val="5C885120"/>
    <w:rsid w:val="5C8D094F"/>
    <w:rsid w:val="5CAA3CDC"/>
    <w:rsid w:val="5CC14996"/>
    <w:rsid w:val="5CDB13F1"/>
    <w:rsid w:val="5CE42BFC"/>
    <w:rsid w:val="5D08718A"/>
    <w:rsid w:val="5D33075C"/>
    <w:rsid w:val="5D38401E"/>
    <w:rsid w:val="5D42131E"/>
    <w:rsid w:val="5D4B0C7E"/>
    <w:rsid w:val="5D6545FE"/>
    <w:rsid w:val="5D65772A"/>
    <w:rsid w:val="5D787E7B"/>
    <w:rsid w:val="5DA30012"/>
    <w:rsid w:val="5DC93120"/>
    <w:rsid w:val="5DDA6F3B"/>
    <w:rsid w:val="5DDB5F91"/>
    <w:rsid w:val="5E20592A"/>
    <w:rsid w:val="5E282729"/>
    <w:rsid w:val="5E2C3252"/>
    <w:rsid w:val="5E39000D"/>
    <w:rsid w:val="5E5007AD"/>
    <w:rsid w:val="5E5126D4"/>
    <w:rsid w:val="5E575A00"/>
    <w:rsid w:val="5E5B33A6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A006F6"/>
    <w:rsid w:val="5FB80825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E48C7"/>
    <w:rsid w:val="606A7181"/>
    <w:rsid w:val="608D0DC2"/>
    <w:rsid w:val="60CF4513"/>
    <w:rsid w:val="60D45EFD"/>
    <w:rsid w:val="60D87E5D"/>
    <w:rsid w:val="60F668B8"/>
    <w:rsid w:val="60FC46B7"/>
    <w:rsid w:val="61002168"/>
    <w:rsid w:val="61172DD5"/>
    <w:rsid w:val="6138206E"/>
    <w:rsid w:val="616270EF"/>
    <w:rsid w:val="61706EDF"/>
    <w:rsid w:val="61770AB3"/>
    <w:rsid w:val="619B1498"/>
    <w:rsid w:val="619B3BCB"/>
    <w:rsid w:val="61C5760F"/>
    <w:rsid w:val="61CB09F2"/>
    <w:rsid w:val="61F34165"/>
    <w:rsid w:val="62053AEE"/>
    <w:rsid w:val="62206297"/>
    <w:rsid w:val="62236A30"/>
    <w:rsid w:val="62426D4A"/>
    <w:rsid w:val="62842199"/>
    <w:rsid w:val="62904A5E"/>
    <w:rsid w:val="62B6346C"/>
    <w:rsid w:val="62C4291E"/>
    <w:rsid w:val="62C65CEC"/>
    <w:rsid w:val="62F27D6D"/>
    <w:rsid w:val="631814C9"/>
    <w:rsid w:val="632F7DE7"/>
    <w:rsid w:val="6347606A"/>
    <w:rsid w:val="635B012E"/>
    <w:rsid w:val="635E620F"/>
    <w:rsid w:val="6368049F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673D9"/>
    <w:rsid w:val="641E6EE2"/>
    <w:rsid w:val="64275148"/>
    <w:rsid w:val="64326B19"/>
    <w:rsid w:val="645214CF"/>
    <w:rsid w:val="6487530B"/>
    <w:rsid w:val="64BA39D7"/>
    <w:rsid w:val="64CF3CAA"/>
    <w:rsid w:val="64D96235"/>
    <w:rsid w:val="64DA01CC"/>
    <w:rsid w:val="650F5FAC"/>
    <w:rsid w:val="652D2807"/>
    <w:rsid w:val="6534392E"/>
    <w:rsid w:val="654F6FF9"/>
    <w:rsid w:val="656033A2"/>
    <w:rsid w:val="65815AA0"/>
    <w:rsid w:val="658855D4"/>
    <w:rsid w:val="658867B3"/>
    <w:rsid w:val="659B42A0"/>
    <w:rsid w:val="65A8095A"/>
    <w:rsid w:val="65F1238A"/>
    <w:rsid w:val="65F35604"/>
    <w:rsid w:val="65FF3198"/>
    <w:rsid w:val="663B062F"/>
    <w:rsid w:val="663E4EF3"/>
    <w:rsid w:val="66471F83"/>
    <w:rsid w:val="665A01D2"/>
    <w:rsid w:val="6688533A"/>
    <w:rsid w:val="66BB442F"/>
    <w:rsid w:val="66D02521"/>
    <w:rsid w:val="67004A1C"/>
    <w:rsid w:val="67097AAB"/>
    <w:rsid w:val="670C3488"/>
    <w:rsid w:val="672E09CF"/>
    <w:rsid w:val="67365DB5"/>
    <w:rsid w:val="673E5BCE"/>
    <w:rsid w:val="677507BF"/>
    <w:rsid w:val="6792126C"/>
    <w:rsid w:val="67A97CFB"/>
    <w:rsid w:val="67CF5A1D"/>
    <w:rsid w:val="67DA135C"/>
    <w:rsid w:val="67EB7F24"/>
    <w:rsid w:val="67EC006A"/>
    <w:rsid w:val="680328B7"/>
    <w:rsid w:val="680D5EE5"/>
    <w:rsid w:val="68107593"/>
    <w:rsid w:val="684D1BE5"/>
    <w:rsid w:val="68651677"/>
    <w:rsid w:val="686F261C"/>
    <w:rsid w:val="687E3602"/>
    <w:rsid w:val="688F77C3"/>
    <w:rsid w:val="68A9751A"/>
    <w:rsid w:val="68AC366C"/>
    <w:rsid w:val="68B329E9"/>
    <w:rsid w:val="69030906"/>
    <w:rsid w:val="692C4F44"/>
    <w:rsid w:val="69326C25"/>
    <w:rsid w:val="693B403A"/>
    <w:rsid w:val="697D4944"/>
    <w:rsid w:val="697E2DEE"/>
    <w:rsid w:val="699B3DF9"/>
    <w:rsid w:val="69E1523E"/>
    <w:rsid w:val="6A1D2790"/>
    <w:rsid w:val="6A377133"/>
    <w:rsid w:val="6A3802AF"/>
    <w:rsid w:val="6A382142"/>
    <w:rsid w:val="6A4E7EC9"/>
    <w:rsid w:val="6A650E8F"/>
    <w:rsid w:val="6A7F0672"/>
    <w:rsid w:val="6A8243F3"/>
    <w:rsid w:val="6AA25847"/>
    <w:rsid w:val="6ADE4B51"/>
    <w:rsid w:val="6AEB550E"/>
    <w:rsid w:val="6AF47AD0"/>
    <w:rsid w:val="6B0B7792"/>
    <w:rsid w:val="6B18387B"/>
    <w:rsid w:val="6B213C7A"/>
    <w:rsid w:val="6B2726B5"/>
    <w:rsid w:val="6B3D4519"/>
    <w:rsid w:val="6B4943C4"/>
    <w:rsid w:val="6B5760AD"/>
    <w:rsid w:val="6B6356A7"/>
    <w:rsid w:val="6B6712DB"/>
    <w:rsid w:val="6B6F75D9"/>
    <w:rsid w:val="6B7753BB"/>
    <w:rsid w:val="6B793C22"/>
    <w:rsid w:val="6B7A6C48"/>
    <w:rsid w:val="6B8223B8"/>
    <w:rsid w:val="6BA303EE"/>
    <w:rsid w:val="6BCA3451"/>
    <w:rsid w:val="6BD57A1A"/>
    <w:rsid w:val="6BE52340"/>
    <w:rsid w:val="6BEA317F"/>
    <w:rsid w:val="6C077B7C"/>
    <w:rsid w:val="6C3D68C7"/>
    <w:rsid w:val="6C865FBC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225A73"/>
    <w:rsid w:val="6D4B705D"/>
    <w:rsid w:val="6D711A3E"/>
    <w:rsid w:val="6D736593"/>
    <w:rsid w:val="6D8D0D90"/>
    <w:rsid w:val="6D96046C"/>
    <w:rsid w:val="6DC91D5B"/>
    <w:rsid w:val="6DD50561"/>
    <w:rsid w:val="6DD95830"/>
    <w:rsid w:val="6DF021A3"/>
    <w:rsid w:val="6E124286"/>
    <w:rsid w:val="6E134309"/>
    <w:rsid w:val="6E1A1F69"/>
    <w:rsid w:val="6E2B2A93"/>
    <w:rsid w:val="6E3B5323"/>
    <w:rsid w:val="6E4F38F8"/>
    <w:rsid w:val="6E657BB2"/>
    <w:rsid w:val="6E6E43B8"/>
    <w:rsid w:val="6E793023"/>
    <w:rsid w:val="6E7F7AFB"/>
    <w:rsid w:val="6EB770BA"/>
    <w:rsid w:val="6EB96505"/>
    <w:rsid w:val="6ED43ACF"/>
    <w:rsid w:val="6EDF1CCE"/>
    <w:rsid w:val="6EEA71F0"/>
    <w:rsid w:val="6F2B434D"/>
    <w:rsid w:val="6F2C5B46"/>
    <w:rsid w:val="6F2D78EE"/>
    <w:rsid w:val="6F4947DA"/>
    <w:rsid w:val="6F4E71A8"/>
    <w:rsid w:val="6F70301C"/>
    <w:rsid w:val="6F781F55"/>
    <w:rsid w:val="6F7C562E"/>
    <w:rsid w:val="6FB93CAC"/>
    <w:rsid w:val="6FB95193"/>
    <w:rsid w:val="6FE60D34"/>
    <w:rsid w:val="6FEE7F40"/>
    <w:rsid w:val="70015EAC"/>
    <w:rsid w:val="70093C44"/>
    <w:rsid w:val="7013025E"/>
    <w:rsid w:val="70150176"/>
    <w:rsid w:val="706A4129"/>
    <w:rsid w:val="70747A02"/>
    <w:rsid w:val="7076111A"/>
    <w:rsid w:val="70B73E00"/>
    <w:rsid w:val="70B774D1"/>
    <w:rsid w:val="70F2796B"/>
    <w:rsid w:val="710F1765"/>
    <w:rsid w:val="71102404"/>
    <w:rsid w:val="711A1C30"/>
    <w:rsid w:val="711D088F"/>
    <w:rsid w:val="711E6ABB"/>
    <w:rsid w:val="71377746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6E4C9E"/>
    <w:rsid w:val="7289516B"/>
    <w:rsid w:val="728E71A9"/>
    <w:rsid w:val="729310B6"/>
    <w:rsid w:val="72C80096"/>
    <w:rsid w:val="72CD0489"/>
    <w:rsid w:val="72DB349B"/>
    <w:rsid w:val="72E10CF1"/>
    <w:rsid w:val="72E16E78"/>
    <w:rsid w:val="72EA15F7"/>
    <w:rsid w:val="73062CBE"/>
    <w:rsid w:val="731912B2"/>
    <w:rsid w:val="73297EB2"/>
    <w:rsid w:val="732B2071"/>
    <w:rsid w:val="73497FD2"/>
    <w:rsid w:val="735765E8"/>
    <w:rsid w:val="73611BAF"/>
    <w:rsid w:val="7368643D"/>
    <w:rsid w:val="73794A20"/>
    <w:rsid w:val="738A6877"/>
    <w:rsid w:val="739C4779"/>
    <w:rsid w:val="73A2442B"/>
    <w:rsid w:val="73AA6208"/>
    <w:rsid w:val="73C832AF"/>
    <w:rsid w:val="73E52982"/>
    <w:rsid w:val="73FA0625"/>
    <w:rsid w:val="74024A09"/>
    <w:rsid w:val="7422148A"/>
    <w:rsid w:val="74472CC7"/>
    <w:rsid w:val="748330DD"/>
    <w:rsid w:val="7485747A"/>
    <w:rsid w:val="748D3B91"/>
    <w:rsid w:val="74963991"/>
    <w:rsid w:val="74B71854"/>
    <w:rsid w:val="74FD176E"/>
    <w:rsid w:val="75132281"/>
    <w:rsid w:val="754C1C51"/>
    <w:rsid w:val="755F4608"/>
    <w:rsid w:val="7564660F"/>
    <w:rsid w:val="7571106C"/>
    <w:rsid w:val="757918F4"/>
    <w:rsid w:val="75886342"/>
    <w:rsid w:val="758A779D"/>
    <w:rsid w:val="758E7458"/>
    <w:rsid w:val="75986751"/>
    <w:rsid w:val="75B9274E"/>
    <w:rsid w:val="75F55F14"/>
    <w:rsid w:val="75F83FB4"/>
    <w:rsid w:val="75F9318E"/>
    <w:rsid w:val="75FC2E47"/>
    <w:rsid w:val="760E47B2"/>
    <w:rsid w:val="76631090"/>
    <w:rsid w:val="76703988"/>
    <w:rsid w:val="7672217C"/>
    <w:rsid w:val="76A12DC3"/>
    <w:rsid w:val="76D15B17"/>
    <w:rsid w:val="77186B1E"/>
    <w:rsid w:val="77645C7D"/>
    <w:rsid w:val="777439C1"/>
    <w:rsid w:val="777D584D"/>
    <w:rsid w:val="778B1158"/>
    <w:rsid w:val="77961505"/>
    <w:rsid w:val="77B15DF4"/>
    <w:rsid w:val="77B856B5"/>
    <w:rsid w:val="78076895"/>
    <w:rsid w:val="78091695"/>
    <w:rsid w:val="78151AE7"/>
    <w:rsid w:val="781D0ABF"/>
    <w:rsid w:val="782B5948"/>
    <w:rsid w:val="78602ABF"/>
    <w:rsid w:val="78665FE4"/>
    <w:rsid w:val="786E0FFE"/>
    <w:rsid w:val="78A93133"/>
    <w:rsid w:val="78D02FB6"/>
    <w:rsid w:val="78E43768"/>
    <w:rsid w:val="78FD3867"/>
    <w:rsid w:val="791D4569"/>
    <w:rsid w:val="79214FA6"/>
    <w:rsid w:val="79367FB8"/>
    <w:rsid w:val="79392A29"/>
    <w:rsid w:val="79583AEC"/>
    <w:rsid w:val="795C7162"/>
    <w:rsid w:val="797812D7"/>
    <w:rsid w:val="799D7539"/>
    <w:rsid w:val="799F72C4"/>
    <w:rsid w:val="79A20557"/>
    <w:rsid w:val="79AB7A8E"/>
    <w:rsid w:val="79AC0207"/>
    <w:rsid w:val="79CB5BC6"/>
    <w:rsid w:val="79D0709A"/>
    <w:rsid w:val="79E554A8"/>
    <w:rsid w:val="79FD492D"/>
    <w:rsid w:val="7A087CF7"/>
    <w:rsid w:val="7A13564A"/>
    <w:rsid w:val="7A303322"/>
    <w:rsid w:val="7A7F6A39"/>
    <w:rsid w:val="7A9A2995"/>
    <w:rsid w:val="7A9E37B9"/>
    <w:rsid w:val="7AA85A57"/>
    <w:rsid w:val="7AA97571"/>
    <w:rsid w:val="7AD1328F"/>
    <w:rsid w:val="7AF26D81"/>
    <w:rsid w:val="7AF464E6"/>
    <w:rsid w:val="7AF6549D"/>
    <w:rsid w:val="7B014170"/>
    <w:rsid w:val="7B187563"/>
    <w:rsid w:val="7B1A61F8"/>
    <w:rsid w:val="7B5C346C"/>
    <w:rsid w:val="7B5E5C27"/>
    <w:rsid w:val="7B652196"/>
    <w:rsid w:val="7B762D9E"/>
    <w:rsid w:val="7B784952"/>
    <w:rsid w:val="7B7C479D"/>
    <w:rsid w:val="7B7E15E7"/>
    <w:rsid w:val="7B920A5D"/>
    <w:rsid w:val="7BA1455F"/>
    <w:rsid w:val="7BCC7A90"/>
    <w:rsid w:val="7BDC1294"/>
    <w:rsid w:val="7BE975D0"/>
    <w:rsid w:val="7BF2190A"/>
    <w:rsid w:val="7C010589"/>
    <w:rsid w:val="7C160D02"/>
    <w:rsid w:val="7C1637C1"/>
    <w:rsid w:val="7C1E537F"/>
    <w:rsid w:val="7C340896"/>
    <w:rsid w:val="7C4706AF"/>
    <w:rsid w:val="7C526D30"/>
    <w:rsid w:val="7C574088"/>
    <w:rsid w:val="7C5D6386"/>
    <w:rsid w:val="7C921F5C"/>
    <w:rsid w:val="7C9D2374"/>
    <w:rsid w:val="7CAC42FA"/>
    <w:rsid w:val="7CD97C96"/>
    <w:rsid w:val="7CEA2FFC"/>
    <w:rsid w:val="7CF36D0A"/>
    <w:rsid w:val="7CFD68A1"/>
    <w:rsid w:val="7D004B90"/>
    <w:rsid w:val="7D09176A"/>
    <w:rsid w:val="7D15262A"/>
    <w:rsid w:val="7D21528B"/>
    <w:rsid w:val="7D295788"/>
    <w:rsid w:val="7D2D6988"/>
    <w:rsid w:val="7D431D8D"/>
    <w:rsid w:val="7D7D4F75"/>
    <w:rsid w:val="7D937F07"/>
    <w:rsid w:val="7DA008E1"/>
    <w:rsid w:val="7DAA286B"/>
    <w:rsid w:val="7DB954F6"/>
    <w:rsid w:val="7DC07247"/>
    <w:rsid w:val="7DC62F24"/>
    <w:rsid w:val="7DCA4DE2"/>
    <w:rsid w:val="7DDA771D"/>
    <w:rsid w:val="7DDE5DE0"/>
    <w:rsid w:val="7DE93C91"/>
    <w:rsid w:val="7DFC10B6"/>
    <w:rsid w:val="7E0B2B81"/>
    <w:rsid w:val="7E0E7FD0"/>
    <w:rsid w:val="7E1B6002"/>
    <w:rsid w:val="7E1F4180"/>
    <w:rsid w:val="7E433210"/>
    <w:rsid w:val="7E575AC2"/>
    <w:rsid w:val="7E580C80"/>
    <w:rsid w:val="7E68207B"/>
    <w:rsid w:val="7E8B6473"/>
    <w:rsid w:val="7E950FE9"/>
    <w:rsid w:val="7EA454D3"/>
    <w:rsid w:val="7EC009E8"/>
    <w:rsid w:val="7ED16523"/>
    <w:rsid w:val="7ED52BAA"/>
    <w:rsid w:val="7EDA6457"/>
    <w:rsid w:val="7EE83A26"/>
    <w:rsid w:val="7EF96B1E"/>
    <w:rsid w:val="7F353C06"/>
    <w:rsid w:val="7F410352"/>
    <w:rsid w:val="7F440F7A"/>
    <w:rsid w:val="7F510226"/>
    <w:rsid w:val="7F5E5DAF"/>
    <w:rsid w:val="7F633EFB"/>
    <w:rsid w:val="7F634386"/>
    <w:rsid w:val="7FBF3E86"/>
    <w:rsid w:val="7FCA7309"/>
    <w:rsid w:val="7FDA1B5E"/>
    <w:rsid w:val="7FDC725C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semiHidden="0" w:name="heading 4"/>
    <w:lsdException w:qFormat="1" w:uiPriority="9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99" w:name="toc 2"/>
    <w:lsdException w:qFormat="1" w:uiPriority="9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iPriority="99" w:name="footer"/>
    <w:lsdException w:uiPriority="99" w:name="index heading"/>
    <w:lsdException w:qFormat="1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="16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33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3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35"/>
    <w:qFormat/>
    <w:uiPriority w:val="0"/>
    <w:pPr>
      <w:spacing w:before="120"/>
      <w:outlineLvl w:val="2"/>
    </w:pPr>
    <w:rPr>
      <w:sz w:val="24"/>
    </w:rPr>
  </w:style>
  <w:style w:type="paragraph" w:styleId="5">
    <w:name w:val="heading 4"/>
    <w:basedOn w:val="4"/>
    <w:next w:val="1"/>
    <w:unhideWhenUsed/>
    <w:qFormat/>
    <w:uiPriority w:val="9"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6">
    <w:name w:val="heading 5"/>
    <w:basedOn w:val="5"/>
    <w:next w:val="1"/>
    <w:unhideWhenUsed/>
    <w:qFormat/>
    <w:uiPriority w:val="9"/>
    <w:pPr>
      <w:spacing w:before="10" w:after="10" w:line="240" w:lineRule="auto"/>
      <w:outlineLvl w:val="4"/>
    </w:pPr>
    <w:rPr>
      <w:rFonts w:eastAsia="宋体"/>
      <w:sz w:val="21"/>
      <w:u w:val="single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List 3"/>
    <w:basedOn w:val="10"/>
    <w:qFormat/>
    <w:uiPriority w:val="0"/>
    <w:pPr>
      <w:ind w:left="1135"/>
    </w:pPr>
  </w:style>
  <w:style w:type="paragraph" w:styleId="10">
    <w:name w:val="List 2"/>
    <w:basedOn w:val="11"/>
    <w:qFormat/>
    <w:uiPriority w:val="0"/>
    <w:pPr>
      <w:ind w:left="851"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caption"/>
    <w:basedOn w:val="1"/>
    <w:next w:val="1"/>
    <w:unhideWhenUsed/>
    <w:qFormat/>
    <w:uiPriority w:val="99"/>
    <w:rPr>
      <w:rFonts w:ascii="Arial" w:hAnsi="Arial" w:eastAsia="黑体"/>
      <w:sz w:val="20"/>
    </w:rPr>
  </w:style>
  <w:style w:type="paragraph" w:styleId="13">
    <w:name w:val="Document Map"/>
    <w:basedOn w:val="1"/>
    <w:link w:val="54"/>
    <w:semiHidden/>
    <w:unhideWhenUsed/>
    <w:qFormat/>
    <w:uiPriority w:val="99"/>
    <w:rPr>
      <w:rFonts w:ascii="宋体"/>
      <w:sz w:val="18"/>
      <w:szCs w:val="18"/>
    </w:rPr>
  </w:style>
  <w:style w:type="paragraph" w:styleId="14">
    <w:name w:val="annotation text"/>
    <w:basedOn w:val="1"/>
    <w:link w:val="36"/>
    <w:qFormat/>
    <w:uiPriority w:val="0"/>
  </w:style>
  <w:style w:type="paragraph" w:styleId="15">
    <w:name w:val="Body Text"/>
    <w:basedOn w:val="1"/>
    <w:qFormat/>
    <w:uiPriority w:val="0"/>
    <w:pPr>
      <w:spacing w:after="120"/>
    </w:pPr>
    <w:rPr>
      <w:rFonts w:ascii="Times" w:hAnsi="Times"/>
      <w:szCs w:val="24"/>
    </w:rPr>
  </w:style>
  <w:style w:type="paragraph" w:styleId="16">
    <w:name w:val="toc 3"/>
    <w:basedOn w:val="1"/>
    <w:next w:val="1"/>
    <w:unhideWhenUsed/>
    <w:qFormat/>
    <w:uiPriority w:val="9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7">
    <w:name w:val="Balloon Text"/>
    <w:basedOn w:val="1"/>
    <w:link w:val="32"/>
    <w:semiHidden/>
    <w:unhideWhenUsed/>
    <w:qFormat/>
    <w:uiPriority w:val="99"/>
    <w:rPr>
      <w:sz w:val="18"/>
      <w:szCs w:val="18"/>
    </w:rPr>
  </w:style>
  <w:style w:type="paragraph" w:styleId="18">
    <w:name w:val="footer"/>
    <w:basedOn w:val="1"/>
    <w:link w:val="3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link w:val="38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b/>
      <w:bCs/>
      <w:i/>
      <w:iCs/>
      <w:sz w:val="20"/>
    </w:rPr>
  </w:style>
  <w:style w:type="paragraph" w:styleId="21">
    <w:name w:val="toc 2"/>
    <w:basedOn w:val="1"/>
    <w:next w:val="1"/>
    <w:semiHidden/>
    <w:unhideWhenUsed/>
    <w:qFormat/>
    <w:uiPriority w:val="99"/>
    <w:pPr>
      <w:tabs>
        <w:tab w:val="right" w:pos="420"/>
      </w:tabs>
      <w:ind w:left="862" w:leftChars="200" w:hanging="442" w:hangingChars="200"/>
      <w:jc w:val="left"/>
    </w:pPr>
    <w:rPr>
      <w:b/>
      <w:i/>
      <w:sz w:val="20"/>
    </w:rPr>
  </w:style>
  <w:style w:type="paragraph" w:styleId="22">
    <w:name w:val="List 4"/>
    <w:basedOn w:val="9"/>
    <w:qFormat/>
    <w:uiPriority w:val="0"/>
    <w:pPr>
      <w:ind w:left="1418"/>
    </w:pPr>
  </w:style>
  <w:style w:type="paragraph" w:styleId="23">
    <w:name w:val="Normal (Web)"/>
    <w:basedOn w:val="1"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4">
    <w:name w:val="annotation subject"/>
    <w:basedOn w:val="14"/>
    <w:next w:val="14"/>
    <w:link w:val="44"/>
    <w:semiHidden/>
    <w:unhideWhenUsed/>
    <w:qFormat/>
    <w:uiPriority w:val="99"/>
    <w:pPr>
      <w:jc w:val="left"/>
    </w:pPr>
    <w:rPr>
      <w:b/>
      <w:bCs/>
    </w:rPr>
  </w:style>
  <w:style w:type="table" w:styleId="26">
    <w:name w:val="Table Grid"/>
    <w:basedOn w:val="25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basedOn w:val="27"/>
    <w:qFormat/>
    <w:uiPriority w:val="22"/>
    <w:rPr>
      <w:b/>
    </w:rPr>
  </w:style>
  <w:style w:type="character" w:styleId="29">
    <w:name w:val="page number"/>
    <w:basedOn w:val="27"/>
    <w:semiHidden/>
    <w:qFormat/>
    <w:uiPriority w:val="0"/>
  </w:style>
  <w:style w:type="character" w:styleId="30">
    <w:name w:val="Hyperlink"/>
    <w:basedOn w:val="27"/>
    <w:qFormat/>
    <w:uiPriority w:val="99"/>
    <w:rPr>
      <w:color w:val="0000FF"/>
      <w:u w:val="single"/>
    </w:rPr>
  </w:style>
  <w:style w:type="character" w:styleId="31">
    <w:name w:val="annotation reference"/>
    <w:basedOn w:val="27"/>
    <w:qFormat/>
    <w:uiPriority w:val="0"/>
    <w:rPr>
      <w:sz w:val="16"/>
    </w:rPr>
  </w:style>
  <w:style w:type="character" w:customStyle="1" w:styleId="32">
    <w:name w:val="批注框文本 Char"/>
    <w:basedOn w:val="27"/>
    <w:link w:val="1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3">
    <w:name w:val="标题 1 Char"/>
    <w:basedOn w:val="27"/>
    <w:link w:val="2"/>
    <w:qFormat/>
    <w:uiPriority w:val="0"/>
    <w:rPr>
      <w:rFonts w:ascii="Arial" w:hAnsi="Arial" w:eastAsia="MS Mincho" w:cs="Times New Roman"/>
      <w:sz w:val="32"/>
      <w:szCs w:val="20"/>
    </w:rPr>
  </w:style>
  <w:style w:type="character" w:customStyle="1" w:styleId="34">
    <w:name w:val="标题 2 Char"/>
    <w:basedOn w:val="27"/>
    <w:link w:val="3"/>
    <w:qFormat/>
    <w:uiPriority w:val="0"/>
    <w:rPr>
      <w:rFonts w:ascii="Arial" w:hAnsi="Arial" w:eastAsia="MS Mincho" w:cs="Times New Roman"/>
      <w:sz w:val="28"/>
      <w:szCs w:val="20"/>
    </w:rPr>
  </w:style>
  <w:style w:type="character" w:customStyle="1" w:styleId="35">
    <w:name w:val="标题 3 Char"/>
    <w:basedOn w:val="27"/>
    <w:link w:val="4"/>
    <w:qFormat/>
    <w:uiPriority w:val="0"/>
    <w:rPr>
      <w:rFonts w:ascii="Arial" w:hAnsi="Arial" w:eastAsia="MS Mincho" w:cs="Times New Roman"/>
      <w:sz w:val="24"/>
      <w:szCs w:val="20"/>
    </w:rPr>
  </w:style>
  <w:style w:type="character" w:customStyle="1" w:styleId="36">
    <w:name w:val="批注文字 Char"/>
    <w:basedOn w:val="27"/>
    <w:link w:val="14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37">
    <w:name w:val="页脚 Char"/>
    <w:basedOn w:val="27"/>
    <w:link w:val="1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8">
    <w:name w:val="页眉 Char"/>
    <w:basedOn w:val="27"/>
    <w:link w:val="19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39">
    <w:name w:val="References"/>
    <w:basedOn w:val="1"/>
    <w:qFormat/>
    <w:uiPriority w:val="0"/>
    <w:pPr>
      <w:numPr>
        <w:ilvl w:val="0"/>
        <w:numId w:val="2"/>
      </w:numPr>
      <w:spacing w:after="60"/>
    </w:pPr>
    <w:rPr>
      <w:szCs w:val="16"/>
    </w:rPr>
  </w:style>
  <w:style w:type="paragraph" w:styleId="40">
    <w:name w:val="List Paragraph"/>
    <w:basedOn w:val="1"/>
    <w:link w:val="46"/>
    <w:qFormat/>
    <w:uiPriority w:val="34"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41">
    <w:name w:val="font21"/>
    <w:basedOn w:val="27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42">
    <w:name w:val="font11"/>
    <w:basedOn w:val="27"/>
    <w:qFormat/>
    <w:uiPriority w:val="0"/>
    <w:rPr>
      <w:rFonts w:hint="default" w:ascii="Symbol" w:hAnsi="Symbol" w:cs="Symbol"/>
      <w:b/>
      <w:color w:val="000000"/>
      <w:sz w:val="20"/>
      <w:szCs w:val="20"/>
      <w:u w:val="none"/>
    </w:rPr>
  </w:style>
  <w:style w:type="character" w:customStyle="1" w:styleId="43">
    <w:name w:val="font01"/>
    <w:basedOn w:val="27"/>
    <w:qFormat/>
    <w:uiPriority w:val="0"/>
    <w:rPr>
      <w:rFonts w:hint="default" w:ascii="Symbol" w:hAnsi="Symbol" w:cs="Symbol"/>
      <w:color w:val="000000"/>
      <w:sz w:val="20"/>
      <w:szCs w:val="20"/>
      <w:u w:val="none"/>
    </w:rPr>
  </w:style>
  <w:style w:type="character" w:customStyle="1" w:styleId="44">
    <w:name w:val="批注主题 Char"/>
    <w:basedOn w:val="36"/>
    <w:link w:val="24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0"/>
    </w:rPr>
  </w:style>
  <w:style w:type="paragraph" w:customStyle="1" w:styleId="4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character" w:customStyle="1" w:styleId="46">
    <w:name w:val="列出段落 Char"/>
    <w:link w:val="40"/>
    <w:qFormat/>
    <w:uiPriority w:val="34"/>
    <w:rPr>
      <w:rFonts w:ascii="Times New Roman" w:hAnsi="Times New Roman" w:eastAsia="Times New Roman" w:cs="Times New Roman"/>
      <w:kern w:val="2"/>
      <w:sz w:val="24"/>
      <w:szCs w:val="24"/>
    </w:rPr>
  </w:style>
  <w:style w:type="character" w:styleId="47">
    <w:name w:val="Placeholder Text"/>
    <w:basedOn w:val="27"/>
    <w:unhideWhenUsed/>
    <w:qFormat/>
    <w:uiPriority w:val="99"/>
    <w:rPr>
      <w:color w:val="808080"/>
    </w:rPr>
  </w:style>
  <w:style w:type="paragraph" w:customStyle="1" w:styleId="48">
    <w:name w:val="x_msonormal"/>
    <w:basedOn w:val="1"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eastAsia="en-GB"/>
    </w:rPr>
  </w:style>
  <w:style w:type="character" w:customStyle="1" w:styleId="49">
    <w:name w:val="x_apple-converted-space"/>
    <w:qFormat/>
    <w:uiPriority w:val="0"/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3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54">
    <w:name w:val="文档结构图 Char"/>
    <w:basedOn w:val="27"/>
    <w:link w:val="13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55">
    <w:name w:val="修订2"/>
    <w:hidden/>
    <w:unhideWhenUsed/>
    <w:qFormat/>
    <w:uiPriority w:val="99"/>
    <w:pPr>
      <w:spacing w:after="160" w:line="259" w:lineRule="auto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56">
    <w:name w:val="xmsonormal"/>
    <w:basedOn w:val="1"/>
    <w:qFormat/>
    <w:uiPriority w:val="0"/>
    <w:pPr>
      <w:spacing w:before="100" w:beforeAutospacing="1" w:after="100" w:afterAutospacing="1"/>
    </w:pPr>
    <w:rPr>
      <w:rFonts w:ascii="Calibri" w:hAnsi="Calibri" w:eastAsia="Calibri" w:cs="Calibri"/>
      <w:sz w:val="22"/>
      <w:szCs w:val="22"/>
    </w:rPr>
  </w:style>
  <w:style w:type="character" w:customStyle="1" w:styleId="57">
    <w:name w:val="apple-converted-space"/>
    <w:basedOn w:val="27"/>
    <w:qFormat/>
    <w:uiPriority w:val="0"/>
  </w:style>
  <w:style w:type="paragraph" w:customStyle="1" w:styleId="58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59">
    <w:name w:val="x_xmsonormal"/>
    <w:basedOn w:val="1"/>
    <w:qFormat/>
    <w:uiPriority w:val="0"/>
    <w:rPr>
      <w:rFonts w:ascii="宋体" w:hAnsi="宋体" w:cs="Calibri"/>
      <w:sz w:val="24"/>
    </w:rPr>
  </w:style>
  <w:style w:type="paragraph" w:customStyle="1" w:styleId="60">
    <w:name w:val="YJ-Observation"/>
    <w:basedOn w:val="1"/>
    <w:qFormat/>
    <w:uiPriority w:val="0"/>
    <w:pPr>
      <w:numPr>
        <w:ilvl w:val="0"/>
        <w:numId w:val="3"/>
      </w:numPr>
      <w:tabs>
        <w:tab w:val="left" w:pos="420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61">
    <w:name w:val="3GPP Normal Text"/>
    <w:basedOn w:val="15"/>
    <w:link w:val="73"/>
    <w:qFormat/>
    <w:uiPriority w:val="0"/>
    <w:pPr>
      <w:spacing w:after="60"/>
    </w:pPr>
    <w:rPr>
      <w:rFonts w:ascii="Times New Roman" w:hAnsi="Times New Roman" w:eastAsia="MS Mincho"/>
    </w:rPr>
  </w:style>
  <w:style w:type="paragraph" w:customStyle="1" w:styleId="62">
    <w:name w:val="List Paragraph1"/>
    <w:basedOn w:val="1"/>
    <w:qFormat/>
    <w:uiPriority w:val="0"/>
    <w:pPr>
      <w:widowControl w:val="0"/>
      <w:spacing w:beforeLines="0" w:afterLines="0" w:line="240" w:lineRule="auto"/>
      <w:ind w:firstLine="420" w:firstLineChars="200"/>
    </w:pPr>
    <w:rPr>
      <w:rFonts w:ascii="Calibri" w:hAnsi="Calibri"/>
      <w:szCs w:val="21"/>
    </w:rPr>
  </w:style>
  <w:style w:type="paragraph" w:customStyle="1" w:styleId="63">
    <w:name w:val="YJ-Proposal"/>
    <w:basedOn w:val="1"/>
    <w:qFormat/>
    <w:uiPriority w:val="0"/>
    <w:pPr>
      <w:numPr>
        <w:ilvl w:val="0"/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character" w:customStyle="1" w:styleId="64">
    <w:name w:val="contentpasted2"/>
    <w:basedOn w:val="27"/>
    <w:qFormat/>
    <w:uiPriority w:val="0"/>
  </w:style>
  <w:style w:type="paragraph" w:customStyle="1" w:styleId="65">
    <w:name w:val="TH"/>
    <w:basedOn w:val="1"/>
    <w:qFormat/>
    <w:uiPriority w:val="0"/>
    <w:pPr>
      <w:keepNext/>
      <w:keepLines/>
      <w:spacing w:before="60" w:after="180"/>
      <w:jc w:val="center"/>
    </w:pPr>
    <w:rPr>
      <w:rFonts w:ascii="Arial" w:hAnsi="Arial" w:eastAsia="Times New Roman"/>
      <w:b/>
      <w:sz w:val="20"/>
      <w:lang w:val="en-GB"/>
    </w:rPr>
  </w:style>
  <w:style w:type="paragraph" w:customStyle="1" w:styleId="66">
    <w:name w:val="B1"/>
    <w:basedOn w:val="11"/>
    <w:qFormat/>
    <w:uiPriority w:val="0"/>
  </w:style>
  <w:style w:type="paragraph" w:customStyle="1" w:styleId="67">
    <w:name w:val="B2"/>
    <w:basedOn w:val="10"/>
    <w:qFormat/>
    <w:uiPriority w:val="0"/>
  </w:style>
  <w:style w:type="paragraph" w:customStyle="1" w:styleId="68">
    <w:name w:val="B3"/>
    <w:basedOn w:val="9"/>
    <w:qFormat/>
    <w:uiPriority w:val="0"/>
  </w:style>
  <w:style w:type="paragraph" w:customStyle="1" w:styleId="69">
    <w:name w:val="B4"/>
    <w:basedOn w:val="22"/>
    <w:qFormat/>
    <w:uiPriority w:val="0"/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listparagraph"/>
    <w:basedOn w:val="1"/>
    <w:qFormat/>
    <w:uiPriority w:val="99"/>
    <w:pPr>
      <w:spacing w:line="252" w:lineRule="auto"/>
      <w:ind w:left="720"/>
    </w:pPr>
    <w:rPr>
      <w:rFonts w:ascii="Calibri" w:hAnsi="Calibri" w:eastAsia="Calibri" w:cs="Calibri"/>
      <w:sz w:val="22"/>
      <w:szCs w:val="22"/>
    </w:rPr>
  </w:style>
  <w:style w:type="paragraph" w:customStyle="1" w:styleId="72">
    <w:name w:val="Guidance"/>
    <w:basedOn w:val="1"/>
    <w:qFormat/>
    <w:uiPriority w:val="0"/>
    <w:rPr>
      <w:rFonts w:eastAsia="Times New Roman"/>
      <w:i/>
      <w:color w:val="000000"/>
      <w:lang w:eastAsia="ja-JP"/>
    </w:rPr>
  </w:style>
  <w:style w:type="character" w:customStyle="1" w:styleId="73">
    <w:name w:val="3GPP Normal Text Char"/>
    <w:link w:val="61"/>
    <w:qFormat/>
    <w:uiPriority w:val="0"/>
    <w:rPr>
      <w:rFonts w:ascii="Times New Roman" w:hAnsi="Times New Roman" w:eastAsia="MS Mincho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DDF885-4A48-4901-B9E5-1E21E25215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2162</Words>
  <Characters>12326</Characters>
  <Lines>102</Lines>
  <Paragraphs>28</Paragraphs>
  <TotalTime>1</TotalTime>
  <ScaleCrop>false</ScaleCrop>
  <LinksUpToDate>false</LinksUpToDate>
  <CharactersWithSpaces>14460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2022-09-29T12:33:00Z</dcterms:created>
  <dc:creator>YuzhouHu</dc:creator>
  <cp:lastModifiedBy>ZTE</cp:lastModifiedBy>
  <dcterms:modified xsi:type="dcterms:W3CDTF">2024-04-04T13:38:17Z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0F914704319A4135847C171A670F8B7F</vt:lpwstr>
  </property>
</Properties>
</file>