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9639"/>
        </w:tabs>
        <w:spacing w:before="120" w:after="120" w:line="240" w:lineRule="auto"/>
        <w:ind w:right="2"/>
        <w:rPr>
          <w:rFonts w:ascii="Arial" w:hAnsi="Arial" w:cs="Arial"/>
          <w:b/>
          <w:bCs/>
          <w:sz w:val="22"/>
          <w:szCs w:val="22"/>
        </w:rPr>
      </w:pPr>
      <w:r>
        <w:rPr>
          <w:rFonts w:ascii="Arial" w:hAnsi="Arial" w:cs="Arial"/>
          <w:b/>
          <w:bCs/>
          <w:sz w:val="22"/>
          <w:szCs w:val="22"/>
          <w:lang w:eastAsia="ja-JP"/>
        </w:rPr>
        <w:t>3GPP TSG RAN WG1 meeting #11</w:t>
      </w:r>
      <w:r>
        <w:rPr>
          <w:rFonts w:hint="eastAsia" w:ascii="Arial" w:hAnsi="Arial" w:cs="Arial"/>
          <w:b/>
          <w:bCs/>
          <w:sz w:val="22"/>
          <w:szCs w:val="22"/>
        </w:rPr>
        <w:t>6bis</w:t>
      </w:r>
      <w:r>
        <w:rPr>
          <w:rFonts w:ascii="Arial" w:hAnsi="Arial" w:cs="Arial"/>
          <w:b/>
          <w:bCs/>
          <w:sz w:val="22"/>
          <w:szCs w:val="22"/>
          <w:lang w:eastAsia="ja-JP"/>
        </w:rPr>
        <w:tab/>
      </w:r>
      <w:r>
        <w:rPr>
          <w:rFonts w:ascii="Arial" w:hAnsi="Arial" w:cs="Arial"/>
          <w:b/>
          <w:bCs/>
          <w:sz w:val="22"/>
          <w:szCs w:val="22"/>
          <w:lang w:eastAsia="ja-JP"/>
        </w:rPr>
        <w:tab/>
      </w:r>
      <w:r>
        <w:rPr>
          <w:rFonts w:ascii="Arial" w:hAnsi="Arial" w:cs="Arial"/>
          <w:b/>
          <w:bCs/>
          <w:sz w:val="22"/>
          <w:szCs w:val="22"/>
          <w:lang w:eastAsia="ja-JP"/>
        </w:rPr>
        <w:t xml:space="preserve">                                   R1-</w:t>
      </w:r>
      <w:r>
        <w:rPr>
          <w:rFonts w:hint="eastAsia" w:ascii="Arial" w:hAnsi="Arial" w:cs="Arial"/>
          <w:b/>
          <w:bCs/>
          <w:sz w:val="22"/>
          <w:szCs w:val="22"/>
          <w:lang w:eastAsia="ja-JP"/>
        </w:rPr>
        <w:t>2402192</w:t>
      </w:r>
    </w:p>
    <w:p>
      <w:pPr>
        <w:spacing w:before="120" w:after="120"/>
        <w:rPr>
          <w:rFonts w:ascii="Arial" w:hAnsi="Arial" w:cs="Arial"/>
          <w:b/>
          <w:bCs/>
          <w:sz w:val="22"/>
          <w:szCs w:val="22"/>
        </w:rPr>
      </w:pPr>
      <w:r>
        <w:rPr>
          <w:rFonts w:hint="eastAsia" w:ascii="Arial" w:hAnsi="Arial" w:cs="Arial"/>
          <w:b/>
          <w:bCs/>
          <w:sz w:val="22"/>
          <w:szCs w:val="22"/>
        </w:rPr>
        <w:t>Changsha</w:t>
      </w:r>
      <w:r>
        <w:rPr>
          <w:rFonts w:ascii="Arial" w:hAnsi="Arial" w:cs="Arial"/>
          <w:b/>
          <w:bCs/>
          <w:sz w:val="22"/>
          <w:szCs w:val="22"/>
          <w:lang w:eastAsia="ja-JP"/>
        </w:rPr>
        <w:t xml:space="preserve">, </w:t>
      </w:r>
      <w:r>
        <w:rPr>
          <w:rFonts w:hint="eastAsia" w:ascii="Arial" w:hAnsi="Arial" w:cs="Arial"/>
          <w:b/>
          <w:bCs/>
          <w:sz w:val="22"/>
          <w:szCs w:val="22"/>
        </w:rPr>
        <w:t>China, April 15</w:t>
      </w:r>
      <w:r>
        <w:rPr>
          <w:rFonts w:hint="eastAsia" w:ascii="Arial" w:hAnsi="Arial" w:cs="Arial"/>
          <w:b/>
          <w:bCs/>
          <w:sz w:val="22"/>
          <w:szCs w:val="22"/>
          <w:vertAlign w:val="superscript"/>
        </w:rPr>
        <w:t>th</w:t>
      </w:r>
      <w:r>
        <w:rPr>
          <w:rFonts w:ascii="Arial" w:hAnsi="Arial" w:eastAsia="MS Mincho" w:cs="Arial"/>
          <w:b/>
          <w:bCs/>
          <w:sz w:val="22"/>
          <w:szCs w:val="22"/>
        </w:rPr>
        <w:t xml:space="preserve"> – </w:t>
      </w:r>
      <w:r>
        <w:rPr>
          <w:rFonts w:hint="eastAsia" w:ascii="Arial" w:hAnsi="Arial" w:cs="Arial"/>
          <w:b/>
          <w:bCs/>
          <w:sz w:val="22"/>
          <w:szCs w:val="22"/>
        </w:rPr>
        <w:t>Apr</w:t>
      </w:r>
      <w:r>
        <w:rPr>
          <w:rFonts w:ascii="Arial" w:hAnsi="Arial" w:cs="Arial"/>
          <w:b/>
          <w:bCs/>
          <w:sz w:val="22"/>
          <w:szCs w:val="22"/>
        </w:rPr>
        <w:t>il</w:t>
      </w:r>
      <w:r>
        <w:rPr>
          <w:rFonts w:hint="eastAsia" w:ascii="Arial" w:hAnsi="Arial" w:cs="Arial"/>
          <w:b/>
          <w:bCs/>
          <w:sz w:val="22"/>
          <w:szCs w:val="22"/>
        </w:rPr>
        <w:t xml:space="preserve"> 19</w:t>
      </w:r>
      <w:r>
        <w:rPr>
          <w:rFonts w:hint="eastAsia" w:ascii="Arial" w:hAnsi="Arial" w:cs="Arial"/>
          <w:b/>
          <w:bCs/>
          <w:sz w:val="22"/>
          <w:szCs w:val="22"/>
          <w:vertAlign w:val="superscript"/>
        </w:rPr>
        <w:t>th</w:t>
      </w:r>
      <w:r>
        <w:rPr>
          <w:rFonts w:ascii="Arial" w:hAnsi="Arial" w:cs="Arial"/>
          <w:b/>
          <w:bCs/>
          <w:sz w:val="22"/>
          <w:szCs w:val="22"/>
          <w:lang w:eastAsia="ja-JP"/>
        </w:rPr>
        <w:t>, 202</w:t>
      </w:r>
      <w:r>
        <w:rPr>
          <w:rFonts w:hint="eastAsia" w:ascii="Arial" w:hAnsi="Arial" w:cs="Arial"/>
          <w:b/>
          <w:bCs/>
          <w:sz w:val="22"/>
          <w:szCs w:val="22"/>
        </w:rPr>
        <w:t>4</w:t>
      </w:r>
    </w:p>
    <w:p>
      <w:pPr>
        <w:tabs>
          <w:tab w:val="left" w:pos="1985"/>
        </w:tabs>
        <w:spacing w:before="240" w:beforeLines="100" w:after="120"/>
        <w:ind w:left="1987" w:hanging="1987"/>
        <w:rPr>
          <w:rFonts w:ascii="Arial" w:hAnsi="Arial"/>
          <w:b/>
          <w:sz w:val="22"/>
          <w:szCs w:val="22"/>
        </w:rPr>
      </w:pPr>
      <w:r>
        <w:rPr>
          <w:rFonts w:ascii="Arial" w:hAnsi="Arial"/>
          <w:b/>
          <w:sz w:val="22"/>
          <w:szCs w:val="22"/>
        </w:rPr>
        <w:t xml:space="preserve">Title: </w:t>
      </w:r>
      <w:r>
        <w:rPr>
          <w:rFonts w:ascii="Arial" w:hAnsi="Arial"/>
          <w:b/>
          <w:sz w:val="22"/>
          <w:szCs w:val="22"/>
        </w:rPr>
        <w:tab/>
      </w:r>
      <w:r>
        <w:rPr>
          <w:rFonts w:ascii="Arial" w:hAnsi="Arial"/>
          <w:b/>
          <w:sz w:val="22"/>
          <w:szCs w:val="22"/>
        </w:rPr>
        <w:t>Discussio</w:t>
      </w:r>
      <w:r>
        <w:rPr>
          <w:rFonts w:hint="eastAsia" w:ascii="Arial" w:hAnsi="Arial"/>
          <w:b/>
          <w:sz w:val="22"/>
          <w:szCs w:val="22"/>
        </w:rPr>
        <w:t>n on common signal</w:t>
      </w:r>
      <w:r>
        <w:rPr>
          <w:rFonts w:ascii="Arial" w:hAnsi="Arial"/>
          <w:b/>
          <w:sz w:val="22"/>
          <w:szCs w:val="22"/>
        </w:rPr>
        <w:t xml:space="preserve"> </w:t>
      </w:r>
      <w:r>
        <w:rPr>
          <w:rFonts w:hint="eastAsia" w:ascii="Arial" w:hAnsi="Arial"/>
          <w:b/>
          <w:sz w:val="22"/>
          <w:szCs w:val="22"/>
        </w:rPr>
        <w:t>channel for NES</w:t>
      </w:r>
      <w:r>
        <w:rPr>
          <w:rFonts w:ascii="Arial" w:hAnsi="Arial"/>
          <w:b/>
          <w:sz w:val="22"/>
          <w:szCs w:val="22"/>
        </w:rPr>
        <w:t> </w:t>
      </w:r>
    </w:p>
    <w:p>
      <w:pPr>
        <w:tabs>
          <w:tab w:val="left" w:pos="1985"/>
        </w:tabs>
        <w:spacing w:before="120" w:after="120"/>
        <w:ind w:left="1980" w:hanging="1980"/>
        <w:rPr>
          <w:rFonts w:ascii="Arial" w:hAnsi="Arial"/>
          <w:b/>
          <w:sz w:val="22"/>
          <w:szCs w:val="22"/>
        </w:rPr>
      </w:pPr>
      <w:r>
        <w:rPr>
          <w:rFonts w:ascii="Arial" w:hAnsi="Arial"/>
          <w:b/>
          <w:sz w:val="22"/>
          <w:szCs w:val="22"/>
        </w:rPr>
        <w:t xml:space="preserve">Source: </w:t>
      </w:r>
      <w:r>
        <w:rPr>
          <w:rFonts w:ascii="Arial" w:hAnsi="Arial"/>
          <w:b/>
          <w:sz w:val="22"/>
          <w:szCs w:val="22"/>
        </w:rPr>
        <w:tab/>
      </w:r>
      <w:r>
        <w:rPr>
          <w:rFonts w:ascii="Arial" w:hAnsi="Arial"/>
          <w:b/>
          <w:sz w:val="22"/>
          <w:szCs w:val="22"/>
        </w:rPr>
        <w:t>ZTE, Sanechips</w:t>
      </w:r>
    </w:p>
    <w:p>
      <w:pPr>
        <w:tabs>
          <w:tab w:val="left" w:pos="1985"/>
        </w:tabs>
        <w:spacing w:before="120" w:after="120"/>
        <w:rPr>
          <w:b/>
          <w:sz w:val="20"/>
          <w:szCs w:val="22"/>
        </w:rPr>
      </w:pPr>
      <w:r>
        <w:rPr>
          <w:rFonts w:ascii="Arial" w:hAnsi="Arial"/>
          <w:b/>
          <w:sz w:val="22"/>
          <w:szCs w:val="22"/>
          <w:lang w:val="pt-BR"/>
        </w:rPr>
        <w:t>Agenda item:</w:t>
      </w:r>
      <w:r>
        <w:rPr>
          <w:rFonts w:ascii="Arial" w:hAnsi="Arial"/>
          <w:b/>
          <w:sz w:val="22"/>
          <w:szCs w:val="22"/>
          <w:lang w:val="pt-BR"/>
        </w:rPr>
        <w:tab/>
      </w:r>
      <w:r>
        <w:rPr>
          <w:rFonts w:hint="eastAsia" w:ascii="Arial" w:hAnsi="Arial"/>
          <w:b/>
          <w:sz w:val="22"/>
          <w:szCs w:val="22"/>
        </w:rPr>
        <w:t>9.5.3</w:t>
      </w:r>
    </w:p>
    <w:p>
      <w:pPr>
        <w:tabs>
          <w:tab w:val="left" w:pos="1985"/>
        </w:tabs>
        <w:spacing w:before="120" w:after="120"/>
        <w:ind w:left="1980" w:hanging="1980"/>
        <w:rPr>
          <w:b/>
          <w:sz w:val="22"/>
          <w:szCs w:val="22"/>
          <w:lang w:val="pt-BR"/>
        </w:rPr>
      </w:pPr>
      <w:r>
        <w:rPr>
          <w:rFonts w:ascii="Arial" w:hAnsi="Arial"/>
          <w:b/>
          <w:sz w:val="22"/>
          <w:szCs w:val="22"/>
          <w:lang w:val="pt-BR"/>
        </w:rPr>
        <w:t>Document for:</w:t>
      </w:r>
      <w:r>
        <w:rPr>
          <w:rFonts w:ascii="Arial" w:hAnsi="Arial"/>
          <w:b/>
          <w:sz w:val="22"/>
          <w:szCs w:val="22"/>
          <w:lang w:val="pt-BR"/>
        </w:rPr>
        <w:tab/>
      </w:r>
      <w:r>
        <w:rPr>
          <w:rFonts w:hint="eastAsia" w:ascii="Arial" w:hAnsi="Arial"/>
          <w:b/>
          <w:sz w:val="22"/>
          <w:szCs w:val="22"/>
        </w:rPr>
        <w:t>Discussion</w:t>
      </w:r>
      <w:r>
        <w:rPr>
          <w:rFonts w:ascii="Arial" w:hAnsi="Arial"/>
          <w:b/>
          <w:sz w:val="22"/>
          <w:szCs w:val="22"/>
        </w:rPr>
        <w:t xml:space="preserve"> and decision</w:t>
      </w:r>
    </w:p>
    <w:p>
      <w:pPr>
        <w:pStyle w:val="2"/>
        <w:spacing w:before="120" w:after="120"/>
        <w:ind w:left="0"/>
        <w:rPr>
          <w:rFonts w:eastAsia="宋体"/>
        </w:rPr>
      </w:pPr>
      <w:r>
        <w:rPr>
          <w:rFonts w:hint="eastAsia" w:eastAsia="宋体"/>
        </w:rPr>
        <w:t>Introduction</w:t>
      </w:r>
    </w:p>
    <w:p>
      <w:pPr>
        <w:spacing w:before="120" w:after="120"/>
        <w:rPr>
          <w:szCs w:val="21"/>
        </w:rPr>
      </w:pPr>
      <w:r>
        <w:rPr>
          <w:rFonts w:hint="eastAsia"/>
          <w:szCs w:val="21"/>
        </w:rPr>
        <w:t>In this paper, we further discuss adaptation of SSB in time domain in aspect of use cases, potential schemes in Section 2. The adaptation of PRACH in time domain as well as in spatial domain are discussed in Section 3 and Section 4. Moreover, techniques for adaptation of paging occasions in time domain from RAN1</w:t>
      </w:r>
      <w:r>
        <w:rPr>
          <w:szCs w:val="21"/>
        </w:rPr>
        <w:t>’</w:t>
      </w:r>
      <w:r>
        <w:rPr>
          <w:rFonts w:hint="eastAsia"/>
          <w:szCs w:val="21"/>
        </w:rPr>
        <w:t xml:space="preserve">s perspective are also discussed. </w:t>
      </w:r>
    </w:p>
    <w:p>
      <w:pPr>
        <w:pStyle w:val="2"/>
        <w:spacing w:before="120" w:after="120"/>
        <w:ind w:left="0"/>
      </w:pPr>
      <w:r>
        <w:rPr>
          <w:rFonts w:hint="eastAsia" w:eastAsia="宋体"/>
        </w:rPr>
        <w:t>Adaptation of SSB in time domain</w:t>
      </w:r>
    </w:p>
    <w:p>
      <w:pPr>
        <w:pStyle w:val="3"/>
        <w:spacing w:before="120" w:after="120"/>
        <w:ind w:left="991" w:right="210" w:hanging="991" w:hangingChars="354"/>
      </w:pPr>
      <w:r>
        <w:rPr>
          <w:rFonts w:hint="eastAsia" w:eastAsia="宋体"/>
        </w:rPr>
        <w:t>Scenarios for adaptation of SSB in time domain</w:t>
      </w:r>
    </w:p>
    <w:p>
      <w:pPr>
        <w:spacing w:before="120" w:after="120"/>
      </w:pPr>
      <w:r>
        <w:rPr>
          <w:rFonts w:hint="eastAsia"/>
        </w:rPr>
        <w:t>In RAN1#116 meeting, applicable scenario is agreed as follows</w:t>
      </w:r>
      <w:r>
        <w:t>:</w:t>
      </w:r>
      <w:r>
        <w:rPr>
          <w:rFonts w:hint="eastAsia"/>
        </w:rPr>
        <w:t xml:space="preserve"> </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52" w:type="dxa"/>
          </w:tcPr>
          <w:p>
            <w:pPr>
              <w:spacing w:before="120" w:after="0" w:afterLines="0" w:line="240" w:lineRule="auto"/>
              <w:rPr>
                <w:b/>
                <w:bCs/>
                <w:highlight w:val="green"/>
              </w:rPr>
            </w:pPr>
            <w:r>
              <w:rPr>
                <w:b/>
                <w:bCs/>
                <w:highlight w:val="green"/>
              </w:rPr>
              <w:t>Agreement</w:t>
            </w:r>
          </w:p>
          <w:p>
            <w:pPr>
              <w:pStyle w:val="15"/>
              <w:spacing w:beforeLines="0" w:after="0" w:afterLines="0" w:line="240" w:lineRule="auto"/>
              <w:rPr>
                <w:rFonts w:ascii="Times New Roman" w:hAnsi="Times New Roman"/>
              </w:rPr>
            </w:pPr>
            <w:r>
              <w:rPr>
                <w:rFonts w:ascii="Times New Roman" w:hAnsi="Times New Roman"/>
              </w:rPr>
              <w:t xml:space="preserve">For the adaptation mechanisms of SSB in time-domain, study further applicable scenarios and associated legacy UE impact/handling (if any) based on the following: </w:t>
            </w:r>
          </w:p>
          <w:p>
            <w:pPr>
              <w:pStyle w:val="15"/>
              <w:numPr>
                <w:ilvl w:val="0"/>
                <w:numId w:val="5"/>
              </w:numPr>
              <w:spacing w:beforeLines="0" w:after="0" w:afterLines="0" w:line="240" w:lineRule="auto"/>
              <w:jc w:val="left"/>
              <w:rPr>
                <w:rFonts w:ascii="Times New Roman" w:hAnsi="Times New Roman"/>
              </w:rPr>
            </w:pPr>
            <w:r>
              <w:rPr>
                <w:rFonts w:ascii="Times New Roman" w:hAnsi="Times New Roman"/>
              </w:rPr>
              <w:t xml:space="preserve">Applicability to UE in idle/inactive and/or connected mode </w:t>
            </w:r>
          </w:p>
          <w:p>
            <w:pPr>
              <w:pStyle w:val="15"/>
              <w:numPr>
                <w:ilvl w:val="0"/>
                <w:numId w:val="5"/>
              </w:numPr>
              <w:spacing w:beforeLines="0" w:line="240" w:lineRule="auto"/>
              <w:ind w:left="714" w:hanging="357"/>
              <w:jc w:val="left"/>
            </w:pPr>
            <w:r>
              <w:rPr>
                <w:rFonts w:ascii="Times New Roman" w:hAnsi="Times New Roman"/>
              </w:rPr>
              <w:t>Applicability to PCell and/or SCell(s)</w:t>
            </w:r>
          </w:p>
        </w:tc>
      </w:tr>
    </w:tbl>
    <w:p>
      <w:pPr>
        <w:spacing w:before="120" w:after="120"/>
      </w:pPr>
      <w:r>
        <w:rPr>
          <w:rFonts w:hint="eastAsia"/>
        </w:rPr>
        <w:t xml:space="preserve">From the perspective of </w:t>
      </w:r>
      <w:r>
        <w:t xml:space="preserve">NES capable </w:t>
      </w:r>
      <w:r>
        <w:rPr>
          <w:rFonts w:hint="eastAsia"/>
        </w:rPr>
        <w:t xml:space="preserve">UE, a NES cell serves for both UEs in idle/inactive mode and connected mode. Towards UEs in connected mode, adaptation of SSB in time domain may affect measurement of UE, </w:t>
      </w:r>
      <w:r>
        <w:t>e.g.</w:t>
      </w:r>
      <w:r>
        <w:rPr>
          <w:rFonts w:hint="eastAsia"/>
        </w:rPr>
        <w:t xml:space="preserve">, RRM measurement. </w:t>
      </w:r>
      <w:r>
        <w:t>For</w:t>
      </w:r>
      <w:r>
        <w:rPr>
          <w:rFonts w:hint="eastAsia"/>
        </w:rPr>
        <w:t xml:space="preserve"> UEs in idle/inactive mode, adaptation of SSB in time domain may affect the </w:t>
      </w:r>
      <w:r>
        <w:t>initial</w:t>
      </w:r>
      <w:r>
        <w:rPr>
          <w:rFonts w:hint="eastAsia"/>
        </w:rPr>
        <w:t xml:space="preserve"> access of UE. </w:t>
      </w:r>
    </w:p>
    <w:p>
      <w:pPr>
        <w:spacing w:before="120" w:after="120"/>
      </w:pPr>
      <w:r>
        <w:t>For example</w:t>
      </w:r>
      <w:r>
        <w:rPr>
          <w:rFonts w:hint="eastAsia"/>
        </w:rPr>
        <w:t xml:space="preserve">, UE in idle/inactive mode assumes the periodicity of SSB is 2 radio frames (i.e., 20ms). If idle/inactive UEs are able to access the </w:t>
      </w:r>
      <w:r>
        <w:t xml:space="preserve">NES </w:t>
      </w:r>
      <w:r>
        <w:rPr>
          <w:rFonts w:hint="eastAsia"/>
        </w:rPr>
        <w:t xml:space="preserve">cell by the SSB with </w:t>
      </w:r>
      <w:r>
        <w:t>larger</w:t>
      </w:r>
      <w:r>
        <w:rPr>
          <w:rFonts w:hint="eastAsia"/>
        </w:rPr>
        <w:t xml:space="preserve"> periodicity </w:t>
      </w:r>
      <w:r>
        <w:t>than</w:t>
      </w:r>
      <w:r>
        <w:rPr>
          <w:rFonts w:hint="eastAsia"/>
        </w:rPr>
        <w:t xml:space="preserve"> 20ms, </w:t>
      </w:r>
      <w:r>
        <w:t>decent</w:t>
      </w:r>
      <w:r>
        <w:rPr>
          <w:rFonts w:hint="eastAsia"/>
        </w:rPr>
        <w:t xml:space="preserve"> NES gain would be obtained since gNB </w:t>
      </w:r>
      <w:r>
        <w:t>can transmit</w:t>
      </w:r>
      <w:r>
        <w:rPr>
          <w:rFonts w:hint="eastAsia"/>
        </w:rPr>
        <w:t xml:space="preserve"> sparse SSB transmission.</w:t>
      </w:r>
    </w:p>
    <w:p>
      <w:pPr>
        <w:pStyle w:val="60"/>
        <w:spacing w:before="120" w:after="120"/>
        <w:jc w:val="both"/>
        <w:rPr>
          <w:lang w:val="en-US" w:eastAsia="zh-CN"/>
        </w:rPr>
      </w:pPr>
      <w:bookmarkStart w:id="0" w:name="_Toc2449"/>
      <w:bookmarkStart w:id="1" w:name="_Toc31185"/>
      <w:r>
        <w:rPr>
          <w:rFonts w:hint="eastAsia"/>
          <w:lang w:val="en-US" w:eastAsia="zh-CN"/>
        </w:rPr>
        <w:t xml:space="preserve">The bottleneck of obtaining significant NES gain </w:t>
      </w:r>
      <w:r>
        <w:rPr>
          <w:lang w:val="en-US" w:eastAsia="zh-CN"/>
        </w:rPr>
        <w:t>from</w:t>
      </w:r>
      <w:r>
        <w:rPr>
          <w:rFonts w:hint="eastAsia"/>
          <w:lang w:val="en-US" w:eastAsia="zh-CN"/>
        </w:rPr>
        <w:t xml:space="preserve"> adaptation of SSB in time domain </w:t>
      </w:r>
      <w:r>
        <w:rPr>
          <w:lang w:val="en-US" w:eastAsia="zh-CN"/>
        </w:rPr>
        <w:t>lies</w:t>
      </w:r>
      <w:r>
        <w:rPr>
          <w:rFonts w:hint="eastAsia"/>
          <w:lang w:val="en-US" w:eastAsia="zh-CN"/>
        </w:rPr>
        <w:t xml:space="preserve"> on the idle/inactive UEs.</w:t>
      </w:r>
      <w:bookmarkEnd w:id="0"/>
      <w:bookmarkEnd w:id="1"/>
    </w:p>
    <w:p>
      <w:pPr>
        <w:spacing w:before="120" w:after="120"/>
      </w:pPr>
      <w:r>
        <w:t>Regarding</w:t>
      </w:r>
      <w:r>
        <w:rPr>
          <w:rFonts w:hint="eastAsia"/>
        </w:rPr>
        <w:t xml:space="preserve"> impact on legacy UEs</w:t>
      </w:r>
      <w:r>
        <w:t xml:space="preserve"> if any</w:t>
      </w:r>
      <w:r>
        <w:rPr>
          <w:rFonts w:hint="eastAsia"/>
        </w:rPr>
        <w:t>, some solutions can be considered for reducing the negative impact.</w:t>
      </w:r>
      <w:r>
        <w:t xml:space="preserve"> For example, </w:t>
      </w:r>
      <w:r>
        <w:rPr>
          <w:rFonts w:hint="eastAsia"/>
        </w:rPr>
        <w:t xml:space="preserve">UEs are barred to access in the </w:t>
      </w:r>
      <w:r>
        <w:t xml:space="preserve">NES </w:t>
      </w:r>
      <w:r>
        <w:rPr>
          <w:rFonts w:hint="eastAsia"/>
        </w:rPr>
        <w:t>cell</w:t>
      </w:r>
      <w:r>
        <w:t>.</w:t>
      </w:r>
      <w:r>
        <w:rPr>
          <w:rFonts w:hint="eastAsia"/>
        </w:rPr>
        <w:t xml:space="preserve"> In this case, gNB is capable of adapting the periodicity according to its system load without considering impact on legacy UE. </w:t>
      </w:r>
      <w:r>
        <w:t>And</w:t>
      </w:r>
      <w:r>
        <w:rPr>
          <w:rFonts w:hint="eastAsia"/>
        </w:rPr>
        <w:t xml:space="preserve"> adaptation of SSB in time domain in this </w:t>
      </w:r>
      <w:r>
        <w:t>case</w:t>
      </w:r>
      <w:r>
        <w:rPr>
          <w:rFonts w:hint="eastAsia"/>
        </w:rPr>
        <w:t xml:space="preserve"> can obtain </w:t>
      </w:r>
      <w:r>
        <w:t>good</w:t>
      </w:r>
      <w:r>
        <w:rPr>
          <w:rFonts w:hint="eastAsia"/>
        </w:rPr>
        <w:t xml:space="preserve"> NES gain. </w:t>
      </w:r>
    </w:p>
    <w:p>
      <w:pPr>
        <w:pStyle w:val="60"/>
        <w:numPr>
          <w:ilvl w:val="0"/>
          <w:numId w:val="0"/>
        </w:numPr>
        <w:spacing w:before="120" w:after="120"/>
        <w:jc w:val="both"/>
        <w:rPr>
          <w:lang w:val="en-US" w:eastAsia="zh-CN"/>
        </w:rPr>
      </w:pPr>
      <w:bookmarkStart w:id="2" w:name="_Toc1212"/>
      <w:bookmarkStart w:id="3" w:name="_Toc21971"/>
      <w:r>
        <w:rPr>
          <w:lang w:val="en-US" w:eastAsia="zh-CN"/>
        </w:rPr>
        <w:t>Observation 2: There are</w:t>
      </w:r>
      <w:r>
        <w:rPr>
          <w:rFonts w:hint="eastAsia"/>
          <w:lang w:val="en-US" w:eastAsia="zh-CN"/>
        </w:rPr>
        <w:t xml:space="preserve"> solutions for reducing the impact on legacy UE, including e.g., legacy UEs are barred to access in the NES cell.</w:t>
      </w:r>
      <w:bookmarkEnd w:id="2"/>
      <w:bookmarkEnd w:id="3"/>
    </w:p>
    <w:p>
      <w:pPr>
        <w:pStyle w:val="63"/>
        <w:spacing w:before="120" w:after="120"/>
        <w:jc w:val="both"/>
        <w:rPr>
          <w:lang w:val="en-US" w:eastAsia="zh-CN"/>
        </w:rPr>
      </w:pPr>
      <w:bookmarkStart w:id="4" w:name="_Toc2862"/>
      <w:bookmarkStart w:id="5" w:name="_Toc1418"/>
      <w:r>
        <w:rPr>
          <w:rFonts w:hint="eastAsia"/>
          <w:lang w:val="en-US" w:eastAsia="zh-CN"/>
        </w:rPr>
        <w:t>Prioritize to study SSB adaptation in time domain for idle/inactive UEs.</w:t>
      </w:r>
      <w:bookmarkEnd w:id="4"/>
      <w:bookmarkEnd w:id="5"/>
      <w:r>
        <w:rPr>
          <w:rFonts w:hint="eastAsia"/>
          <w:lang w:val="en-US" w:eastAsia="zh-CN"/>
        </w:rPr>
        <w:t xml:space="preserve"> </w:t>
      </w:r>
    </w:p>
    <w:p>
      <w:pPr>
        <w:spacing w:before="120" w:after="120"/>
      </w:pPr>
      <w:r>
        <w:t>As for connected UE (NES capable UE), we think the technique developed for idle/inactive UE can be applicable to connected UEs. And f</w:t>
      </w:r>
      <w:r>
        <w:rPr>
          <w:rFonts w:hint="eastAsia"/>
        </w:rPr>
        <w:t xml:space="preserve">rom the perspective of PCell and/or SCell(s), we are open to consider both. </w:t>
      </w:r>
    </w:p>
    <w:p>
      <w:pPr>
        <w:pStyle w:val="63"/>
        <w:spacing w:before="120" w:after="120"/>
        <w:jc w:val="both"/>
        <w:rPr>
          <w:lang w:val="en-US" w:eastAsia="zh-CN"/>
        </w:rPr>
      </w:pPr>
      <w:bookmarkStart w:id="6" w:name="_Toc13385"/>
      <w:bookmarkStart w:id="7" w:name="_Toc32656"/>
      <w:r>
        <w:rPr>
          <w:lang w:val="en-US" w:eastAsia="zh-CN"/>
        </w:rPr>
        <w:t>F</w:t>
      </w:r>
      <w:r>
        <w:rPr>
          <w:rFonts w:hint="eastAsia"/>
          <w:lang w:val="en-US" w:eastAsia="zh-CN"/>
        </w:rPr>
        <w:t xml:space="preserve">urther </w:t>
      </w:r>
      <w:r>
        <w:rPr>
          <w:lang w:val="en-US" w:eastAsia="zh-CN"/>
        </w:rPr>
        <w:t>s</w:t>
      </w:r>
      <w:r>
        <w:rPr>
          <w:rFonts w:hint="eastAsia"/>
          <w:lang w:val="en-US" w:eastAsia="zh-CN"/>
        </w:rPr>
        <w:t>tudy SSB adaptation in time domain for connected UEs.</w:t>
      </w:r>
      <w:bookmarkEnd w:id="6"/>
      <w:bookmarkEnd w:id="7"/>
    </w:p>
    <w:p>
      <w:pPr>
        <w:spacing w:before="120" w:after="120"/>
      </w:pPr>
      <w:r>
        <w:t>I</w:t>
      </w:r>
      <w:r>
        <w:rPr>
          <w:rFonts w:hint="eastAsia"/>
        </w:rPr>
        <w:t xml:space="preserve">n the </w:t>
      </w:r>
      <w:r>
        <w:t xml:space="preserve">AI </w:t>
      </w:r>
      <w:r>
        <w:rPr>
          <w:rFonts w:hint="eastAsia"/>
        </w:rPr>
        <w:t xml:space="preserve">9.5.1, </w:t>
      </w:r>
      <w:r>
        <w:t>t</w:t>
      </w:r>
      <w:r>
        <w:rPr>
          <w:rFonts w:hint="eastAsia"/>
        </w:rPr>
        <w:t>here is a</w:t>
      </w:r>
      <w:r>
        <w:t>n</w:t>
      </w:r>
      <w:r>
        <w:rPr>
          <w:rFonts w:hint="eastAsia"/>
        </w:rPr>
        <w:t xml:space="preserve"> agreement associated with the case that SSB periodicity adaptation in time domain as follows: [1]</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spacing w:beforeLines="0" w:after="0" w:afterLines="0" w:line="240" w:lineRule="auto"/>
              <w:rPr>
                <w:b/>
                <w:bCs/>
                <w:szCs w:val="21"/>
                <w:highlight w:val="green"/>
              </w:rPr>
            </w:pPr>
            <w:r>
              <w:rPr>
                <w:b/>
                <w:bCs/>
                <w:szCs w:val="21"/>
                <w:highlight w:val="green"/>
              </w:rPr>
              <w:t>Agreement</w:t>
            </w:r>
          </w:p>
          <w:p>
            <w:pPr>
              <w:pStyle w:val="40"/>
              <w:spacing w:after="0" w:afterLines="0" w:line="240" w:lineRule="auto"/>
              <w:ind w:left="0"/>
              <w:rPr>
                <w:rFonts w:eastAsia="Malgun Gothic"/>
                <w:sz w:val="21"/>
                <w:szCs w:val="21"/>
              </w:rPr>
            </w:pPr>
            <w:r>
              <w:rPr>
                <w:sz w:val="21"/>
                <w:szCs w:val="21"/>
              </w:rPr>
              <w:t xml:space="preserve">Regarding the UE assumption on SSB transmission on a cell supporting on-demand SSB SCell operation, </w:t>
            </w:r>
            <w:r>
              <w:rPr>
                <w:rFonts w:hint="eastAsia"/>
                <w:sz w:val="21"/>
                <w:szCs w:val="21"/>
              </w:rPr>
              <w:t>the</w:t>
            </w:r>
            <w:r>
              <w:rPr>
                <w:sz w:val="21"/>
                <w:szCs w:val="21"/>
                <w:lang w:eastAsia="ko-KR"/>
              </w:rPr>
              <w:t xml:space="preserve"> following cases are identified for further study:</w:t>
            </w:r>
          </w:p>
          <w:p>
            <w:pPr>
              <w:pStyle w:val="40"/>
              <w:numPr>
                <w:ilvl w:val="0"/>
                <w:numId w:val="6"/>
              </w:numPr>
              <w:spacing w:after="0" w:afterLines="0" w:line="240" w:lineRule="auto"/>
              <w:rPr>
                <w:rFonts w:eastAsia="Malgun Gothic"/>
                <w:sz w:val="21"/>
                <w:szCs w:val="21"/>
              </w:rPr>
            </w:pPr>
            <w:r>
              <w:rPr>
                <w:sz w:val="21"/>
                <w:szCs w:val="21"/>
              </w:rPr>
              <w:t>Case #1: No always-on SSB on the cell</w:t>
            </w:r>
          </w:p>
          <w:p>
            <w:pPr>
              <w:pStyle w:val="40"/>
              <w:numPr>
                <w:ilvl w:val="0"/>
                <w:numId w:val="6"/>
              </w:numPr>
              <w:spacing w:after="0" w:afterLines="0" w:line="240" w:lineRule="auto"/>
              <w:rPr>
                <w:rFonts w:eastAsia="Malgun Gothic"/>
                <w:color w:val="auto"/>
                <w:sz w:val="21"/>
                <w:szCs w:val="21"/>
              </w:rPr>
            </w:pPr>
            <w:r>
              <w:rPr>
                <w:sz w:val="21"/>
                <w:szCs w:val="21"/>
              </w:rPr>
              <w:t>Case #2: Always-on SSB is periodically trans</w:t>
            </w:r>
            <w:bookmarkStart w:id="29" w:name="_GoBack"/>
            <w:r>
              <w:rPr>
                <w:color w:val="auto"/>
                <w:sz w:val="21"/>
                <w:szCs w:val="21"/>
              </w:rPr>
              <w:t>mitted on the cell</w:t>
            </w:r>
          </w:p>
          <w:p>
            <w:pPr>
              <w:pStyle w:val="40"/>
              <w:numPr>
                <w:ilvl w:val="0"/>
                <w:numId w:val="6"/>
              </w:numPr>
              <w:spacing w:after="0" w:afterLines="0" w:line="240" w:lineRule="auto"/>
              <w:rPr>
                <w:rFonts w:eastAsia="Malgun Gothic"/>
                <w:sz w:val="21"/>
                <w:szCs w:val="21"/>
              </w:rPr>
            </w:pPr>
            <w:r>
              <w:rPr>
                <w:color w:val="auto"/>
                <w:sz w:val="21"/>
                <w:szCs w:val="21"/>
              </w:rPr>
              <w:t>FFS: Whether always-on SSB and on-demand SSB are not cell-defining SSB if transmitt</w:t>
            </w:r>
            <w:bookmarkEnd w:id="29"/>
            <w:r>
              <w:rPr>
                <w:sz w:val="21"/>
                <w:szCs w:val="21"/>
              </w:rPr>
              <w:t>ed.</w:t>
            </w:r>
          </w:p>
          <w:p>
            <w:pPr>
              <w:spacing w:beforeLines="0" w:after="0" w:afterLines="0" w:line="240" w:lineRule="auto"/>
            </w:pPr>
            <w:r>
              <w:rPr>
                <w:szCs w:val="21"/>
              </w:rPr>
              <w:t>FFS: Which scenario the above applies for</w:t>
            </w:r>
          </w:p>
        </w:tc>
      </w:tr>
    </w:tbl>
    <w:p>
      <w:pPr>
        <w:spacing w:before="120" w:after="120"/>
      </w:pPr>
      <w:r>
        <w:rPr>
          <w:rFonts w:hint="eastAsia"/>
        </w:rPr>
        <w:t>From our perspective, Case#2 is about SSB periodicity adaptation in time domain in SCell, which is in the scope of AI 9.5.3. Therefore, we suggest to discuss Case#2 in AI 9.5.3.</w:t>
      </w:r>
    </w:p>
    <w:p>
      <w:pPr>
        <w:pStyle w:val="63"/>
        <w:spacing w:before="120" w:after="120"/>
        <w:jc w:val="both"/>
        <w:rPr>
          <w:lang w:val="en-US" w:eastAsia="zh-CN"/>
        </w:rPr>
      </w:pPr>
      <w:bookmarkStart w:id="8" w:name="_Toc28120"/>
      <w:bookmarkStart w:id="9" w:name="_Toc9234"/>
      <w:r>
        <w:rPr>
          <w:rFonts w:hint="eastAsia"/>
          <w:lang w:val="en-US" w:eastAsia="zh-CN"/>
        </w:rPr>
        <w:t>The study of Case #2: Always-on SSB is periodically transmitted on the cell in AI 9.5.1 should be move to AI 9.5.3.</w:t>
      </w:r>
      <w:bookmarkEnd w:id="8"/>
      <w:bookmarkEnd w:id="9"/>
      <w:r>
        <w:rPr>
          <w:rFonts w:hint="eastAsia"/>
          <w:lang w:val="en-US" w:eastAsia="zh-CN"/>
        </w:rPr>
        <w:t xml:space="preserve">  </w:t>
      </w:r>
    </w:p>
    <w:p>
      <w:pPr>
        <w:pStyle w:val="3"/>
        <w:spacing w:before="120" w:after="120"/>
        <w:ind w:left="991" w:right="210" w:hanging="991" w:hangingChars="354"/>
        <w:rPr>
          <w:rFonts w:eastAsia="宋体"/>
        </w:rPr>
      </w:pPr>
      <w:r>
        <w:rPr>
          <w:rFonts w:hint="eastAsia" w:eastAsia="宋体"/>
        </w:rPr>
        <w:t xml:space="preserve">Potential schemes for adaptation of SSB in time domain </w:t>
      </w:r>
    </w:p>
    <w:p>
      <w:pPr>
        <w:spacing w:before="120" w:after="120"/>
      </w:pPr>
      <w:r>
        <w:rPr>
          <w:rFonts w:hint="eastAsia"/>
        </w:rPr>
        <w:t xml:space="preserve">In RAN1#116 meeting, we summarized the potential schemes for adaptation of SSB in time domain [1]. </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spacing w:beforeLines="0" w:after="0" w:afterLines="0" w:line="240" w:lineRule="auto"/>
              <w:rPr>
                <w:b/>
                <w:bCs/>
                <w:highlight w:val="green"/>
              </w:rPr>
            </w:pPr>
            <w:r>
              <w:rPr>
                <w:b/>
                <w:bCs/>
                <w:highlight w:val="green"/>
              </w:rPr>
              <w:t>Agreement</w:t>
            </w:r>
          </w:p>
          <w:p>
            <w:pPr>
              <w:spacing w:beforeLines="0" w:after="0" w:afterLines="0" w:line="240" w:lineRule="auto"/>
              <w:rPr>
                <w:rFonts w:cs="Times"/>
              </w:rPr>
            </w:pPr>
            <w:r>
              <w:rPr>
                <w:rFonts w:cs="Times"/>
              </w:rPr>
              <w:t xml:space="preserve">For adaptation of SSB in time-domain, consider the following adaptation mechanisms for further study </w:t>
            </w:r>
          </w:p>
          <w:p>
            <w:pPr>
              <w:pStyle w:val="15"/>
              <w:numPr>
                <w:ilvl w:val="0"/>
                <w:numId w:val="7"/>
              </w:numPr>
              <w:suppressAutoHyphens/>
              <w:spacing w:beforeLines="0" w:after="0" w:afterLines="0" w:line="240" w:lineRule="auto"/>
              <w:rPr>
                <w:rFonts w:cs="Times"/>
                <w:szCs w:val="20"/>
              </w:rPr>
            </w:pPr>
            <w:r>
              <w:rPr>
                <w:rFonts w:cs="Times"/>
                <w:szCs w:val="20"/>
              </w:rPr>
              <w:t>Adaptation of SSB burst periodicity</w:t>
            </w:r>
            <w:r>
              <w:rPr>
                <w:rFonts w:hint="eastAsia" w:cs="Times"/>
                <w:szCs w:val="20"/>
              </w:rPr>
              <w:t xml:space="preserve"> (*)</w:t>
            </w:r>
          </w:p>
          <w:p>
            <w:pPr>
              <w:pStyle w:val="15"/>
              <w:numPr>
                <w:ilvl w:val="0"/>
                <w:numId w:val="7"/>
              </w:numPr>
              <w:suppressAutoHyphens/>
              <w:spacing w:beforeLines="0" w:after="0" w:afterLines="0" w:line="240" w:lineRule="auto"/>
              <w:rPr>
                <w:rFonts w:cs="Times"/>
                <w:szCs w:val="20"/>
              </w:rPr>
            </w:pPr>
            <w:r>
              <w:rPr>
                <w:rFonts w:cs="Times"/>
                <w:szCs w:val="20"/>
              </w:rPr>
              <w:t>Adaptation based on two SSB configurations where up to two configurations can be active</w:t>
            </w:r>
            <w:r>
              <w:rPr>
                <w:rFonts w:hint="eastAsia" w:cs="Times"/>
                <w:szCs w:val="20"/>
              </w:rPr>
              <w:t xml:space="preserve"> (*)</w:t>
            </w:r>
          </w:p>
          <w:p>
            <w:pPr>
              <w:numPr>
                <w:ilvl w:val="0"/>
                <w:numId w:val="7"/>
              </w:numPr>
              <w:spacing w:beforeLines="0" w:after="0" w:afterLines="0" w:line="240" w:lineRule="auto"/>
              <w:rPr>
                <w:rFonts w:cs="Times"/>
              </w:rPr>
            </w:pPr>
            <w:r>
              <w:rPr>
                <w:rFonts w:cs="Times"/>
              </w:rPr>
              <w:t>Adaptation based on skipping/transmitting some SSB bursts non-uniformly with single SSB configuration</w:t>
            </w:r>
          </w:p>
          <w:p>
            <w:pPr>
              <w:numPr>
                <w:ilvl w:val="0"/>
                <w:numId w:val="7"/>
              </w:numPr>
              <w:spacing w:beforeLines="0" w:after="0" w:afterLines="0" w:line="240" w:lineRule="auto"/>
              <w:rPr>
                <w:rFonts w:cs="Times"/>
              </w:rPr>
            </w:pPr>
            <w:r>
              <w:rPr>
                <w:rFonts w:cs="Times"/>
              </w:rPr>
              <w:t>Adapting the transmitted number of SSBs within a SSB burst</w:t>
            </w:r>
          </w:p>
          <w:p>
            <w:pPr>
              <w:pStyle w:val="15"/>
              <w:numPr>
                <w:ilvl w:val="0"/>
                <w:numId w:val="7"/>
              </w:numPr>
              <w:suppressAutoHyphens/>
              <w:spacing w:beforeLines="0" w:after="0" w:afterLines="0" w:line="240" w:lineRule="auto"/>
              <w:rPr>
                <w:rFonts w:cs="Times"/>
                <w:szCs w:val="20"/>
              </w:rPr>
            </w:pPr>
            <w:r>
              <w:rPr>
                <w:rFonts w:cs="Times"/>
                <w:szCs w:val="20"/>
              </w:rPr>
              <w:t>Cell DTX for SSB adaptation</w:t>
            </w:r>
          </w:p>
          <w:p>
            <w:pPr>
              <w:pStyle w:val="15"/>
              <w:numPr>
                <w:ilvl w:val="0"/>
                <w:numId w:val="7"/>
              </w:numPr>
              <w:suppressAutoHyphens/>
              <w:spacing w:beforeLines="0" w:after="0" w:afterLines="0" w:line="240" w:lineRule="auto"/>
              <w:rPr>
                <w:rFonts w:cs="Times"/>
                <w:szCs w:val="20"/>
              </w:rPr>
            </w:pPr>
            <w:r>
              <w:rPr>
                <w:rFonts w:cs="Times"/>
                <w:szCs w:val="20"/>
              </w:rPr>
              <w:t>Whether to support new SSB burst periodicity value(s)</w:t>
            </w:r>
          </w:p>
          <w:p>
            <w:pPr>
              <w:pStyle w:val="15"/>
              <w:numPr>
                <w:ilvl w:val="0"/>
                <w:numId w:val="7"/>
              </w:numPr>
              <w:suppressAutoHyphens/>
              <w:spacing w:beforeLines="0" w:after="0" w:afterLines="0" w:line="240" w:lineRule="auto"/>
              <w:rPr>
                <w:rFonts w:cs="Times"/>
                <w:szCs w:val="20"/>
              </w:rPr>
            </w:pPr>
            <w:r>
              <w:rPr>
                <w:rFonts w:cs="Times"/>
                <w:szCs w:val="20"/>
              </w:rPr>
              <w:t>Whether to support new SSB burst(s) (i.e. how SSB transmission is made within a burst)</w:t>
            </w:r>
          </w:p>
          <w:p>
            <w:pPr>
              <w:pStyle w:val="15"/>
              <w:numPr>
                <w:ilvl w:val="1"/>
                <w:numId w:val="7"/>
              </w:numPr>
              <w:suppressAutoHyphens/>
              <w:spacing w:beforeLines="0" w:after="0" w:afterLines="0" w:line="240" w:lineRule="auto"/>
              <w:rPr>
                <w:rFonts w:cs="Times"/>
                <w:szCs w:val="20"/>
              </w:rPr>
            </w:pPr>
            <w:r>
              <w:rPr>
                <w:rFonts w:cs="Times"/>
                <w:szCs w:val="20"/>
              </w:rPr>
              <w:t xml:space="preserve">New compact SSB burst(s) </w:t>
            </w:r>
          </w:p>
          <w:p>
            <w:pPr>
              <w:pStyle w:val="15"/>
              <w:numPr>
                <w:ilvl w:val="1"/>
                <w:numId w:val="7"/>
              </w:numPr>
              <w:suppressAutoHyphens/>
              <w:spacing w:beforeLines="0" w:after="0" w:afterLines="0" w:line="240" w:lineRule="auto"/>
              <w:rPr>
                <w:rFonts w:cs="Times"/>
                <w:szCs w:val="20"/>
              </w:rPr>
            </w:pPr>
            <w:r>
              <w:rPr>
                <w:rFonts w:cs="Times"/>
                <w:szCs w:val="20"/>
              </w:rPr>
              <w:t>Adapting the position of SSBs within a SSB burst</w:t>
            </w:r>
          </w:p>
          <w:p>
            <w:pPr>
              <w:spacing w:beforeLines="0" w:after="0" w:afterLines="0" w:line="240" w:lineRule="auto"/>
            </w:pPr>
            <w:r>
              <w:rPr>
                <w:rFonts w:cs="Times"/>
              </w:rPr>
              <w:t>Other mechanisms/combinations are not precluded</w:t>
            </w:r>
          </w:p>
        </w:tc>
      </w:tr>
    </w:tbl>
    <w:p>
      <w:pPr>
        <w:spacing w:before="120" w:after="120"/>
      </w:pPr>
      <w:r>
        <w:rPr>
          <w:rFonts w:hint="eastAsia"/>
        </w:rPr>
        <w:t xml:space="preserve">From </w:t>
      </w:r>
      <w:r>
        <w:t>our</w:t>
      </w:r>
      <w:r>
        <w:rPr>
          <w:rFonts w:hint="eastAsia"/>
        </w:rPr>
        <w:t xml:space="preserve"> perspective, mechanisms of adaptation of SSB burst transmission in time domain should focus on e.g., adaptation of SSB burst periodicity, adaptation of SSB configuration. On the other hand, adaptation of SSB within SSB burst considers the adjustment of SSB transmission in one SSB burst, may not harvest network energy saving. Since gNB is capable of going to sleep in a time internal by adaptation of SSB burst transmission in long time, but difficult going to sleep by adaptation of SSB in one SSB burst.</w:t>
      </w:r>
    </w:p>
    <w:p>
      <w:pPr>
        <w:spacing w:before="120" w:after="120"/>
      </w:pPr>
      <w:r>
        <w:rPr>
          <w:rFonts w:hint="eastAsia"/>
        </w:rPr>
        <w:t xml:space="preserve">Moreover, we think general schemes for adaptation of SSB in time domain should be prioritized, and schemes for specific scenarios, including e.g., cell DTX scenario can be further studied. </w:t>
      </w:r>
    </w:p>
    <w:p>
      <w:pPr>
        <w:spacing w:before="120" w:after="120"/>
      </w:pPr>
      <w:r>
        <w:rPr>
          <w:rFonts w:hint="eastAsia"/>
        </w:rPr>
        <w:t>To this end, adaptation of SSB burst periodicity, adaptation based on two SSB configurations where up to two configurations can be active should be considered.</w:t>
      </w:r>
    </w:p>
    <w:p>
      <w:pPr>
        <w:pStyle w:val="63"/>
        <w:spacing w:before="120" w:after="120"/>
        <w:jc w:val="both"/>
        <w:rPr>
          <w:lang w:val="en-US" w:eastAsia="zh-CN"/>
        </w:rPr>
      </w:pPr>
      <w:bookmarkStart w:id="10" w:name="_Toc10153"/>
      <w:r>
        <w:rPr>
          <w:rFonts w:hint="eastAsia"/>
          <w:lang w:val="en-US" w:eastAsia="zh-CN"/>
        </w:rPr>
        <w:t>Prioritize to specify adaptation of SSB burst in time domain, including, e.g.,</w:t>
      </w:r>
      <w:bookmarkEnd w:id="10"/>
      <w:r>
        <w:rPr>
          <w:rFonts w:hint="eastAsia"/>
          <w:lang w:val="en-US" w:eastAsia="zh-CN"/>
        </w:rPr>
        <w:t xml:space="preserve"> </w:t>
      </w:r>
    </w:p>
    <w:p>
      <w:pPr>
        <w:pStyle w:val="63"/>
        <w:numPr>
          <w:ilvl w:val="1"/>
          <w:numId w:val="4"/>
        </w:numPr>
        <w:tabs>
          <w:tab w:val="clear" w:pos="840"/>
        </w:tabs>
        <w:spacing w:before="120" w:after="120"/>
        <w:jc w:val="both"/>
        <w:rPr>
          <w:lang w:val="en-US" w:eastAsia="zh-CN"/>
        </w:rPr>
      </w:pPr>
      <w:bookmarkStart w:id="11" w:name="_Toc30571"/>
      <w:r>
        <w:rPr>
          <w:rFonts w:hint="eastAsia"/>
          <w:lang w:val="en-US" w:eastAsia="zh-CN"/>
        </w:rPr>
        <w:t>adaptation of SSB burst periodicity</w:t>
      </w:r>
      <w:bookmarkEnd w:id="11"/>
      <w:r>
        <w:rPr>
          <w:rFonts w:hint="eastAsia"/>
          <w:lang w:val="en-US" w:eastAsia="zh-CN"/>
        </w:rPr>
        <w:t xml:space="preserve"> </w:t>
      </w:r>
    </w:p>
    <w:p>
      <w:pPr>
        <w:pStyle w:val="63"/>
        <w:numPr>
          <w:ilvl w:val="1"/>
          <w:numId w:val="4"/>
        </w:numPr>
        <w:tabs>
          <w:tab w:val="clear" w:pos="840"/>
        </w:tabs>
        <w:spacing w:before="120" w:after="120"/>
        <w:jc w:val="both"/>
        <w:rPr>
          <w:lang w:val="en-US" w:eastAsia="zh-CN"/>
        </w:rPr>
      </w:pPr>
      <w:bookmarkStart w:id="12" w:name="_Toc12020"/>
      <w:r>
        <w:rPr>
          <w:rFonts w:hint="eastAsia"/>
          <w:lang w:val="en-US" w:eastAsia="zh-CN"/>
        </w:rPr>
        <w:t>adaptation based on two SSB configurations</w:t>
      </w:r>
      <w:bookmarkEnd w:id="12"/>
    </w:p>
    <w:p>
      <w:pPr>
        <w:pStyle w:val="63"/>
        <w:numPr>
          <w:ilvl w:val="1"/>
          <w:numId w:val="4"/>
        </w:numPr>
        <w:tabs>
          <w:tab w:val="clear" w:pos="840"/>
        </w:tabs>
        <w:spacing w:before="120" w:after="120"/>
        <w:jc w:val="both"/>
        <w:rPr>
          <w:lang w:val="en-US" w:eastAsia="zh-CN"/>
        </w:rPr>
      </w:pPr>
      <w:bookmarkStart w:id="13" w:name="_Toc30869"/>
      <w:r>
        <w:rPr>
          <w:rFonts w:hint="eastAsia"/>
          <w:lang w:val="en-US" w:eastAsia="zh-CN"/>
        </w:rPr>
        <w:t>adaptation based on skipping/transmitting some SSB bursts non-uniformly with single SSB configuration.</w:t>
      </w:r>
      <w:bookmarkEnd w:id="13"/>
    </w:p>
    <w:p>
      <w:pPr>
        <w:pStyle w:val="4"/>
        <w:spacing w:after="120"/>
        <w:ind w:left="850" w:right="210" w:hanging="849" w:hangingChars="354"/>
      </w:pPr>
      <w:r>
        <w:rPr>
          <w:rFonts w:hint="eastAsia"/>
        </w:rPr>
        <w:t xml:space="preserve">Signaling for adaptation of SSB in time domain </w:t>
      </w:r>
    </w:p>
    <w:p>
      <w:pPr>
        <w:spacing w:before="120" w:after="120"/>
      </w:pPr>
      <w:r>
        <w:rPr>
          <w:rFonts w:hint="eastAsia"/>
        </w:rPr>
        <w:t xml:space="preserve">In RAN1#116 meeting, we summarize the potential mechanism for adaptation of SSB in time domain [1]. </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spacing w:beforeLines="0" w:after="0" w:afterLines="0" w:line="240" w:lineRule="auto"/>
              <w:rPr>
                <w:b/>
                <w:bCs/>
                <w:highlight w:val="green"/>
              </w:rPr>
            </w:pPr>
            <w:r>
              <w:rPr>
                <w:b/>
                <w:bCs/>
                <w:highlight w:val="green"/>
              </w:rPr>
              <w:t>Agreement</w:t>
            </w:r>
          </w:p>
          <w:p>
            <w:pPr>
              <w:pStyle w:val="15"/>
              <w:spacing w:beforeLines="0" w:after="0" w:afterLines="0" w:line="240" w:lineRule="auto"/>
              <w:rPr>
                <w:rFonts w:ascii="Times New Roman" w:hAnsi="Times New Roman"/>
              </w:rPr>
            </w:pPr>
            <w:r>
              <w:rPr>
                <w:rFonts w:ascii="Times New Roman" w:hAnsi="Times New Roman"/>
              </w:rPr>
              <w:t xml:space="preserve">For the adaptation mechanisms of SSB in time-domain, study further following mechanisms: </w:t>
            </w:r>
          </w:p>
          <w:p>
            <w:pPr>
              <w:pStyle w:val="15"/>
              <w:numPr>
                <w:ilvl w:val="0"/>
                <w:numId w:val="5"/>
              </w:numPr>
              <w:spacing w:beforeLines="0" w:after="0" w:afterLines="0" w:line="240" w:lineRule="auto"/>
              <w:jc w:val="left"/>
              <w:rPr>
                <w:rFonts w:ascii="Times New Roman" w:hAnsi="Times New Roman"/>
              </w:rPr>
            </w:pPr>
            <w:r>
              <w:rPr>
                <w:rFonts w:ascii="Times New Roman" w:hAnsi="Times New Roman"/>
              </w:rPr>
              <w:t>Adaptation mechanism indicated or configured by gNB without UE trigger</w:t>
            </w:r>
          </w:p>
          <w:p>
            <w:pPr>
              <w:pStyle w:val="15"/>
              <w:numPr>
                <w:ilvl w:val="0"/>
                <w:numId w:val="5"/>
              </w:numPr>
              <w:spacing w:beforeLines="0" w:after="0" w:afterLines="0" w:line="240" w:lineRule="auto"/>
              <w:jc w:val="left"/>
              <w:rPr>
                <w:rFonts w:ascii="Times New Roman" w:hAnsi="Times New Roman"/>
              </w:rPr>
            </w:pPr>
            <w:r>
              <w:rPr>
                <w:rFonts w:ascii="Times New Roman" w:hAnsi="Times New Roman"/>
              </w:rPr>
              <w:t>Adaptation triggered by UE (if any)</w:t>
            </w:r>
          </w:p>
          <w:p>
            <w:pPr>
              <w:spacing w:beforeLines="0" w:after="0" w:afterLines="0" w:line="240" w:lineRule="auto"/>
            </w:pPr>
            <w:r>
              <w:t>FFS: Details of associated signaling/indication/configuration</w:t>
            </w:r>
          </w:p>
        </w:tc>
      </w:tr>
    </w:tbl>
    <w:p>
      <w:pPr>
        <w:spacing w:before="120" w:after="120"/>
      </w:pPr>
      <w:r>
        <w:rPr>
          <w:rFonts w:hint="eastAsia"/>
        </w:rPr>
        <w:t>At first, the adaptation mechanism indicated or configured by gNB without UE trigger should be firstly considered. For adaptation triggered by UE, we think the motivation should be clarified.</w:t>
      </w:r>
    </w:p>
    <w:p>
      <w:pPr>
        <w:spacing w:before="120" w:after="120"/>
      </w:pPr>
      <w:r>
        <w:rPr>
          <w:rFonts w:hint="eastAsia"/>
        </w:rPr>
        <w:t xml:space="preserve">In current specification [3], UEs obtains parameters for SSB through </w:t>
      </w:r>
      <w:r>
        <w:rPr>
          <w:rFonts w:hint="eastAsia"/>
          <w:i/>
          <w:iCs/>
        </w:rPr>
        <w:t xml:space="preserve">SIB1 </w:t>
      </w:r>
      <w:r>
        <w:rPr>
          <w:rFonts w:hint="eastAsia"/>
        </w:rPr>
        <w:t xml:space="preserve">or </w:t>
      </w:r>
      <w:r>
        <w:rPr>
          <w:rFonts w:hint="eastAsia"/>
          <w:i/>
          <w:iCs/>
        </w:rPr>
        <w:t>ServingCellConfigCommon</w:t>
      </w:r>
      <w:r>
        <w:rPr>
          <w:rFonts w:hint="eastAsia"/>
        </w:rPr>
        <w:t>, such as</w:t>
      </w:r>
      <w:r>
        <w:rPr>
          <w:rFonts w:hint="eastAsia"/>
          <w:i/>
          <w:iCs/>
        </w:rPr>
        <w:t xml:space="preserve"> </w:t>
      </w:r>
      <w:r>
        <w:rPr>
          <w:rFonts w:hint="eastAsia"/>
        </w:rPr>
        <w:t xml:space="preserve">periodicity through </w:t>
      </w:r>
      <w:r>
        <w:rPr>
          <w:rFonts w:hint="eastAsia"/>
          <w:i/>
          <w:iCs/>
        </w:rPr>
        <w:t>ssb-periodicityServingCell</w:t>
      </w:r>
      <w:r>
        <w:rPr>
          <w:rFonts w:hint="eastAsia"/>
        </w:rPr>
        <w:t>, which can be set as a value from</w:t>
      </w:r>
      <w:r>
        <w:t xml:space="preserve"> </w:t>
      </w:r>
      <w:r>
        <w:rPr>
          <w:rFonts w:hint="eastAsia"/>
        </w:rPr>
        <w:t xml:space="preserve">{5ms, 10ms, 20ms, 80ms, 160ms}. For mechanism for adaptation of SSB in time domain, one way is to use system information to inform the adaptation. However, system information can be only updated in modification period, which is multiple of paging cycles. If adaptation of SSB can be only updated via system information, the latency is large. And large update latency will make it difficult to fit into the </w:t>
      </w:r>
      <w:r>
        <w:t>time-</w:t>
      </w:r>
      <w:r>
        <w:rPr>
          <w:rFonts w:hint="eastAsia"/>
        </w:rPr>
        <w:t>var</w:t>
      </w:r>
      <w:r>
        <w:t xml:space="preserve">ying </w:t>
      </w:r>
      <w:r>
        <w:rPr>
          <w:rFonts w:hint="eastAsia"/>
        </w:rPr>
        <w:t xml:space="preserve">cell load. Hence, it is beneficial to update the periodicity SSB in a fast way. </w:t>
      </w:r>
    </w:p>
    <w:p>
      <w:pPr>
        <w:pStyle w:val="63"/>
        <w:spacing w:before="120" w:after="120"/>
        <w:jc w:val="both"/>
        <w:rPr>
          <w:lang w:val="en-US" w:eastAsia="zh-CN"/>
        </w:rPr>
      </w:pPr>
      <w:bookmarkStart w:id="14" w:name="_Toc23792"/>
      <w:r>
        <w:rPr>
          <w:rFonts w:hint="eastAsia"/>
          <w:lang w:val="en-US" w:eastAsia="zh-CN"/>
        </w:rPr>
        <w:t>Specify dynamic signaling for adaptation of SSB in time domain.</w:t>
      </w:r>
      <w:bookmarkEnd w:id="14"/>
    </w:p>
    <w:p>
      <w:pPr>
        <w:pStyle w:val="2"/>
        <w:spacing w:before="120" w:after="120"/>
        <w:ind w:left="0"/>
      </w:pPr>
      <w:r>
        <w:rPr>
          <w:rFonts w:hint="eastAsia" w:eastAsia="宋体"/>
        </w:rPr>
        <w:t xml:space="preserve">Adaptation of PRACH in time domain  </w:t>
      </w:r>
      <w:r>
        <w:rPr>
          <w:rFonts w:eastAsia="宋体"/>
        </w:rPr>
        <w:t xml:space="preserve"> </w:t>
      </w:r>
      <w:bookmarkStart w:id="15" w:name="_Toc525"/>
      <w:bookmarkEnd w:id="15"/>
      <w:bookmarkStart w:id="16" w:name="_Toc82"/>
      <w:bookmarkEnd w:id="16"/>
      <w:bookmarkStart w:id="17" w:name="_Toc29400"/>
      <w:bookmarkEnd w:id="17"/>
      <w:bookmarkStart w:id="18" w:name="_Toc29089"/>
      <w:bookmarkEnd w:id="18"/>
    </w:p>
    <w:p>
      <w:pPr>
        <w:pStyle w:val="3"/>
        <w:spacing w:before="120" w:after="120"/>
        <w:ind w:left="991" w:right="210" w:hanging="991" w:hangingChars="354"/>
        <w:rPr>
          <w:rFonts w:eastAsia="宋体"/>
        </w:rPr>
      </w:pPr>
      <w:r>
        <w:rPr>
          <w:rFonts w:hint="eastAsia" w:eastAsia="宋体"/>
        </w:rPr>
        <w:t>Potential schemes for adaptation of PRACH in time domain</w:t>
      </w:r>
    </w:p>
    <w:p>
      <w:pPr>
        <w:spacing w:before="120" w:after="120"/>
      </w:pPr>
      <w:r>
        <w:rPr>
          <w:rFonts w:hint="eastAsia"/>
        </w:rPr>
        <w:t xml:space="preserve">In RAN1#116 meeting, we summarize the potential schemes for adaptation of PRACH in time domain. [1] </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spacing w:beforeLines="0" w:after="0" w:afterLines="0" w:line="240" w:lineRule="auto"/>
              <w:rPr>
                <w:b/>
                <w:bCs/>
                <w:highlight w:val="green"/>
              </w:rPr>
            </w:pPr>
            <w:r>
              <w:rPr>
                <w:b/>
                <w:bCs/>
                <w:highlight w:val="green"/>
              </w:rPr>
              <w:t>Agreement</w:t>
            </w:r>
          </w:p>
          <w:p>
            <w:pPr>
              <w:pStyle w:val="15"/>
              <w:suppressAutoHyphens/>
              <w:spacing w:beforeLines="0" w:after="0" w:afterLines="0" w:line="240" w:lineRule="auto"/>
              <w:rPr>
                <w:rFonts w:ascii="Times New Roman" w:hAnsi="Times New Roman"/>
              </w:rPr>
            </w:pPr>
            <w:r>
              <w:rPr>
                <w:rFonts w:ascii="Times New Roman" w:hAnsi="Times New Roman"/>
              </w:rPr>
              <w:t>For adaptation of PRACH in time-domain, consider the following adaptation mechanisms for further study</w:t>
            </w:r>
          </w:p>
          <w:p>
            <w:pPr>
              <w:pStyle w:val="15"/>
              <w:numPr>
                <w:ilvl w:val="0"/>
                <w:numId w:val="7"/>
              </w:numPr>
              <w:suppressAutoHyphens/>
              <w:spacing w:beforeLines="0" w:after="0" w:afterLines="0" w:line="240" w:lineRule="auto"/>
              <w:jc w:val="left"/>
              <w:rPr>
                <w:rFonts w:ascii="Times New Roman" w:hAnsi="Times New Roman"/>
              </w:rPr>
            </w:pPr>
            <w:r>
              <w:rPr>
                <w:rFonts w:ascii="Times New Roman" w:hAnsi="Times New Roman"/>
              </w:rPr>
              <w:t>Adaptation based on configuration of additional[/different] PRACH resources for NES-capable UEs in addition to PRACH resources for legacy UEs (if any)</w:t>
            </w:r>
          </w:p>
          <w:p>
            <w:pPr>
              <w:pStyle w:val="15"/>
              <w:numPr>
                <w:ilvl w:val="1"/>
                <w:numId w:val="7"/>
              </w:numPr>
              <w:suppressAutoHyphens/>
              <w:spacing w:beforeLines="0" w:after="0" w:afterLines="0" w:line="240" w:lineRule="auto"/>
              <w:jc w:val="left"/>
              <w:rPr>
                <w:rFonts w:ascii="Times New Roman" w:hAnsi="Times New Roman"/>
              </w:rPr>
            </w:pPr>
            <w:r>
              <w:rPr>
                <w:rFonts w:ascii="Times New Roman" w:hAnsi="Times New Roman"/>
              </w:rPr>
              <w:t>Note: NES-capable UEs can use both additional PRACH resources and PRACH resources for legacy UEs</w:t>
            </w:r>
          </w:p>
          <w:p>
            <w:pPr>
              <w:pStyle w:val="15"/>
              <w:numPr>
                <w:ilvl w:val="0"/>
                <w:numId w:val="7"/>
              </w:numPr>
              <w:suppressAutoHyphens/>
              <w:spacing w:beforeLines="0" w:after="0" w:afterLines="0" w:line="240" w:lineRule="auto"/>
              <w:jc w:val="left"/>
              <w:rPr>
                <w:rFonts w:ascii="Times New Roman" w:hAnsi="Times New Roman"/>
              </w:rPr>
            </w:pPr>
            <w:r>
              <w:rPr>
                <w:rFonts w:ascii="Times New Roman" w:hAnsi="Times New Roman"/>
              </w:rPr>
              <w:t>For the additional PRACH resources,</w:t>
            </w:r>
          </w:p>
          <w:p>
            <w:pPr>
              <w:pStyle w:val="15"/>
              <w:numPr>
                <w:ilvl w:val="1"/>
                <w:numId w:val="7"/>
              </w:numPr>
              <w:suppressAutoHyphens/>
              <w:spacing w:beforeLines="0" w:after="0" w:afterLines="0" w:line="240" w:lineRule="auto"/>
              <w:jc w:val="left"/>
              <w:rPr>
                <w:rFonts w:ascii="Times New Roman" w:hAnsi="Times New Roman"/>
              </w:rPr>
            </w:pPr>
            <w:r>
              <w:rPr>
                <w:rFonts w:ascii="Times New Roman" w:hAnsi="Times New Roman"/>
              </w:rPr>
              <w:t xml:space="preserve">Adaptation of PRACH resource periodicity/PRACH occasion </w:t>
            </w:r>
          </w:p>
          <w:p>
            <w:pPr>
              <w:pStyle w:val="15"/>
              <w:numPr>
                <w:ilvl w:val="1"/>
                <w:numId w:val="7"/>
              </w:numPr>
              <w:suppressAutoHyphens/>
              <w:spacing w:beforeLines="0" w:after="0" w:afterLines="0" w:line="240" w:lineRule="auto"/>
              <w:jc w:val="left"/>
              <w:rPr>
                <w:rFonts w:ascii="Times New Roman" w:hAnsi="Times New Roman"/>
              </w:rPr>
            </w:pPr>
            <w:r>
              <w:rPr>
                <w:rFonts w:ascii="Times New Roman" w:hAnsi="Times New Roman"/>
              </w:rPr>
              <w:t>Adaptation at PRACH configuration/association period/association pattern period level and SSB to RO mapping cycle</w:t>
            </w:r>
          </w:p>
          <w:p>
            <w:pPr>
              <w:pStyle w:val="15"/>
              <w:numPr>
                <w:ilvl w:val="1"/>
                <w:numId w:val="7"/>
              </w:numPr>
              <w:suppressAutoHyphens/>
              <w:spacing w:beforeLines="0" w:after="0" w:afterLines="0" w:line="240" w:lineRule="auto"/>
              <w:jc w:val="left"/>
              <w:rPr>
                <w:rFonts w:ascii="Times New Roman" w:hAnsi="Times New Roman"/>
              </w:rPr>
            </w:pPr>
            <w:r>
              <w:rPr>
                <w:rFonts w:ascii="Times New Roman" w:hAnsi="Times New Roman"/>
              </w:rPr>
              <w:t>Adaptation based on extending cell DRX operation for PRACH</w:t>
            </w:r>
          </w:p>
          <w:p>
            <w:pPr>
              <w:pStyle w:val="15"/>
              <w:numPr>
                <w:ilvl w:val="1"/>
                <w:numId w:val="7"/>
              </w:numPr>
              <w:suppressAutoHyphens/>
              <w:spacing w:beforeLines="0" w:after="0" w:afterLines="0" w:line="240" w:lineRule="auto"/>
              <w:jc w:val="left"/>
              <w:rPr>
                <w:rFonts w:ascii="Times New Roman" w:hAnsi="Times New Roman"/>
              </w:rPr>
            </w:pPr>
            <w:r>
              <w:rPr>
                <w:rFonts w:ascii="Times New Roman" w:hAnsi="Times New Roman"/>
              </w:rPr>
              <w:t>Concentrating ROs in time domain</w:t>
            </w:r>
          </w:p>
          <w:p>
            <w:pPr>
              <w:pStyle w:val="15"/>
              <w:numPr>
                <w:ilvl w:val="0"/>
                <w:numId w:val="7"/>
              </w:numPr>
              <w:suppressAutoHyphens/>
              <w:spacing w:beforeLines="0" w:after="0" w:afterLines="0" w:line="240" w:lineRule="auto"/>
              <w:jc w:val="left"/>
              <w:rPr>
                <w:szCs w:val="21"/>
              </w:rPr>
            </w:pPr>
            <w:r>
              <w:rPr>
                <w:rFonts w:ascii="Times New Roman" w:hAnsi="Times New Roman"/>
              </w:rPr>
              <w:t>Other options are not precluded</w:t>
            </w:r>
          </w:p>
        </w:tc>
      </w:tr>
    </w:tbl>
    <w:p>
      <w:pPr>
        <w:spacing w:before="120" w:after="120"/>
        <w:rPr>
          <w:szCs w:val="21"/>
        </w:rPr>
      </w:pPr>
      <w:r>
        <w:rPr>
          <w:rFonts w:hint="eastAsia"/>
          <w:szCs w:val="21"/>
        </w:rPr>
        <w:t>At first, the adaptation mechanisms for adaptation of PRACH in time domain focus on additional/different PRACH resource for NES-capable UEs in addition to PRACH resources for legacy UEs. To our understanding, based on the PRACH configuration, the term of the additional PRACH resources has the same meaning as the term of different PRACH resources, since there is a note in sub-bullet illustrating that NES-capable UEs can use both additional PRACH resources and PRACH resources for legacy UEs.</w:t>
      </w:r>
    </w:p>
    <w:p>
      <w:pPr>
        <w:spacing w:before="120" w:after="120"/>
      </w:pPr>
      <w:r>
        <w:rPr>
          <w:rFonts w:hint="eastAsia"/>
          <w:szCs w:val="21"/>
        </w:rPr>
        <w:t>Then for additional PRACH resource, the NES gain originates from large time period when gNB is able to go to sleep.</w:t>
      </w:r>
      <w:r>
        <w:rPr>
          <w:rFonts w:hint="eastAsia"/>
        </w:rPr>
        <w:t xml:space="preserve"> Based on the potential schemes for additional PRACH resources in the agreement, we consider adaptation of PRACH resource periodicity/PRACH occasion, and concentrating ROs in time domain. </w:t>
      </w:r>
    </w:p>
    <w:p>
      <w:pPr>
        <w:spacing w:before="120" w:after="120"/>
      </w:pPr>
      <w:r>
        <w:rPr>
          <w:rFonts w:hint="eastAsia"/>
        </w:rPr>
        <w:t xml:space="preserve">Towards adaptation of </w:t>
      </w:r>
      <w:r>
        <w:rPr>
          <w:rFonts w:hint="eastAsia"/>
          <w:color w:val="000000" w:themeColor="text1"/>
          <w14:textFill>
            <w14:solidFill>
              <w14:schemeClr w14:val="tx1"/>
            </w14:solidFill>
          </w14:textFill>
        </w:rPr>
        <w:t xml:space="preserve">PRACH resource periodicity, the additional PRACH resources originate from changing periodicity. For example, if PRACH configuration period is adjusted from 40ms to 20ms, legacy UE still follow </w:t>
      </w:r>
      <w:r>
        <w:rPr>
          <w:color w:val="000000" w:themeColor="text1"/>
          <w14:textFill>
            <w14:solidFill>
              <w14:schemeClr w14:val="tx1"/>
            </w14:solidFill>
          </w14:textFill>
        </w:rPr>
        <w:t>its</w:t>
      </w:r>
      <w:r>
        <w:rPr>
          <w:rFonts w:hint="eastAsia"/>
          <w:color w:val="000000" w:themeColor="text1"/>
          <w14:textFill>
            <w14:solidFill>
              <w14:schemeClr w14:val="tx1"/>
            </w14:solidFill>
          </w14:textFill>
        </w:rPr>
        <w:t xml:space="preserve"> original PRACH configuration (periodicity of 40ms) for initial access, as illustrated in Figure 1</w:t>
      </w:r>
      <w:r>
        <w:rPr>
          <w:rFonts w:hint="eastAsia"/>
        </w:rPr>
        <w:t>.</w:t>
      </w:r>
    </w:p>
    <w:p>
      <w:pPr>
        <w:spacing w:before="120" w:after="120"/>
        <w:jc w:val="center"/>
      </w:pPr>
      <w:r>
        <w:drawing>
          <wp:inline distT="0" distB="0" distL="114300" distR="114300">
            <wp:extent cx="5699760" cy="756920"/>
            <wp:effectExtent l="0" t="0" r="15240" b="5080"/>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pic:cNvPicPr>
                      <a:picLocks noChangeAspect="1"/>
                    </pic:cNvPicPr>
                  </pic:nvPicPr>
                  <pic:blipFill>
                    <a:blip r:embed="rId12"/>
                    <a:stretch>
                      <a:fillRect/>
                    </a:stretch>
                  </pic:blipFill>
                  <pic:spPr>
                    <a:xfrm>
                      <a:off x="0" y="0"/>
                      <a:ext cx="5699760" cy="756920"/>
                    </a:xfrm>
                    <a:prstGeom prst="rect">
                      <a:avLst/>
                    </a:prstGeom>
                    <a:noFill/>
                    <a:ln>
                      <a:noFill/>
                    </a:ln>
                  </pic:spPr>
                </pic:pic>
              </a:graphicData>
            </a:graphic>
          </wp:inline>
        </w:drawing>
      </w:r>
    </w:p>
    <w:p>
      <w:pPr>
        <w:spacing w:before="120" w:after="120"/>
        <w:jc w:val="center"/>
      </w:pPr>
      <w:r>
        <w:rPr>
          <w:rFonts w:hint="eastAsia"/>
        </w:rPr>
        <w:t>Figure 1 Illustration of adaptation of PRACH resource periodicity.</w:t>
      </w:r>
    </w:p>
    <w:p>
      <w:pPr>
        <w:spacing w:before="120" w:after="120"/>
      </w:pPr>
      <w:r>
        <w:rPr>
          <w:rFonts w:hint="eastAsia"/>
        </w:rPr>
        <w:t>Towards adaptation of PRACH occasion, the additional PRACH resources are added on demanded. In Figure 2, adaptation of PRACH occasion is based on the PRACH configuration period with periodicity of 160ms. Due to changing of system load, i.e., there would be more NES-capable UEs in the cell, additional PRACH resources are needed in order to balance the NES gain and access capacity.</w:t>
      </w:r>
    </w:p>
    <w:p>
      <w:pPr>
        <w:spacing w:before="120" w:after="120"/>
        <w:jc w:val="center"/>
      </w:pPr>
      <w:r>
        <w:drawing>
          <wp:inline distT="0" distB="0" distL="114300" distR="114300">
            <wp:extent cx="5531485" cy="813435"/>
            <wp:effectExtent l="0" t="0" r="12065" b="571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3"/>
                    <a:stretch>
                      <a:fillRect/>
                    </a:stretch>
                  </pic:blipFill>
                  <pic:spPr>
                    <a:xfrm>
                      <a:off x="0" y="0"/>
                      <a:ext cx="5531485" cy="813435"/>
                    </a:xfrm>
                    <a:prstGeom prst="rect">
                      <a:avLst/>
                    </a:prstGeom>
                    <a:noFill/>
                    <a:ln>
                      <a:noFill/>
                    </a:ln>
                  </pic:spPr>
                </pic:pic>
              </a:graphicData>
            </a:graphic>
          </wp:inline>
        </w:drawing>
      </w:r>
    </w:p>
    <w:p>
      <w:pPr>
        <w:spacing w:before="120" w:after="120"/>
        <w:jc w:val="center"/>
      </w:pPr>
      <w:r>
        <w:rPr>
          <w:rFonts w:hint="eastAsia"/>
        </w:rPr>
        <w:t>Figure 2 Illustration of adaptation of PRACH occasion</w:t>
      </w:r>
    </w:p>
    <w:p>
      <w:pPr>
        <w:spacing w:before="120" w:after="120"/>
        <w:rPr>
          <w:color w:val="000000" w:themeColor="text1"/>
          <w14:textFill>
            <w14:solidFill>
              <w14:schemeClr w14:val="tx1"/>
            </w14:solidFill>
          </w14:textFill>
        </w:rPr>
      </w:pPr>
      <w:r>
        <w:rPr>
          <w:rFonts w:hint="eastAsia"/>
        </w:rPr>
        <w:t xml:space="preserve">Towards concentrating ROs in time domain, the additional PRACH resource can be acquired by the PRACH configuration. In Figure 3, assuming there was a new PRACH configuration, </w:t>
      </w:r>
      <w:r>
        <w:rPr>
          <w:rFonts w:hint="eastAsia"/>
          <w:color w:val="000000" w:themeColor="text1"/>
          <w14:textFill>
            <w14:solidFill>
              <w14:schemeClr w14:val="tx1"/>
            </w14:solidFill>
          </w14:textFill>
        </w:rPr>
        <w:t>the PRACH configuration includes ROs which legacy UEs can be acknowledged (colored in blue). When the PRACH occasions in configured in the cell, legacy UEs is capable of using the acknowledged ROs for initial access. While NES capable UE is supposed to prioritize to use other ROs (in green) which is not recognized by legacy UE.</w:t>
      </w:r>
    </w:p>
    <w:p>
      <w:pPr>
        <w:spacing w:before="120" w:after="120"/>
        <w:jc w:val="center"/>
      </w:pPr>
      <w:r>
        <w:drawing>
          <wp:inline distT="0" distB="0" distL="114300" distR="114300">
            <wp:extent cx="5661025" cy="1515745"/>
            <wp:effectExtent l="0" t="0" r="15875"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4"/>
                    <a:stretch>
                      <a:fillRect/>
                    </a:stretch>
                  </pic:blipFill>
                  <pic:spPr>
                    <a:xfrm>
                      <a:off x="0" y="0"/>
                      <a:ext cx="5661025" cy="1515745"/>
                    </a:xfrm>
                    <a:prstGeom prst="rect">
                      <a:avLst/>
                    </a:prstGeom>
                    <a:noFill/>
                    <a:ln>
                      <a:noFill/>
                    </a:ln>
                  </pic:spPr>
                </pic:pic>
              </a:graphicData>
            </a:graphic>
          </wp:inline>
        </w:drawing>
      </w:r>
    </w:p>
    <w:p>
      <w:pPr>
        <w:spacing w:before="120" w:after="120"/>
        <w:jc w:val="center"/>
        <w:rPr>
          <w:color w:val="000000" w:themeColor="text1"/>
          <w14:textFill>
            <w14:solidFill>
              <w14:schemeClr w14:val="tx1"/>
            </w14:solidFill>
          </w14:textFill>
        </w:rPr>
      </w:pPr>
      <w:r>
        <w:rPr>
          <w:rFonts w:hint="eastAsia"/>
        </w:rPr>
        <w:t>Figure 3 Illustration of con</w:t>
      </w:r>
      <w:r>
        <w:t>centrating ROs in time domain</w:t>
      </w:r>
    </w:p>
    <w:p>
      <w:pPr>
        <w:spacing w:before="120" w:after="120"/>
      </w:pPr>
      <w:r>
        <w:rPr>
          <w:rFonts w:hint="eastAsia"/>
        </w:rPr>
        <w:t>For adaptation at PRACH association period and association pattern period level and SSB to RO mapping cycle, they are relevant to SSB to RO mapping. Thus it should be discussed in adaptation of PRACH in spatial domain.</w:t>
      </w:r>
    </w:p>
    <w:p>
      <w:pPr>
        <w:spacing w:before="120" w:after="120"/>
        <w:rPr>
          <w:szCs w:val="21"/>
        </w:rPr>
      </w:pPr>
      <w:r>
        <w:rPr>
          <w:rFonts w:hint="eastAsia"/>
        </w:rPr>
        <w:t>To this end, adaptation of PRACH resource periodicity/PRACH occasion and concentrating RO in time domain are preferred for adaptation of PRACH in time domain. We have the following proposal:</w:t>
      </w:r>
    </w:p>
    <w:p>
      <w:pPr>
        <w:pStyle w:val="63"/>
        <w:spacing w:before="120" w:after="120"/>
        <w:jc w:val="both"/>
        <w:rPr>
          <w:lang w:val="en-US" w:eastAsia="zh-CN"/>
        </w:rPr>
      </w:pPr>
      <w:bookmarkStart w:id="19" w:name="_Toc30297"/>
      <w:r>
        <w:rPr>
          <w:rFonts w:hint="eastAsia"/>
          <w:lang w:val="en-US" w:eastAsia="zh-CN"/>
        </w:rPr>
        <w:t>Specify additional PRACH resources for NES, including e.g.,</w:t>
      </w:r>
      <w:bookmarkEnd w:id="19"/>
      <w:r>
        <w:rPr>
          <w:rFonts w:hint="eastAsia"/>
          <w:lang w:val="en-US" w:eastAsia="zh-CN"/>
        </w:rPr>
        <w:t xml:space="preserve"> </w:t>
      </w:r>
    </w:p>
    <w:p>
      <w:pPr>
        <w:pStyle w:val="63"/>
        <w:numPr>
          <w:ilvl w:val="1"/>
          <w:numId w:val="4"/>
        </w:numPr>
        <w:tabs>
          <w:tab w:val="clear" w:pos="840"/>
        </w:tabs>
        <w:spacing w:before="120" w:after="120"/>
        <w:jc w:val="both"/>
        <w:rPr>
          <w:lang w:val="en-US" w:eastAsia="zh-CN"/>
        </w:rPr>
      </w:pPr>
      <w:bookmarkStart w:id="20" w:name="_Toc30752"/>
      <w:r>
        <w:rPr>
          <w:rFonts w:hint="eastAsia"/>
          <w:lang w:val="en-US" w:eastAsia="zh-CN"/>
        </w:rPr>
        <w:t>A</w:t>
      </w:r>
      <w:r>
        <w:rPr>
          <w:lang w:val="en-US" w:eastAsia="zh-CN"/>
        </w:rPr>
        <w:t>daptation of PRACH resource periodicity/PRACH occasion</w:t>
      </w:r>
      <w:bookmarkEnd w:id="20"/>
      <w:r>
        <w:rPr>
          <w:lang w:val="en-US" w:eastAsia="zh-CN"/>
        </w:rPr>
        <w:t xml:space="preserve"> </w:t>
      </w:r>
    </w:p>
    <w:p>
      <w:pPr>
        <w:pStyle w:val="63"/>
        <w:numPr>
          <w:ilvl w:val="1"/>
          <w:numId w:val="4"/>
        </w:numPr>
        <w:tabs>
          <w:tab w:val="clear" w:pos="840"/>
        </w:tabs>
        <w:spacing w:before="120" w:after="120"/>
        <w:jc w:val="both"/>
        <w:rPr>
          <w:lang w:val="en-US" w:eastAsia="zh-CN"/>
        </w:rPr>
      </w:pPr>
      <w:bookmarkStart w:id="21" w:name="_Toc25714"/>
      <w:r>
        <w:rPr>
          <w:rFonts w:hint="eastAsia"/>
          <w:lang w:val="en-US" w:eastAsia="zh-CN"/>
        </w:rPr>
        <w:t>C</w:t>
      </w:r>
      <w:r>
        <w:rPr>
          <w:lang w:val="en-US" w:eastAsia="zh-CN"/>
        </w:rPr>
        <w:t>oncentrating ROs in the time domain</w:t>
      </w:r>
      <w:bookmarkEnd w:id="21"/>
      <w:r>
        <w:rPr>
          <w:lang w:val="en-US" w:eastAsia="zh-CN"/>
        </w:rPr>
        <w:t xml:space="preserve"> </w:t>
      </w:r>
    </w:p>
    <w:p>
      <w:pPr>
        <w:pStyle w:val="4"/>
        <w:spacing w:after="120"/>
        <w:ind w:left="850" w:right="210" w:hanging="849" w:hangingChars="354"/>
      </w:pPr>
      <w:r>
        <w:rPr>
          <w:rFonts w:hint="eastAsia" w:eastAsia="宋体"/>
        </w:rPr>
        <w:t>Signaling for adaptation of PRACH in time domain</w:t>
      </w:r>
    </w:p>
    <w:p>
      <w:pPr>
        <w:spacing w:before="120" w:after="120"/>
      </w:pPr>
      <w:r>
        <w:rPr>
          <w:rFonts w:hint="eastAsia"/>
        </w:rPr>
        <w:t xml:space="preserve">In RAN1#116 meeting, we summarized the potential mechanism for adaptation of PRACH in time domain. [1] </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76" w:type="dxa"/>
          </w:tcPr>
          <w:p>
            <w:pPr>
              <w:spacing w:beforeLines="0" w:after="0" w:afterLines="0" w:line="240" w:lineRule="auto"/>
              <w:rPr>
                <w:b/>
                <w:bCs/>
                <w:highlight w:val="green"/>
              </w:rPr>
            </w:pPr>
            <w:r>
              <w:rPr>
                <w:b/>
                <w:bCs/>
                <w:highlight w:val="green"/>
              </w:rPr>
              <w:t>Agreement</w:t>
            </w:r>
          </w:p>
          <w:p>
            <w:pPr>
              <w:pStyle w:val="15"/>
              <w:spacing w:beforeLines="0" w:after="0" w:afterLines="0" w:line="240" w:lineRule="auto"/>
              <w:rPr>
                <w:rFonts w:ascii="Times New Roman" w:hAnsi="Times New Roman"/>
              </w:rPr>
            </w:pPr>
            <w:r>
              <w:rPr>
                <w:rFonts w:ascii="Times New Roman" w:hAnsi="Times New Roman"/>
              </w:rPr>
              <w:t>For the adaptation mechanisms of PRACH in time-domain</w:t>
            </w:r>
          </w:p>
          <w:p>
            <w:pPr>
              <w:pStyle w:val="15"/>
              <w:numPr>
                <w:ilvl w:val="0"/>
                <w:numId w:val="8"/>
              </w:numPr>
              <w:spacing w:beforeLines="0" w:after="0" w:afterLines="0" w:line="240" w:lineRule="auto"/>
              <w:jc w:val="left"/>
              <w:rPr>
                <w:rFonts w:ascii="Times New Roman" w:hAnsi="Times New Roman"/>
              </w:rPr>
            </w:pPr>
            <w:r>
              <w:rPr>
                <w:rFonts w:ascii="Times New Roman" w:hAnsi="Times New Roman"/>
              </w:rPr>
              <w:t>Support at least PRACH adaptation provided by gNB without UE trigger</w:t>
            </w:r>
          </w:p>
          <w:p>
            <w:pPr>
              <w:pStyle w:val="15"/>
              <w:numPr>
                <w:ilvl w:val="1"/>
                <w:numId w:val="8"/>
              </w:numPr>
              <w:spacing w:beforeLines="0" w:after="0" w:afterLines="0" w:line="240" w:lineRule="auto"/>
              <w:jc w:val="left"/>
              <w:rPr>
                <w:rFonts w:ascii="Times New Roman" w:hAnsi="Times New Roman"/>
              </w:rPr>
            </w:pPr>
            <w:r>
              <w:rPr>
                <w:rFonts w:ascii="Times New Roman" w:hAnsi="Times New Roman"/>
              </w:rPr>
              <w:t>FFS: PRACH adaptation with UE trigger</w:t>
            </w:r>
          </w:p>
          <w:p>
            <w:pPr>
              <w:pStyle w:val="15"/>
              <w:numPr>
                <w:ilvl w:val="1"/>
                <w:numId w:val="8"/>
              </w:numPr>
              <w:spacing w:beforeLines="0" w:after="0" w:afterLines="0" w:line="240" w:lineRule="auto"/>
              <w:jc w:val="left"/>
              <w:rPr>
                <w:rFonts w:ascii="Times New Roman" w:hAnsi="Times New Roman"/>
              </w:rPr>
            </w:pPr>
            <w:r>
              <w:rPr>
                <w:rFonts w:ascii="Times New Roman" w:hAnsi="Times New Roman"/>
              </w:rPr>
              <w:t>Note: UE trigger means UE requests adaptation of PRACH</w:t>
            </w:r>
          </w:p>
          <w:p>
            <w:pPr>
              <w:pStyle w:val="15"/>
              <w:numPr>
                <w:ilvl w:val="0"/>
                <w:numId w:val="8"/>
              </w:numPr>
              <w:spacing w:beforeLines="0" w:after="0" w:afterLines="0" w:line="240" w:lineRule="auto"/>
              <w:jc w:val="left"/>
              <w:rPr>
                <w:rFonts w:ascii="Times New Roman" w:hAnsi="Times New Roman"/>
              </w:rPr>
            </w:pPr>
            <w:r>
              <w:rPr>
                <w:rFonts w:ascii="Times New Roman" w:hAnsi="Times New Roman"/>
              </w:rPr>
              <w:t>Study at least the following,</w:t>
            </w:r>
          </w:p>
          <w:p>
            <w:pPr>
              <w:pStyle w:val="15"/>
              <w:numPr>
                <w:ilvl w:val="1"/>
                <w:numId w:val="8"/>
              </w:numPr>
              <w:spacing w:beforeLines="0" w:after="0" w:afterLines="0" w:line="240" w:lineRule="auto"/>
              <w:jc w:val="left"/>
              <w:rPr>
                <w:rFonts w:ascii="Times New Roman" w:hAnsi="Times New Roman"/>
              </w:rPr>
            </w:pPr>
            <w:r>
              <w:rPr>
                <w:rFonts w:ascii="Times New Roman" w:hAnsi="Times New Roman"/>
              </w:rPr>
              <w:t xml:space="preserve">Dynamic signaling and/or semi-static signaling of PRACH adaptation </w:t>
            </w:r>
          </w:p>
          <w:p>
            <w:pPr>
              <w:pStyle w:val="15"/>
              <w:numPr>
                <w:ilvl w:val="1"/>
                <w:numId w:val="8"/>
              </w:numPr>
              <w:spacing w:beforeLines="0" w:after="0" w:afterLines="0" w:line="240" w:lineRule="auto"/>
              <w:jc w:val="left"/>
              <w:rPr>
                <w:rFonts w:ascii="Times New Roman" w:hAnsi="Times New Roman"/>
              </w:rPr>
            </w:pPr>
            <w:r>
              <w:rPr>
                <w:rFonts w:ascii="Times New Roman" w:hAnsi="Times New Roman"/>
              </w:rPr>
              <w:t xml:space="preserve">Adaptation of PRACH transmission according to certain condition </w:t>
            </w:r>
          </w:p>
          <w:p>
            <w:pPr>
              <w:pStyle w:val="15"/>
              <w:numPr>
                <w:ilvl w:val="1"/>
                <w:numId w:val="8"/>
              </w:numPr>
              <w:spacing w:beforeLines="0" w:after="0" w:afterLines="0" w:line="240" w:lineRule="auto"/>
              <w:jc w:val="left"/>
              <w:rPr>
                <w:rFonts w:ascii="Times New Roman" w:hAnsi="Times New Roman"/>
              </w:rPr>
            </w:pPr>
            <w:r>
              <w:rPr>
                <w:rFonts w:ascii="Times New Roman" w:hAnsi="Times New Roman"/>
              </w:rPr>
              <w:t>Applicability to idle/inactive and/or connected mode UEs</w:t>
            </w:r>
          </w:p>
          <w:p>
            <w:pPr>
              <w:pStyle w:val="15"/>
              <w:numPr>
                <w:ilvl w:val="1"/>
                <w:numId w:val="8"/>
              </w:numPr>
              <w:spacing w:beforeLines="0" w:after="0" w:afterLines="0" w:line="240" w:lineRule="auto"/>
              <w:jc w:val="left"/>
              <w:rPr>
                <w:szCs w:val="21"/>
              </w:rPr>
            </w:pPr>
            <w:r>
              <w:rPr>
                <w:rFonts w:ascii="Times New Roman" w:hAnsi="Times New Roman"/>
              </w:rPr>
              <w:t>Which scenarios the adaptation mechanism is applicable to (e.g. cell with both legacy and Rel-19 UE, cell with only Rel-19 UEs)</w:t>
            </w:r>
          </w:p>
        </w:tc>
      </w:tr>
    </w:tbl>
    <w:p>
      <w:pPr>
        <w:spacing w:before="120" w:after="120"/>
        <w:rPr>
          <w:szCs w:val="21"/>
        </w:rPr>
      </w:pPr>
      <w:r>
        <w:rPr>
          <w:rFonts w:hint="eastAsia"/>
          <w:szCs w:val="21"/>
        </w:rPr>
        <w:t xml:space="preserve">From the perspective of the scenarios of adaptation of PRACH in time domain, to enable gNB to adapt additional ROs in the certain situation for network energy saving or relieve PRACH collision, adaptation of PRACH in different situations (e.g., depending on system load) is helpful. </w:t>
      </w:r>
    </w:p>
    <w:p>
      <w:pPr>
        <w:spacing w:before="120" w:after="120"/>
        <w:rPr>
          <w:szCs w:val="21"/>
        </w:rPr>
      </w:pPr>
      <w:r>
        <w:rPr>
          <w:rFonts w:hint="eastAsia"/>
          <w:szCs w:val="21"/>
        </w:rPr>
        <w:t xml:space="preserve">In our opinions, the scenarios of adaptation of PRACH adaptation in time domain includes both UEs in RRC connected mode and UEs in idle/inactive mode. For UEs in RRC idle/inactive mode, ROs are used for </w:t>
      </w:r>
      <w:r>
        <w:rPr>
          <w:szCs w:val="21"/>
        </w:rPr>
        <w:t>initial</w:t>
      </w:r>
      <w:r>
        <w:rPr>
          <w:rFonts w:hint="eastAsia"/>
          <w:szCs w:val="21"/>
        </w:rPr>
        <w:t xml:space="preserve"> access. For UEs in RRC connected mode, ROs are used for </w:t>
      </w:r>
      <w:r>
        <w:rPr>
          <w:szCs w:val="21"/>
        </w:rPr>
        <w:t xml:space="preserve">e.g., </w:t>
      </w:r>
      <w:r>
        <w:rPr>
          <w:rFonts w:hint="eastAsia"/>
          <w:szCs w:val="21"/>
        </w:rPr>
        <w:t xml:space="preserve">beam failure recovery. </w:t>
      </w:r>
    </w:p>
    <w:p>
      <w:pPr>
        <w:pStyle w:val="60"/>
        <w:spacing w:before="120" w:after="120"/>
        <w:jc w:val="both"/>
        <w:rPr>
          <w:lang w:val="en-US" w:eastAsia="zh-CN"/>
        </w:rPr>
      </w:pPr>
      <w:bookmarkStart w:id="22" w:name="_Toc2410"/>
      <w:r>
        <w:rPr>
          <w:rFonts w:hint="eastAsia"/>
          <w:lang w:val="en-US" w:eastAsia="zh-CN"/>
        </w:rPr>
        <w:t>Adaptation of PRACH adaptation in time domain can be used for both UEs in RRC connected mode and UEs in idle/inactive mode.</w:t>
      </w:r>
      <w:bookmarkEnd w:id="22"/>
    </w:p>
    <w:p>
      <w:pPr>
        <w:spacing w:before="120" w:after="120"/>
        <w:rPr>
          <w:szCs w:val="21"/>
        </w:rPr>
      </w:pPr>
      <w:r>
        <w:rPr>
          <w:rFonts w:hint="eastAsia"/>
        </w:rPr>
        <w:t xml:space="preserve">From the perspective of adaptation mechanism, at first, the adaptation mechanism provided by gNB without UE trigger should be firstly considered. </w:t>
      </w:r>
    </w:p>
    <w:p>
      <w:pPr>
        <w:spacing w:before="120" w:after="120"/>
        <w:rPr>
          <w:sz w:val="20"/>
        </w:rPr>
      </w:pPr>
      <w:r>
        <w:rPr>
          <w:rFonts w:hint="eastAsia"/>
          <w:szCs w:val="21"/>
        </w:rPr>
        <w:t xml:space="preserve">In current specification [3], the determination of the PRACH configuration is by the </w:t>
      </w:r>
      <w:r>
        <w:rPr>
          <w:rFonts w:hint="eastAsia"/>
          <w:i/>
          <w:iCs/>
          <w:szCs w:val="21"/>
        </w:rPr>
        <w:t>prach-configuraionIndex</w:t>
      </w:r>
      <w:r>
        <w:rPr>
          <w:rFonts w:hint="eastAsia"/>
          <w:szCs w:val="21"/>
        </w:rPr>
        <w:t xml:space="preserve"> in </w:t>
      </w:r>
      <w:r>
        <w:rPr>
          <w:rFonts w:hint="eastAsia"/>
          <w:i/>
          <w:iCs/>
          <w:szCs w:val="21"/>
        </w:rPr>
        <w:t xml:space="preserve">SIB1 </w:t>
      </w:r>
      <w:r>
        <w:rPr>
          <w:rFonts w:hint="eastAsia"/>
          <w:szCs w:val="21"/>
        </w:rPr>
        <w:t xml:space="preserve">or in the high layer parameters, including e.g., </w:t>
      </w:r>
      <w:r>
        <w:rPr>
          <w:rFonts w:hint="eastAsia"/>
          <w:i/>
          <w:iCs/>
          <w:szCs w:val="21"/>
        </w:rPr>
        <w:t xml:space="preserve">ServingCellConfigCommon </w:t>
      </w:r>
      <w:r>
        <w:rPr>
          <w:rFonts w:hint="eastAsia"/>
          <w:szCs w:val="21"/>
        </w:rPr>
        <w:t xml:space="preserve">and </w:t>
      </w:r>
      <w:r>
        <w:rPr>
          <w:rFonts w:hint="eastAsia"/>
          <w:i/>
          <w:iCs/>
          <w:szCs w:val="21"/>
        </w:rPr>
        <w:t>BeamFailureRecoveryConfig</w:t>
      </w:r>
      <w:r>
        <w:rPr>
          <w:rFonts w:hint="eastAsia"/>
          <w:szCs w:val="21"/>
        </w:rPr>
        <w:t>. Base stations can achieve PRACH adaptation in time domain by update of SIB1 for idle/inactive UEs or the high layer parameters for connected mode UEs. However, gNB will expect to have a fast way to adapt the PRACH configuration for energy saving when possible. For instance, when gNB is aware that there are few UEs in the cell, it can disable additional PRACH occasions quickly. In these cases, a fast and dynamic indication is needed</w:t>
      </w:r>
      <w:r>
        <w:rPr>
          <w:rFonts w:hint="eastAsia"/>
          <w:sz w:val="20"/>
        </w:rPr>
        <w:t>.</w:t>
      </w:r>
    </w:p>
    <w:p>
      <w:pPr>
        <w:spacing w:before="120" w:after="120"/>
        <w:rPr>
          <w:rFonts w:eastAsia="Times New Roman"/>
          <w:b/>
          <w:bCs/>
          <w:szCs w:val="21"/>
        </w:rPr>
      </w:pPr>
      <w:r>
        <w:rPr>
          <w:rFonts w:hint="eastAsia"/>
          <w:szCs w:val="21"/>
        </w:rPr>
        <w:t>Therefore, the alternatives of adaptation PRACH in time domain can be summarized as follows:</w:t>
      </w:r>
    </w:p>
    <w:p>
      <w:pPr>
        <w:numPr>
          <w:ilvl w:val="0"/>
          <w:numId w:val="9"/>
        </w:numPr>
        <w:spacing w:before="120" w:after="120"/>
        <w:rPr>
          <w:rFonts w:eastAsia="Times New Roman"/>
          <w:b/>
          <w:bCs/>
          <w:szCs w:val="21"/>
        </w:rPr>
      </w:pPr>
      <w:r>
        <w:rPr>
          <w:rFonts w:hint="eastAsia" w:eastAsia="Times New Roman"/>
          <w:b/>
          <w:bCs/>
          <w:szCs w:val="21"/>
        </w:rPr>
        <w:t xml:space="preserve">Alt 1: </w:t>
      </w:r>
      <w:r>
        <w:rPr>
          <w:rFonts w:hint="eastAsia" w:eastAsia="Times New Roman"/>
          <w:szCs w:val="21"/>
        </w:rPr>
        <w:t>MAC CE based</w:t>
      </w:r>
      <w:r>
        <w:rPr>
          <w:rFonts w:hint="eastAsia"/>
          <w:szCs w:val="21"/>
        </w:rPr>
        <w:t xml:space="preserve"> signaling for</w:t>
      </w:r>
      <w:r>
        <w:rPr>
          <w:rFonts w:hint="eastAsia" w:eastAsia="Times New Roman"/>
          <w:szCs w:val="21"/>
        </w:rPr>
        <w:t xml:space="preserve"> adaptation</w:t>
      </w:r>
      <w:r>
        <w:rPr>
          <w:rFonts w:hint="eastAsia"/>
          <w:szCs w:val="21"/>
        </w:rPr>
        <w:t xml:space="preserve"> of PRACH in time domain</w:t>
      </w:r>
    </w:p>
    <w:p>
      <w:pPr>
        <w:numPr>
          <w:ilvl w:val="0"/>
          <w:numId w:val="9"/>
        </w:numPr>
        <w:spacing w:before="120" w:after="120"/>
        <w:rPr>
          <w:rFonts w:eastAsia="Times New Roman"/>
          <w:szCs w:val="21"/>
        </w:rPr>
      </w:pPr>
      <w:r>
        <w:rPr>
          <w:rFonts w:hint="eastAsia" w:eastAsia="Times New Roman"/>
          <w:b/>
          <w:bCs/>
          <w:szCs w:val="21"/>
        </w:rPr>
        <w:t>Alt 2:</w:t>
      </w:r>
      <w:r>
        <w:rPr>
          <w:rFonts w:hint="eastAsia" w:eastAsia="Times New Roman"/>
          <w:szCs w:val="21"/>
        </w:rPr>
        <w:t xml:space="preserve"> DCI based </w:t>
      </w:r>
      <w:r>
        <w:rPr>
          <w:rFonts w:hint="eastAsia"/>
          <w:szCs w:val="21"/>
        </w:rPr>
        <w:t xml:space="preserve">signaling for adaptation of </w:t>
      </w:r>
      <w:r>
        <w:rPr>
          <w:rFonts w:hint="eastAsia" w:eastAsia="Times New Roman"/>
          <w:szCs w:val="21"/>
        </w:rPr>
        <w:t>PRACH</w:t>
      </w:r>
      <w:r>
        <w:rPr>
          <w:rFonts w:hint="eastAsia"/>
          <w:szCs w:val="21"/>
        </w:rPr>
        <w:t xml:space="preserve"> in time domain</w:t>
      </w:r>
      <w:r>
        <w:rPr>
          <w:rFonts w:hint="eastAsia" w:eastAsia="Times New Roman"/>
          <w:b/>
          <w:bCs/>
          <w:szCs w:val="21"/>
        </w:rPr>
        <w:t xml:space="preserve"> </w:t>
      </w:r>
    </w:p>
    <w:p>
      <w:pPr>
        <w:spacing w:before="120" w:after="120"/>
        <w:rPr>
          <w:szCs w:val="21"/>
        </w:rPr>
      </w:pPr>
      <w:r>
        <w:rPr>
          <w:rFonts w:hint="eastAsia"/>
          <w:szCs w:val="21"/>
        </w:rPr>
        <w:t xml:space="preserve">Among these two alternatives, considering there is no MAC CE transmission for idle/inactive UEs, it is more feasible for idle/inactive UEs to consider DCI based PRACH configuration adaptation. For Alt 2, the DCI based indication can be based on the system information or the high layer parameter. For example, multiple candidate PRACH configurations can be configured in the system information/high layer parameter, and gNB can select one candidate through DCI. To this end, the system information/high layer parameter plus DCI based PRACH configuration adaptation is preferred from our perspective. </w:t>
      </w:r>
    </w:p>
    <w:p>
      <w:pPr>
        <w:pStyle w:val="63"/>
        <w:spacing w:before="120" w:after="120"/>
        <w:jc w:val="both"/>
        <w:rPr>
          <w:lang w:val="en-US" w:eastAsia="zh-CN"/>
        </w:rPr>
      </w:pPr>
      <w:r>
        <w:rPr>
          <w:rFonts w:hint="eastAsia"/>
          <w:lang w:val="en-US" w:eastAsia="zh-CN"/>
        </w:rPr>
        <w:t xml:space="preserve"> </w:t>
      </w:r>
      <w:bookmarkStart w:id="23" w:name="_Toc30585"/>
      <w:r>
        <w:rPr>
          <w:rFonts w:hint="eastAsia"/>
          <w:lang w:val="en-US" w:eastAsia="zh-CN"/>
        </w:rPr>
        <w:t>Specify DCI based signaling for adaptation of PRACH in time domain.</w:t>
      </w:r>
      <w:bookmarkEnd w:id="23"/>
      <w:r>
        <w:rPr>
          <w:rFonts w:hint="eastAsia"/>
          <w:lang w:val="en-US" w:eastAsia="zh-CN"/>
        </w:rPr>
        <w:t xml:space="preserve"> </w:t>
      </w:r>
    </w:p>
    <w:p>
      <w:pPr>
        <w:pStyle w:val="2"/>
        <w:spacing w:before="120" w:after="120"/>
        <w:ind w:left="0"/>
        <w:rPr>
          <w:rFonts w:eastAsia="宋体"/>
        </w:rPr>
      </w:pPr>
      <w:r>
        <w:t xml:space="preserve">Adaptation of </w:t>
      </w:r>
      <w:r>
        <w:rPr>
          <w:rFonts w:hint="eastAsia" w:eastAsia="宋体"/>
        </w:rPr>
        <w:t>PRACH</w:t>
      </w:r>
      <w:r>
        <w:rPr>
          <w:rFonts w:hint="eastAsia"/>
        </w:rPr>
        <w:t xml:space="preserve"> in the </w:t>
      </w:r>
      <w:r>
        <w:rPr>
          <w:rFonts w:hint="eastAsia" w:eastAsia="宋体"/>
        </w:rPr>
        <w:t>spatial</w:t>
      </w:r>
      <w:r>
        <w:rPr>
          <w:rFonts w:hint="eastAsia"/>
        </w:rPr>
        <w:t xml:space="preserve"> domain</w:t>
      </w:r>
    </w:p>
    <w:p>
      <w:pPr>
        <w:pStyle w:val="3"/>
        <w:spacing w:before="120" w:after="120"/>
        <w:ind w:left="991" w:right="210" w:hanging="991" w:hangingChars="354"/>
        <w:rPr>
          <w:rFonts w:eastAsia="宋体"/>
        </w:rPr>
      </w:pPr>
      <w:r>
        <w:rPr>
          <w:rFonts w:hint="eastAsia" w:eastAsia="宋体"/>
        </w:rPr>
        <w:t>Motivation</w:t>
      </w:r>
    </w:p>
    <w:p>
      <w:pPr>
        <w:spacing w:before="120" w:after="120"/>
      </w:pPr>
      <w:r>
        <w:rPr>
          <w:rFonts w:hint="eastAsia"/>
        </w:rPr>
        <w:t xml:space="preserve">To our understanding, the use case of adaptation of PRACH in spatial domain is that UEs are random in position within the cell coverage, causing non-uniform UEs distribution in different beam coverage. For example, in Figure 4, some of UEs are located in SSB#1 and SSB#3, while none/few UEs are covered by SSB#0 and SSB#2, given that there are 4 transmitted SSB in the SSB burst. </w:t>
      </w:r>
    </w:p>
    <w:p>
      <w:pPr>
        <w:spacing w:before="120" w:after="120"/>
        <w:jc w:val="center"/>
      </w:pPr>
      <w:r>
        <w:drawing>
          <wp:inline distT="0" distB="0" distL="114300" distR="114300">
            <wp:extent cx="1719580" cy="1963420"/>
            <wp:effectExtent l="0" t="0" r="13970" b="17780"/>
            <wp:docPr id="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
                    <pic:cNvPicPr>
                      <a:picLocks noChangeAspect="1"/>
                    </pic:cNvPicPr>
                  </pic:nvPicPr>
                  <pic:blipFill>
                    <a:blip r:embed="rId15"/>
                    <a:stretch>
                      <a:fillRect/>
                    </a:stretch>
                  </pic:blipFill>
                  <pic:spPr>
                    <a:xfrm>
                      <a:off x="0" y="0"/>
                      <a:ext cx="1719580" cy="1963420"/>
                    </a:xfrm>
                    <a:prstGeom prst="rect">
                      <a:avLst/>
                    </a:prstGeom>
                    <a:noFill/>
                    <a:ln>
                      <a:noFill/>
                    </a:ln>
                  </pic:spPr>
                </pic:pic>
              </a:graphicData>
            </a:graphic>
          </wp:inline>
        </w:drawing>
      </w:r>
    </w:p>
    <w:p>
      <w:pPr>
        <w:spacing w:before="120" w:after="120"/>
        <w:jc w:val="center"/>
      </w:pPr>
      <w:r>
        <w:rPr>
          <w:rFonts w:hint="eastAsia"/>
        </w:rPr>
        <w:t>Figure 4 Example of non-uniform UE distribution.</w:t>
      </w:r>
    </w:p>
    <w:p>
      <w:pPr>
        <w:spacing w:before="120" w:after="120"/>
      </w:pPr>
      <w:r>
        <w:rPr>
          <w:rFonts w:hint="eastAsia"/>
        </w:rPr>
        <w:t>In this case, SSB{#0, #2} and SSB{#1,#3} would be uniformly mapping to ROs based on the mapping ratio (i.e., 1/2) according to [2]. By this SSB and RO mapping, it is obvious that there was no UE accessing via the ROs mapped to SSB#0 and SSB#2, but gNB would still detect PRACH preambles in these ROs, which leads to network energy waste. Assuming the mapping ratio is 1/2, i.e., 1 SSB mapping to 2 ROs, the SSB-RO mapping pattern according to legacy procedure is as shown in Figure 5.</w:t>
      </w:r>
    </w:p>
    <w:p>
      <w:pPr>
        <w:spacing w:before="120" w:after="120"/>
        <w:jc w:val="center"/>
      </w:pPr>
      <w:r>
        <w:drawing>
          <wp:inline distT="0" distB="0" distL="114300" distR="114300">
            <wp:extent cx="4787900" cy="1569720"/>
            <wp:effectExtent l="0" t="0" r="12700" b="1143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16"/>
                    <a:stretch>
                      <a:fillRect/>
                    </a:stretch>
                  </pic:blipFill>
                  <pic:spPr>
                    <a:xfrm>
                      <a:off x="0" y="0"/>
                      <a:ext cx="4787900" cy="1569720"/>
                    </a:xfrm>
                    <a:prstGeom prst="rect">
                      <a:avLst/>
                    </a:prstGeom>
                    <a:noFill/>
                    <a:ln>
                      <a:noFill/>
                    </a:ln>
                  </pic:spPr>
                </pic:pic>
              </a:graphicData>
            </a:graphic>
          </wp:inline>
        </w:drawing>
      </w:r>
    </w:p>
    <w:p>
      <w:pPr>
        <w:spacing w:before="120" w:after="120"/>
        <w:jc w:val="center"/>
      </w:pPr>
      <w:r>
        <w:rPr>
          <w:rFonts w:hint="eastAsia"/>
        </w:rPr>
        <w:t>Figure 5 Example of SSB-RO mapping according to legacy procedure.</w:t>
      </w:r>
    </w:p>
    <w:p>
      <w:pPr>
        <w:spacing w:before="120" w:after="120"/>
      </w:pPr>
      <w:r>
        <w:rPr>
          <w:rFonts w:hint="eastAsia"/>
        </w:rPr>
        <w:t>To this end, adaptation of PRACH in the spatial domain can be considered for th</w:t>
      </w:r>
      <w:r>
        <w:t>ese</w:t>
      </w:r>
      <w:r>
        <w:rPr>
          <w:rFonts w:hint="eastAsia"/>
        </w:rPr>
        <w:t xml:space="preserve"> cases, allowing </w:t>
      </w:r>
      <w:r>
        <w:t xml:space="preserve">the procedure that mapping </w:t>
      </w:r>
      <w:r>
        <w:rPr>
          <w:rFonts w:hint="eastAsia"/>
        </w:rPr>
        <w:t>RO</w:t>
      </w:r>
      <w:r>
        <w:t>s</w:t>
      </w:r>
      <w:r>
        <w:rPr>
          <w:rFonts w:hint="eastAsia"/>
        </w:rPr>
        <w:t xml:space="preserve"> </w:t>
      </w:r>
      <w:r>
        <w:t>to</w:t>
      </w:r>
      <w:r>
        <w:rPr>
          <w:rFonts w:hint="eastAsia"/>
        </w:rPr>
        <w:t xml:space="preserve"> SSB{#1,#3} is different </w:t>
      </w:r>
      <w:r>
        <w:t>from</w:t>
      </w:r>
      <w:r>
        <w:rPr>
          <w:rFonts w:hint="eastAsia"/>
        </w:rPr>
        <w:t xml:space="preserve"> </w:t>
      </w:r>
      <w:r>
        <w:t xml:space="preserve">that mapping </w:t>
      </w:r>
      <w:r>
        <w:rPr>
          <w:rFonts w:hint="eastAsia"/>
        </w:rPr>
        <w:t>RO</w:t>
      </w:r>
      <w:r>
        <w:t>s</w:t>
      </w:r>
      <w:r>
        <w:rPr>
          <w:rFonts w:hint="eastAsia"/>
        </w:rPr>
        <w:t xml:space="preserve"> </w:t>
      </w:r>
      <w:r>
        <w:t>to</w:t>
      </w:r>
      <w:r>
        <w:rPr>
          <w:rFonts w:hint="eastAsia"/>
        </w:rPr>
        <w:t xml:space="preserve"> SSB{#0, #2}, </w:t>
      </w:r>
      <w:r>
        <w:t>as</w:t>
      </w:r>
      <w:r>
        <w:rPr>
          <w:rFonts w:hint="eastAsia"/>
        </w:rPr>
        <w:t xml:space="preserve"> illustrated in Figure 6. </w:t>
      </w:r>
    </w:p>
    <w:p>
      <w:pPr>
        <w:spacing w:before="120" w:after="120"/>
        <w:jc w:val="center"/>
      </w:pPr>
      <w:r>
        <w:drawing>
          <wp:inline distT="0" distB="0" distL="114300" distR="114300">
            <wp:extent cx="4913630" cy="1727835"/>
            <wp:effectExtent l="0" t="0" r="1270" b="5715"/>
            <wp:docPr id="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2"/>
                    <pic:cNvPicPr>
                      <a:picLocks noChangeAspect="1"/>
                    </pic:cNvPicPr>
                  </pic:nvPicPr>
                  <pic:blipFill>
                    <a:blip r:embed="rId17"/>
                    <a:stretch>
                      <a:fillRect/>
                    </a:stretch>
                  </pic:blipFill>
                  <pic:spPr>
                    <a:xfrm>
                      <a:off x="0" y="0"/>
                      <a:ext cx="4913630" cy="1727835"/>
                    </a:xfrm>
                    <a:prstGeom prst="rect">
                      <a:avLst/>
                    </a:prstGeom>
                    <a:noFill/>
                    <a:ln>
                      <a:noFill/>
                    </a:ln>
                  </pic:spPr>
                </pic:pic>
              </a:graphicData>
            </a:graphic>
          </wp:inline>
        </w:drawing>
      </w:r>
    </w:p>
    <w:p>
      <w:pPr>
        <w:spacing w:before="120" w:after="120"/>
        <w:jc w:val="center"/>
      </w:pPr>
      <w:r>
        <w:rPr>
          <w:rFonts w:hint="eastAsia"/>
        </w:rPr>
        <w:t>Figure 6 Example of SSB-RO mapping according to enhanced procedure.</w:t>
      </w:r>
    </w:p>
    <w:p>
      <w:pPr>
        <w:spacing w:before="120" w:after="120"/>
      </w:pPr>
      <w:r>
        <w:rPr>
          <w:rFonts w:hint="eastAsia"/>
        </w:rPr>
        <w:t>From our perspective, the key point of adaptation of PRACH in spatial domain is to confine the SSB and RO mapping to let some PRACH occasion be invalid in time domain to achieve network energy saving.</w:t>
      </w:r>
    </w:p>
    <w:p>
      <w:pPr>
        <w:pStyle w:val="60"/>
        <w:spacing w:before="120" w:after="120"/>
        <w:jc w:val="both"/>
        <w:rPr>
          <w:lang w:val="en-US" w:eastAsia="zh-CN"/>
        </w:rPr>
      </w:pPr>
      <w:bookmarkStart w:id="24" w:name="_Toc14530"/>
      <w:r>
        <w:rPr>
          <w:rFonts w:hint="eastAsia"/>
          <w:lang w:val="en-US" w:eastAsia="zh-CN"/>
        </w:rPr>
        <w:t>Adaptation of PRACH in spatial domain is to confine the SSB and RO mapping to let some PRACH occasion be invalid in time domain to achieve network energy saving.</w:t>
      </w:r>
      <w:bookmarkEnd w:id="24"/>
    </w:p>
    <w:p>
      <w:pPr>
        <w:pStyle w:val="3"/>
        <w:spacing w:before="120" w:after="120"/>
        <w:ind w:left="991" w:right="210" w:hanging="991" w:hangingChars="354"/>
        <w:rPr>
          <w:rFonts w:eastAsia="宋体"/>
        </w:rPr>
      </w:pPr>
      <w:r>
        <w:rPr>
          <w:rFonts w:hint="eastAsia" w:eastAsia="宋体"/>
        </w:rPr>
        <w:t>Potential schemes on adaptation of PRACH in spatial domain</w:t>
      </w:r>
    </w:p>
    <w:p>
      <w:pPr>
        <w:spacing w:before="120" w:after="120"/>
      </w:pPr>
      <w:r>
        <w:rPr>
          <w:rFonts w:hint="eastAsia"/>
        </w:rPr>
        <w:t xml:space="preserve">Based on our conclusion in 4.1, in our opinions, there are two ways of adaptation of PRACH in spatial domain. One is the RO level adaptation. For this kind of schemes, current RO-SSB mapping in [2] can be reused. And the ROs can be muted by gNB indication/triggering when the ROs are thought to be unnecessary. For example, in Figure 7, the </w:t>
      </w:r>
      <w:r>
        <w:rPr>
          <w:rFonts w:hint="eastAsia"/>
          <w:b/>
          <w:bCs/>
        </w:rPr>
        <w:t>ROs associated with SSB#0 and SSB#2</w:t>
      </w:r>
      <w:r>
        <w:rPr>
          <w:rFonts w:hint="eastAsia"/>
        </w:rPr>
        <w:t xml:space="preserve"> in the PRACH configuration are muted by indication, given 4 SSB transmitted in one SSB burst and the mapping ratio is 1, i.e., 1 SSB mapping to 1 ROs.</w:t>
      </w:r>
    </w:p>
    <w:p>
      <w:pPr>
        <w:spacing w:before="120" w:after="120"/>
        <w:jc w:val="center"/>
      </w:pPr>
      <w:r>
        <w:drawing>
          <wp:inline distT="0" distB="0" distL="114300" distR="114300">
            <wp:extent cx="4960620" cy="1491615"/>
            <wp:effectExtent l="0" t="0" r="11430" b="13335"/>
            <wp:docPr id="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3"/>
                    <pic:cNvPicPr>
                      <a:picLocks noChangeAspect="1"/>
                    </pic:cNvPicPr>
                  </pic:nvPicPr>
                  <pic:blipFill>
                    <a:blip r:embed="rId18"/>
                    <a:stretch>
                      <a:fillRect/>
                    </a:stretch>
                  </pic:blipFill>
                  <pic:spPr>
                    <a:xfrm>
                      <a:off x="0" y="0"/>
                      <a:ext cx="4960620" cy="1491615"/>
                    </a:xfrm>
                    <a:prstGeom prst="rect">
                      <a:avLst/>
                    </a:prstGeom>
                    <a:noFill/>
                    <a:ln>
                      <a:noFill/>
                    </a:ln>
                  </pic:spPr>
                </pic:pic>
              </a:graphicData>
            </a:graphic>
          </wp:inline>
        </w:drawing>
      </w:r>
    </w:p>
    <w:p>
      <w:pPr>
        <w:spacing w:before="120" w:after="120"/>
        <w:jc w:val="center"/>
      </w:pPr>
      <w:r>
        <w:rPr>
          <w:rFonts w:hint="eastAsia"/>
        </w:rPr>
        <w:t>Figure 7 Illustration of RO level adaptation</w:t>
      </w:r>
    </w:p>
    <w:p>
      <w:pPr>
        <w:spacing w:before="120" w:after="120"/>
      </w:pPr>
      <w:r>
        <w:rPr>
          <w:rFonts w:hint="eastAsia"/>
        </w:rPr>
        <w:t>Towards this kind of scheme, there is limited specification impact but the NES gain may be limited as well. Since the indication/triggering for mutable ROs is within one PRACH configuration period, gNB is impossible to have opportunities to go to sleep in a long period.</w:t>
      </w:r>
    </w:p>
    <w:p>
      <w:pPr>
        <w:spacing w:before="120" w:after="120"/>
      </w:pPr>
      <w:r>
        <w:rPr>
          <w:rFonts w:hint="eastAsia"/>
        </w:rPr>
        <w:t xml:space="preserve">The second way of adaptation of PRACH in spatial domain is the association period level adaptation. In this case, ROs in a long period can be muted by gNB indication/triggering when the ROs are thought to be unnecessary. For one thing, the ROs in the association period are all muted by gNB indication/triggering within an association pattern period in order to obtain NES gain. For another, parts of ROs in one association period are muted, such as the ROs for </w:t>
      </w:r>
      <w:r>
        <w:t>single</w:t>
      </w:r>
      <w:r>
        <w:rPr>
          <w:rFonts w:hint="eastAsia"/>
        </w:rPr>
        <w:t xml:space="preserve"> </w:t>
      </w:r>
      <w:r>
        <w:rPr>
          <w:rFonts w:hint="eastAsia"/>
          <w:u w:val="single"/>
        </w:rPr>
        <w:t>SSB to RO mapping cycle</w:t>
      </w:r>
      <w:r>
        <w:rPr>
          <w:rFonts w:hint="eastAsia"/>
        </w:rPr>
        <w:t xml:space="preserve"> are muted. For example, in Figure 8, within one association period,</w:t>
      </w:r>
      <w:r>
        <w:rPr>
          <w:rFonts w:hint="eastAsia"/>
          <w:b/>
          <w:bCs/>
        </w:rPr>
        <w:t xml:space="preserve"> the ROs out of </w:t>
      </w:r>
      <w:r>
        <w:rPr>
          <w:b/>
          <w:bCs/>
        </w:rPr>
        <w:t>first</w:t>
      </w:r>
      <w:r>
        <w:rPr>
          <w:rFonts w:hint="eastAsia"/>
          <w:b/>
          <w:bCs/>
        </w:rPr>
        <w:t xml:space="preserve"> </w:t>
      </w:r>
      <w:r>
        <w:rPr>
          <w:rFonts w:hint="eastAsia"/>
          <w:b/>
          <w:bCs/>
          <w:u w:val="single"/>
        </w:rPr>
        <w:t>SSB to RO mapping cycle</w:t>
      </w:r>
      <w:r>
        <w:rPr>
          <w:rFonts w:hint="eastAsia"/>
        </w:rPr>
        <w:t xml:space="preserve"> (i.e., four ROs are mapped to all 4 SSBs in first mapping cycle) can be muted by gNB indication/trigger. Moreover, this kind of schemes may have a</w:t>
      </w:r>
      <w:r>
        <w:t>n</w:t>
      </w:r>
      <w:r>
        <w:rPr>
          <w:rFonts w:hint="eastAsia"/>
        </w:rPr>
        <w:t xml:space="preserve"> impact on SSB-RO mapping rule, which causes large specification impact.</w:t>
      </w:r>
    </w:p>
    <w:p>
      <w:pPr>
        <w:spacing w:before="120" w:after="120"/>
        <w:jc w:val="center"/>
      </w:pPr>
      <w:r>
        <w:drawing>
          <wp:inline distT="0" distB="0" distL="114300" distR="114300">
            <wp:extent cx="4649470" cy="1650365"/>
            <wp:effectExtent l="0" t="0" r="17780" b="6985"/>
            <wp:docPr id="10"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4"/>
                    <pic:cNvPicPr>
                      <a:picLocks noChangeAspect="1"/>
                    </pic:cNvPicPr>
                  </pic:nvPicPr>
                  <pic:blipFill>
                    <a:blip r:embed="rId19"/>
                    <a:stretch>
                      <a:fillRect/>
                    </a:stretch>
                  </pic:blipFill>
                  <pic:spPr>
                    <a:xfrm>
                      <a:off x="0" y="0"/>
                      <a:ext cx="4649470" cy="1650365"/>
                    </a:xfrm>
                    <a:prstGeom prst="rect">
                      <a:avLst/>
                    </a:prstGeom>
                    <a:noFill/>
                    <a:ln>
                      <a:noFill/>
                    </a:ln>
                  </pic:spPr>
                </pic:pic>
              </a:graphicData>
            </a:graphic>
          </wp:inline>
        </w:drawing>
      </w:r>
    </w:p>
    <w:p>
      <w:pPr>
        <w:spacing w:before="120" w:after="120"/>
        <w:jc w:val="center"/>
      </w:pPr>
      <w:r>
        <w:rPr>
          <w:rFonts w:hint="eastAsia"/>
        </w:rPr>
        <w:t>Figure 8 Illustration of association period level adaptation</w:t>
      </w:r>
    </w:p>
    <w:p>
      <w:pPr>
        <w:pStyle w:val="63"/>
        <w:spacing w:before="120" w:after="120"/>
        <w:jc w:val="both"/>
        <w:rPr>
          <w:lang w:val="en-US" w:eastAsia="zh-CN"/>
        </w:rPr>
      </w:pPr>
      <w:r>
        <w:rPr>
          <w:rFonts w:hint="eastAsia"/>
          <w:lang w:val="en-US" w:eastAsia="zh-CN"/>
        </w:rPr>
        <w:t xml:space="preserve"> </w:t>
      </w:r>
      <w:bookmarkStart w:id="25" w:name="_Toc28575"/>
      <w:r>
        <w:rPr>
          <w:rFonts w:hint="eastAsia"/>
          <w:lang w:val="en-US" w:eastAsia="zh-CN"/>
        </w:rPr>
        <w:t xml:space="preserve">Consider at least e.g., RO level adaptation </w:t>
      </w:r>
      <w:r>
        <w:rPr>
          <w:lang w:val="en-US" w:eastAsia="zh-CN"/>
        </w:rPr>
        <w:t>and</w:t>
      </w:r>
      <w:r>
        <w:rPr>
          <w:rFonts w:hint="eastAsia"/>
          <w:lang w:val="en-US" w:eastAsia="zh-CN"/>
        </w:rPr>
        <w:t xml:space="preserve"> </w:t>
      </w:r>
      <w:r>
        <w:rPr>
          <w:lang w:val="en-US" w:eastAsia="zh-CN"/>
        </w:rPr>
        <w:t xml:space="preserve">PRACH </w:t>
      </w:r>
      <w:r>
        <w:rPr>
          <w:rFonts w:hint="eastAsia"/>
          <w:lang w:val="en-US" w:eastAsia="zh-CN"/>
        </w:rPr>
        <w:t xml:space="preserve">adaptation </w:t>
      </w:r>
      <w:r>
        <w:rPr>
          <w:lang w:val="en-US" w:eastAsia="zh-CN"/>
        </w:rPr>
        <w:t>within one association period</w:t>
      </w:r>
      <w:r>
        <w:rPr>
          <w:rFonts w:hint="eastAsia"/>
          <w:lang w:val="en-US" w:eastAsia="zh-CN"/>
        </w:rPr>
        <w:t>.</w:t>
      </w:r>
      <w:bookmarkEnd w:id="25"/>
      <w:r>
        <w:rPr>
          <w:rFonts w:hint="eastAsia"/>
          <w:lang w:val="en-US" w:eastAsia="zh-CN"/>
        </w:rPr>
        <w:t xml:space="preserve"> </w:t>
      </w:r>
    </w:p>
    <w:p>
      <w:pPr>
        <w:pStyle w:val="4"/>
        <w:spacing w:after="120"/>
        <w:ind w:left="850" w:right="210" w:hanging="849" w:hangingChars="354"/>
        <w:rPr>
          <w:szCs w:val="21"/>
        </w:rPr>
      </w:pPr>
      <w:r>
        <w:rPr>
          <w:rFonts w:hint="eastAsia" w:eastAsia="宋体"/>
        </w:rPr>
        <w:t>Signaling for adaptation of PRACH in spatial domain</w:t>
      </w:r>
      <w:r>
        <w:rPr>
          <w:rFonts w:hint="eastAsia"/>
          <w:szCs w:val="21"/>
        </w:rPr>
        <w:t xml:space="preserve"> </w:t>
      </w:r>
    </w:p>
    <w:p>
      <w:pPr>
        <w:spacing w:before="120" w:after="120"/>
        <w:rPr>
          <w:szCs w:val="21"/>
        </w:rPr>
      </w:pPr>
      <w:r>
        <w:rPr>
          <w:szCs w:val="21"/>
        </w:rPr>
        <w:t>F</w:t>
      </w:r>
      <w:r>
        <w:rPr>
          <w:rFonts w:hint="eastAsia"/>
          <w:szCs w:val="21"/>
        </w:rPr>
        <w:t xml:space="preserve">or </w:t>
      </w:r>
      <w:r>
        <w:rPr>
          <w:szCs w:val="21"/>
        </w:rPr>
        <w:t>signaling</w:t>
      </w:r>
      <w:r>
        <w:rPr>
          <w:rFonts w:hint="eastAsia"/>
          <w:szCs w:val="21"/>
        </w:rPr>
        <w:t xml:space="preserve"> </w:t>
      </w:r>
      <w:r>
        <w:rPr>
          <w:szCs w:val="21"/>
        </w:rPr>
        <w:t>of</w:t>
      </w:r>
      <w:r>
        <w:rPr>
          <w:rFonts w:hint="eastAsia"/>
          <w:szCs w:val="21"/>
        </w:rPr>
        <w:t xml:space="preserve"> adaptation of PRACH in spatial domain, </w:t>
      </w:r>
      <w:r>
        <w:rPr>
          <w:szCs w:val="21"/>
        </w:rPr>
        <w:t xml:space="preserve">similar as </w:t>
      </w:r>
      <w:r>
        <w:rPr>
          <w:rFonts w:hint="eastAsia"/>
          <w:szCs w:val="21"/>
        </w:rPr>
        <w:t xml:space="preserve">adaptation PRACH in time domain, the system information/high layer parameter combined with DCI based PRACH configuration adaptation is preferred from our perspective. </w:t>
      </w:r>
    </w:p>
    <w:p>
      <w:pPr>
        <w:pStyle w:val="63"/>
        <w:spacing w:before="120" w:after="120"/>
        <w:jc w:val="both"/>
        <w:rPr>
          <w:lang w:val="en-US" w:eastAsia="zh-CN"/>
        </w:rPr>
      </w:pPr>
      <w:r>
        <w:rPr>
          <w:rFonts w:hint="eastAsia"/>
          <w:lang w:val="en-US" w:eastAsia="zh-CN"/>
        </w:rPr>
        <w:t xml:space="preserve"> </w:t>
      </w:r>
      <w:bookmarkStart w:id="26" w:name="_Toc2031"/>
      <w:r>
        <w:rPr>
          <w:rFonts w:hint="eastAsia"/>
          <w:lang w:val="en-US" w:eastAsia="zh-CN"/>
        </w:rPr>
        <w:t>Specify DCI based signaling for adaptation of PRACH in spatial domain.</w:t>
      </w:r>
      <w:bookmarkEnd w:id="26"/>
      <w:r>
        <w:rPr>
          <w:rFonts w:hint="eastAsia"/>
          <w:lang w:val="en-US" w:eastAsia="zh-CN"/>
        </w:rPr>
        <w:t xml:space="preserve"> </w:t>
      </w:r>
    </w:p>
    <w:p>
      <w:pPr>
        <w:pStyle w:val="2"/>
        <w:spacing w:before="120" w:after="120"/>
        <w:ind w:left="0"/>
        <w:rPr>
          <w:rFonts w:eastAsia="宋体"/>
        </w:rPr>
      </w:pPr>
      <w:r>
        <w:t>Adaptation of paging occasions</w:t>
      </w:r>
      <w:r>
        <w:rPr>
          <w:rFonts w:hint="eastAsia"/>
        </w:rPr>
        <w:t xml:space="preserve"> in the time domain</w:t>
      </w:r>
    </w:p>
    <w:p>
      <w:pPr>
        <w:pStyle w:val="3"/>
        <w:spacing w:before="120" w:after="120"/>
        <w:ind w:left="991" w:right="210" w:hanging="991" w:hangingChars="354"/>
        <w:rPr>
          <w:rFonts w:eastAsia="宋体"/>
        </w:rPr>
      </w:pPr>
      <w:r>
        <w:rPr>
          <w:rFonts w:hint="eastAsia" w:eastAsia="宋体"/>
        </w:rPr>
        <w:t xml:space="preserve">Techniques for adaptation of paging occasions in time-domain </w:t>
      </w:r>
    </w:p>
    <w:p>
      <w:pPr>
        <w:spacing w:before="120" w:after="120"/>
        <w:rPr>
          <w:szCs w:val="21"/>
        </w:rPr>
      </w:pPr>
      <w:r>
        <w:rPr>
          <w:rFonts w:hint="eastAsia"/>
          <w:szCs w:val="21"/>
        </w:rPr>
        <w:t>In RAN1#116 meeting, the agreement about adaptation of paging occasions in time domain is shown as follows [1].</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spacing w:beforeLines="0" w:after="0" w:afterLines="0" w:line="240" w:lineRule="auto"/>
              <w:rPr>
                <w:b/>
                <w:bCs/>
                <w:highlight w:val="green"/>
              </w:rPr>
            </w:pPr>
            <w:r>
              <w:rPr>
                <w:b/>
                <w:bCs/>
                <w:highlight w:val="green"/>
              </w:rPr>
              <w:t>Agreement</w:t>
            </w:r>
          </w:p>
          <w:p>
            <w:pPr>
              <w:pStyle w:val="15"/>
              <w:spacing w:beforeLines="0" w:after="0" w:afterLines="0" w:line="240" w:lineRule="auto"/>
              <w:rPr>
                <w:rFonts w:ascii="Times New Roman" w:hAnsi="Times New Roman"/>
              </w:rPr>
            </w:pPr>
            <w:r>
              <w:rPr>
                <w:rFonts w:ascii="Times New Roman" w:hAnsi="Times New Roman"/>
              </w:rPr>
              <w:t xml:space="preserve">For adaptation of paging, </w:t>
            </w:r>
          </w:p>
          <w:p>
            <w:pPr>
              <w:pStyle w:val="15"/>
              <w:numPr>
                <w:ilvl w:val="0"/>
                <w:numId w:val="10"/>
              </w:numPr>
              <w:spacing w:beforeLines="0" w:after="0" w:afterLines="0" w:line="240" w:lineRule="auto"/>
              <w:jc w:val="left"/>
              <w:rPr>
                <w:rFonts w:ascii="Times New Roman" w:hAnsi="Times New Roman"/>
              </w:rPr>
            </w:pPr>
            <w:r>
              <w:rPr>
                <w:rFonts w:ascii="Times New Roman" w:hAnsi="Times New Roman"/>
              </w:rPr>
              <w:t>Study further from RAN1 perspective, techniques for adaptation of paging occasions in time-domain and achievable network energy savings</w:t>
            </w:r>
          </w:p>
          <w:p>
            <w:pPr>
              <w:pStyle w:val="15"/>
              <w:numPr>
                <w:ilvl w:val="0"/>
                <w:numId w:val="10"/>
              </w:numPr>
              <w:spacing w:beforeLines="0" w:after="0" w:afterLines="0" w:line="240" w:lineRule="auto"/>
              <w:jc w:val="left"/>
              <w:rPr>
                <w:szCs w:val="21"/>
              </w:rPr>
            </w:pPr>
            <w:r>
              <w:rPr>
                <w:rFonts w:ascii="Times New Roman" w:hAnsi="Times New Roman"/>
              </w:rPr>
              <w:t>Note: Specification details for PO/PF determination and paging-related configuration/procedures to be handled by RAN2</w:t>
            </w:r>
          </w:p>
        </w:tc>
      </w:tr>
    </w:tbl>
    <w:p>
      <w:pPr>
        <w:spacing w:before="120" w:after="120"/>
        <w:rPr>
          <w:szCs w:val="21"/>
        </w:rPr>
      </w:pPr>
      <w:r>
        <w:rPr>
          <w:rFonts w:hint="eastAsia"/>
          <w:szCs w:val="21"/>
        </w:rPr>
        <w:t>Towards adaptation of paging occasions in time domain, the goal is to confine paging occasion in time domain to obtain NES gain. In RAN1#116 meeting, there was consensus that most of proposed schemes about confining paging occasions should be handled by RAN2. To this end, from RAN1</w:t>
      </w:r>
      <w:r>
        <w:rPr>
          <w:szCs w:val="21"/>
        </w:rPr>
        <w:t>’</w:t>
      </w:r>
      <w:r>
        <w:rPr>
          <w:rFonts w:hint="eastAsia"/>
          <w:szCs w:val="21"/>
        </w:rPr>
        <w:t>s perspective, the discussion should focus on how to indicate the adaptation of paging. Since paging is mainly monitored by both idle/inactive UEs and connected mode UEs, DCI based indication for the adaptation of paging occasions in time domain is more feasible.</w:t>
      </w:r>
    </w:p>
    <w:p>
      <w:pPr>
        <w:pStyle w:val="63"/>
        <w:spacing w:before="120" w:after="120"/>
        <w:jc w:val="both"/>
        <w:rPr>
          <w:szCs w:val="21"/>
          <w:lang w:val="en-US" w:eastAsia="zh-CN"/>
        </w:rPr>
      </w:pPr>
      <w:bookmarkStart w:id="27" w:name="_Toc16235"/>
      <w:r>
        <w:rPr>
          <w:rFonts w:hint="eastAsia"/>
          <w:lang w:val="en-US" w:eastAsia="zh-CN"/>
        </w:rPr>
        <w:t>DCI based indication for the adaptation of paging occasions in time domain can be considered for the paging configuration adaptation.</w:t>
      </w:r>
      <w:bookmarkEnd w:id="27"/>
      <w:r>
        <w:rPr>
          <w:rFonts w:hint="eastAsia"/>
          <w:lang w:val="en-US" w:eastAsia="zh-CN"/>
        </w:rPr>
        <w:t xml:space="preserve"> </w:t>
      </w:r>
    </w:p>
    <w:p>
      <w:pPr>
        <w:pStyle w:val="2"/>
        <w:spacing w:before="120" w:after="120"/>
        <w:ind w:left="0"/>
      </w:pPr>
      <w:r>
        <w:rPr>
          <w:rFonts w:hint="eastAsia" w:eastAsia="宋体"/>
        </w:rPr>
        <w:t>Unified signaling for</w:t>
      </w:r>
      <w:r>
        <w:rPr>
          <w:rFonts w:hint="eastAsia"/>
        </w:rPr>
        <w:t xml:space="preserve"> adaptation of common signal/channel</w:t>
      </w:r>
    </w:p>
    <w:p>
      <w:pPr>
        <w:spacing w:before="120" w:after="120"/>
        <w:rPr>
          <w:szCs w:val="21"/>
        </w:rPr>
      </w:pPr>
      <w:r>
        <w:rPr>
          <w:rFonts w:hint="eastAsia"/>
          <w:szCs w:val="21"/>
        </w:rPr>
        <w:t>From signaling perspective in general, dynamic adaptation of common signal/channel including SSB, PRACH, paging configuration can be considered together. Therefore, a unified signaling design is proposed to reduce the workload. Besides, a common signaling for both idle/inactive UE and connected UE is preferred.</w:t>
      </w:r>
    </w:p>
    <w:p>
      <w:pPr>
        <w:spacing w:before="120" w:after="120"/>
      </w:pPr>
      <w:r>
        <w:rPr>
          <w:rFonts w:hint="eastAsia"/>
          <w:szCs w:val="21"/>
        </w:rPr>
        <w:t xml:space="preserve">The idle/inactive mode UEs are required to monitor paging DCI, SI DCI and PEI. </w:t>
      </w:r>
      <w:r>
        <w:rPr>
          <w:rFonts w:hint="eastAsia"/>
        </w:rPr>
        <w:t xml:space="preserve">For example, paging early indication signaling (PEI) can be considered. UEs in idle/inactive should monitor PEI signaling after receiving SSB. Hence, paging early indication signaling (PEI) is suitable for inform the adaptation of SSB in time domain. For UEs in RRC connected mode, it is necessary to modify the UE behavior on monitoring PEI. </w:t>
      </w:r>
      <w:r>
        <w:t>In</w:t>
      </w:r>
      <w:r>
        <w:rPr>
          <w:rFonts w:hint="eastAsia"/>
        </w:rPr>
        <w:t xml:space="preserve"> another example, a new DCI format for adaptation of SSB in time domain can be considered. </w:t>
      </w:r>
    </w:p>
    <w:p>
      <w:pPr>
        <w:pStyle w:val="63"/>
        <w:spacing w:before="120" w:after="120"/>
        <w:jc w:val="both"/>
        <w:rPr>
          <w:lang w:val="en-US" w:eastAsia="zh-CN"/>
        </w:rPr>
      </w:pPr>
      <w:bookmarkStart w:id="28" w:name="_Toc20383"/>
      <w:r>
        <w:rPr>
          <w:rFonts w:hint="eastAsia"/>
          <w:lang w:val="en-US" w:eastAsia="zh-CN"/>
        </w:rPr>
        <w:t>A unified signaling can be considered for the indication of SSB adaptation, PRACH adaptation and paging adaptation.</w:t>
      </w:r>
      <w:bookmarkEnd w:id="28"/>
      <w:r>
        <w:rPr>
          <w:rFonts w:hint="eastAsia"/>
          <w:lang w:val="en-US" w:eastAsia="zh-CN"/>
        </w:rPr>
        <w:t xml:space="preserve"> </w:t>
      </w:r>
    </w:p>
    <w:p>
      <w:pPr>
        <w:pStyle w:val="63"/>
        <w:numPr>
          <w:ilvl w:val="0"/>
          <w:numId w:val="0"/>
        </w:numPr>
        <w:spacing w:before="120" w:after="120"/>
        <w:jc w:val="both"/>
        <w:rPr>
          <w:lang w:val="en-US" w:eastAsia="zh-CN"/>
        </w:rPr>
      </w:pPr>
    </w:p>
    <w:p>
      <w:pPr>
        <w:pStyle w:val="2"/>
        <w:spacing w:before="120" w:after="120"/>
        <w:ind w:left="0"/>
        <w:rPr>
          <w:rFonts w:eastAsia="宋体"/>
        </w:rPr>
      </w:pPr>
      <w:r>
        <w:rPr>
          <w:rFonts w:eastAsia="宋体"/>
        </w:rPr>
        <w:t>Conclusion</w:t>
      </w:r>
    </w:p>
    <w:p>
      <w:pPr>
        <w:spacing w:before="120" w:after="120"/>
      </w:pPr>
      <w:r>
        <w:rPr>
          <w:rFonts w:hint="eastAsia"/>
        </w:rPr>
        <w:t>In this contribution, we have the following observations/proposals:</w:t>
      </w:r>
    </w:p>
    <w:p>
      <w:pPr>
        <w:pStyle w:val="60"/>
        <w:numPr>
          <w:ilvl w:val="0"/>
          <w:numId w:val="0"/>
        </w:numPr>
        <w:spacing w:before="120" w:after="120"/>
        <w:jc w:val="both"/>
        <w:rPr>
          <w:lang w:val="en-US" w:eastAsia="zh-CN"/>
        </w:rPr>
      </w:pPr>
      <w:r>
        <w:rPr>
          <w:i w:val="0"/>
          <w:iCs w:val="0"/>
          <w:sz w:val="21"/>
          <w:szCs w:val="22"/>
          <w:highlight w:val="yellow"/>
        </w:rPr>
        <w:fldChar w:fldCharType="begin"/>
      </w:r>
      <w:r>
        <w:rPr>
          <w:i w:val="0"/>
          <w:iCs w:val="0"/>
          <w:sz w:val="21"/>
          <w:szCs w:val="22"/>
          <w:highlight w:val="yellow"/>
        </w:rPr>
        <w:instrText xml:space="preserve">TOC \n  \t "YJ-Observation,1,sub-observation,2,3rd level observation,3" \h</w:instrText>
      </w:r>
      <w:r>
        <w:rPr>
          <w:i w:val="0"/>
          <w:iCs w:val="0"/>
          <w:sz w:val="21"/>
          <w:szCs w:val="22"/>
          <w:highlight w:val="yellow"/>
        </w:rPr>
        <w:fldChar w:fldCharType="separate"/>
      </w:r>
      <w:r>
        <w:rPr>
          <w:i w:val="0"/>
          <w:iCs w:val="0"/>
          <w:szCs w:val="22"/>
          <w:highlight w:val="yellow"/>
        </w:rPr>
        <w:fldChar w:fldCharType="begin"/>
      </w:r>
      <w:r>
        <w:rPr>
          <w:i w:val="0"/>
          <w:iCs w:val="0"/>
          <w:szCs w:val="22"/>
          <w:highlight w:val="yellow"/>
        </w:rPr>
        <w:instrText xml:space="preserve"> HYPERLINK \l _Toc31185 </w:instrText>
      </w:r>
      <w:r>
        <w:rPr>
          <w:i w:val="0"/>
          <w:iCs w:val="0"/>
          <w:szCs w:val="22"/>
          <w:highlight w:val="yellow"/>
        </w:rPr>
        <w:fldChar w:fldCharType="separate"/>
      </w:r>
      <w:r>
        <w:rPr>
          <w:rFonts w:eastAsia="宋体"/>
          <w:lang w:val="en-US" w:eastAsia="zh-CN"/>
        </w:rPr>
        <w:t xml:space="preserve">Observation 1: </w:t>
      </w:r>
      <w:r>
        <w:rPr>
          <w:rFonts w:hint="eastAsia"/>
          <w:lang w:val="en-US" w:eastAsia="zh-CN"/>
        </w:rPr>
        <w:t xml:space="preserve">The bottleneck of obtaining significant NES gain </w:t>
      </w:r>
      <w:r>
        <w:rPr>
          <w:lang w:val="en-US" w:eastAsia="zh-CN"/>
        </w:rPr>
        <w:t>from</w:t>
      </w:r>
      <w:r>
        <w:rPr>
          <w:rFonts w:hint="eastAsia"/>
          <w:lang w:val="en-US" w:eastAsia="zh-CN"/>
        </w:rPr>
        <w:t xml:space="preserve"> adaptation of SSB in time domain </w:t>
      </w:r>
      <w:r>
        <w:rPr>
          <w:lang w:val="en-US" w:eastAsia="zh-CN"/>
        </w:rPr>
        <w:t>lies</w:t>
      </w:r>
      <w:r>
        <w:rPr>
          <w:rFonts w:hint="eastAsia"/>
          <w:lang w:val="en-US" w:eastAsia="zh-CN"/>
        </w:rPr>
        <w:t xml:space="preserve"> on the idle/inactive UEs.</w:t>
      </w:r>
    </w:p>
    <w:p>
      <w:pPr>
        <w:pStyle w:val="20"/>
        <w:tabs>
          <w:tab w:val="right" w:leader="dot" w:pos="9660"/>
          <w:tab w:val="clear" w:pos="0"/>
        </w:tabs>
        <w:spacing w:before="120" w:after="120"/>
      </w:pPr>
      <w:r>
        <w:rPr>
          <w:i w:val="0"/>
          <w:iCs w:val="0"/>
          <w:szCs w:val="22"/>
          <w:highlight w:val="yellow"/>
        </w:rPr>
        <w:fldChar w:fldCharType="end"/>
      </w:r>
      <w:r>
        <w:fldChar w:fldCharType="begin"/>
      </w:r>
      <w:r>
        <w:instrText xml:space="preserve"> HYPERLINK \l "_Toc1212" </w:instrText>
      </w:r>
      <w:r>
        <w:fldChar w:fldCharType="separate"/>
      </w:r>
      <w:r>
        <w:t>Observation 2: There are solutions for reducing the impact on legacy UE, including e.g., legacy UEs are barred to access in the NES cell.</w:t>
      </w:r>
      <w:r>
        <w:fldChar w:fldCharType="end"/>
      </w:r>
    </w:p>
    <w:p>
      <w:pPr>
        <w:pStyle w:val="20"/>
        <w:tabs>
          <w:tab w:val="right" w:leader="dot" w:pos="9660"/>
          <w:tab w:val="clear" w:pos="0"/>
        </w:tabs>
        <w:spacing w:before="120" w:after="120"/>
      </w:pPr>
      <w:r>
        <w:fldChar w:fldCharType="begin"/>
      </w:r>
      <w:r>
        <w:instrText xml:space="preserve"> HYPERLINK \l "_Toc2410" </w:instrText>
      </w:r>
      <w:r>
        <w:fldChar w:fldCharType="separate"/>
      </w:r>
      <w:r>
        <w:t xml:space="preserve">Observation 3: </w:t>
      </w:r>
      <w:r>
        <w:rPr>
          <w:rFonts w:hint="eastAsia"/>
        </w:rPr>
        <w:t>Adaptation of PRACH adaptation in time domain can be used for both UEs in RRC connected mode and UEs in idle/inactive mode.</w:t>
      </w:r>
      <w:r>
        <w:rPr>
          <w:rFonts w:hint="eastAsia"/>
        </w:rPr>
        <w:fldChar w:fldCharType="end"/>
      </w:r>
    </w:p>
    <w:p>
      <w:pPr>
        <w:pStyle w:val="20"/>
        <w:tabs>
          <w:tab w:val="right" w:leader="dot" w:pos="9660"/>
          <w:tab w:val="clear" w:pos="0"/>
        </w:tabs>
        <w:spacing w:before="120" w:after="120"/>
      </w:pPr>
      <w:r>
        <w:fldChar w:fldCharType="begin"/>
      </w:r>
      <w:r>
        <w:instrText xml:space="preserve"> HYPERLINK \l "_Toc14530" </w:instrText>
      </w:r>
      <w:r>
        <w:fldChar w:fldCharType="separate"/>
      </w:r>
      <w:r>
        <w:t xml:space="preserve">Observation 4: </w:t>
      </w:r>
      <w:r>
        <w:rPr>
          <w:rFonts w:hint="eastAsia"/>
        </w:rPr>
        <w:t>Adaptation of PRACH in spatial domain is to confine the SSB and RO mapping to let some PRACH occasion be invalid in time domain to achieve network energy saving.</w:t>
      </w:r>
      <w:r>
        <w:rPr>
          <w:rFonts w:hint="eastAsia"/>
        </w:rPr>
        <w:fldChar w:fldCharType="end"/>
      </w:r>
    </w:p>
    <w:p>
      <w:pPr>
        <w:spacing w:before="120" w:after="120"/>
        <w:rPr>
          <w:highlight w:val="yellow"/>
        </w:rPr>
      </w:pPr>
      <w:r>
        <w:rPr>
          <w:szCs w:val="22"/>
          <w:highlight w:val="yellow"/>
        </w:rPr>
        <w:fldChar w:fldCharType="end"/>
      </w:r>
    </w:p>
    <w:p>
      <w:pPr>
        <w:pStyle w:val="20"/>
        <w:tabs>
          <w:tab w:val="right" w:leader="dot" w:pos="9660"/>
          <w:tab w:val="clear" w:pos="0"/>
        </w:tabs>
        <w:spacing w:before="120" w:after="120"/>
      </w:pPr>
      <w:r>
        <w:rPr>
          <w:highlight w:val="yellow"/>
        </w:rPr>
        <w:fldChar w:fldCharType="begin"/>
      </w:r>
      <w:r>
        <w:rPr>
          <w:highlight w:val="yellow"/>
        </w:rPr>
        <w:instrText xml:space="preserve">TOC \n  \t "YJ-Proposal,1,sub-proposal,2,3rd level proposal,3" \h</w:instrText>
      </w:r>
      <w:r>
        <w:rPr>
          <w:highlight w:val="yellow"/>
        </w:rPr>
        <w:fldChar w:fldCharType="separate"/>
      </w:r>
      <w:r>
        <w:fldChar w:fldCharType="begin"/>
      </w:r>
      <w:r>
        <w:instrText xml:space="preserve"> HYPERLINK \l "_Toc2862" </w:instrText>
      </w:r>
      <w:r>
        <w:fldChar w:fldCharType="separate"/>
      </w:r>
      <w:r>
        <w:t xml:space="preserve">Proposal 1: </w:t>
      </w:r>
      <w:r>
        <w:rPr>
          <w:rFonts w:hint="eastAsia"/>
        </w:rPr>
        <w:t>Prioritize to study SSB adaptation in time domain for idle/inactive UEs.</w:t>
      </w:r>
      <w:r>
        <w:rPr>
          <w:rFonts w:hint="eastAsia"/>
        </w:rPr>
        <w:fldChar w:fldCharType="end"/>
      </w:r>
    </w:p>
    <w:p>
      <w:pPr>
        <w:pStyle w:val="20"/>
        <w:tabs>
          <w:tab w:val="right" w:leader="dot" w:pos="9660"/>
          <w:tab w:val="clear" w:pos="0"/>
        </w:tabs>
        <w:spacing w:before="120" w:after="120"/>
      </w:pPr>
      <w:r>
        <w:fldChar w:fldCharType="begin"/>
      </w:r>
      <w:r>
        <w:instrText xml:space="preserve"> HYPERLINK \l "_Toc32656" </w:instrText>
      </w:r>
      <w:r>
        <w:fldChar w:fldCharType="separate"/>
      </w:r>
      <w:r>
        <w:t>Proposal 2: Further study</w:t>
      </w:r>
      <w:r>
        <w:rPr>
          <w:rFonts w:hint="eastAsia"/>
        </w:rPr>
        <w:t xml:space="preserve"> SSB adaptation in time domain for connected UEs.</w:t>
      </w:r>
      <w:r>
        <w:rPr>
          <w:rFonts w:hint="eastAsia"/>
        </w:rPr>
        <w:fldChar w:fldCharType="end"/>
      </w:r>
    </w:p>
    <w:p>
      <w:pPr>
        <w:pStyle w:val="20"/>
        <w:tabs>
          <w:tab w:val="right" w:leader="dot" w:pos="9660"/>
          <w:tab w:val="clear" w:pos="0"/>
        </w:tabs>
        <w:spacing w:before="120" w:after="120"/>
      </w:pPr>
      <w:r>
        <w:fldChar w:fldCharType="begin"/>
      </w:r>
      <w:r>
        <w:instrText xml:space="preserve"> HYPERLINK \l "_Toc28120" </w:instrText>
      </w:r>
      <w:r>
        <w:fldChar w:fldCharType="separate"/>
      </w:r>
      <w:r>
        <w:t xml:space="preserve">Proposal 3: </w:t>
      </w:r>
      <w:r>
        <w:rPr>
          <w:rFonts w:hint="eastAsia"/>
        </w:rPr>
        <w:t>The study of Case #2: Always-on SSB is periodically transmitted on the cell in AI 9.5.1 should be move to AI 9.5.3.</w:t>
      </w:r>
      <w:r>
        <w:rPr>
          <w:rFonts w:hint="eastAsia"/>
        </w:rPr>
        <w:fldChar w:fldCharType="end"/>
      </w:r>
    </w:p>
    <w:p>
      <w:pPr>
        <w:pStyle w:val="20"/>
        <w:tabs>
          <w:tab w:val="right" w:leader="dot" w:pos="9660"/>
          <w:tab w:val="clear" w:pos="0"/>
        </w:tabs>
        <w:spacing w:before="120" w:after="120"/>
      </w:pPr>
      <w:r>
        <w:fldChar w:fldCharType="begin"/>
      </w:r>
      <w:r>
        <w:instrText xml:space="preserve"> HYPERLINK \l "_Toc10153" </w:instrText>
      </w:r>
      <w:r>
        <w:fldChar w:fldCharType="separate"/>
      </w:r>
      <w:r>
        <w:t xml:space="preserve">Proposal 4: </w:t>
      </w:r>
      <w:r>
        <w:rPr>
          <w:rFonts w:hint="eastAsia"/>
        </w:rPr>
        <w:t>Prioritize to specify adaptation of SSB burst in time domain, including, e.g.,</w:t>
      </w:r>
      <w:r>
        <w:rPr>
          <w:rFonts w:hint="eastAsia"/>
        </w:rPr>
        <w:fldChar w:fldCharType="end"/>
      </w:r>
    </w:p>
    <w:p>
      <w:pPr>
        <w:pStyle w:val="20"/>
        <w:tabs>
          <w:tab w:val="right" w:leader="dot" w:pos="9660"/>
          <w:tab w:val="clear" w:pos="0"/>
        </w:tabs>
        <w:spacing w:before="120" w:after="120"/>
        <w:ind w:left="420" w:leftChars="200"/>
      </w:pPr>
      <w:r>
        <w:fldChar w:fldCharType="begin"/>
      </w:r>
      <w:r>
        <w:instrText xml:space="preserve"> HYPERLINK \l "_Toc30571" </w:instrText>
      </w:r>
      <w:r>
        <w:fldChar w:fldCharType="separate"/>
      </w:r>
      <w:r>
        <w:rPr>
          <w:rFonts w:ascii="Arial" w:hAnsi="Arial" w:cs="Arial"/>
        </w:rPr>
        <w:t xml:space="preserve">• </w:t>
      </w:r>
      <w:r>
        <w:rPr>
          <w:rFonts w:hint="eastAsia"/>
        </w:rPr>
        <w:t>adaptation of SSB burst periodicity</w:t>
      </w:r>
      <w:r>
        <w:rPr>
          <w:rFonts w:hint="eastAsia"/>
        </w:rPr>
        <w:fldChar w:fldCharType="end"/>
      </w:r>
    </w:p>
    <w:p>
      <w:pPr>
        <w:pStyle w:val="20"/>
        <w:tabs>
          <w:tab w:val="right" w:leader="dot" w:pos="9660"/>
          <w:tab w:val="clear" w:pos="0"/>
        </w:tabs>
        <w:spacing w:before="120" w:after="120"/>
        <w:ind w:left="420" w:leftChars="200"/>
      </w:pPr>
      <w:r>
        <w:fldChar w:fldCharType="begin"/>
      </w:r>
      <w:r>
        <w:instrText xml:space="preserve"> HYPERLINK \l "_Toc12020" </w:instrText>
      </w:r>
      <w:r>
        <w:fldChar w:fldCharType="separate"/>
      </w:r>
      <w:r>
        <w:rPr>
          <w:rFonts w:ascii="Arial" w:hAnsi="Arial" w:cs="Arial"/>
        </w:rPr>
        <w:t xml:space="preserve">• </w:t>
      </w:r>
      <w:r>
        <w:rPr>
          <w:rFonts w:hint="eastAsia"/>
        </w:rPr>
        <w:t>adaptation based on two SSB configurations</w:t>
      </w:r>
      <w:r>
        <w:rPr>
          <w:rFonts w:hint="eastAsia"/>
        </w:rPr>
        <w:fldChar w:fldCharType="end"/>
      </w:r>
    </w:p>
    <w:p>
      <w:pPr>
        <w:pStyle w:val="20"/>
        <w:tabs>
          <w:tab w:val="right" w:leader="dot" w:pos="9660"/>
          <w:tab w:val="clear" w:pos="0"/>
        </w:tabs>
        <w:spacing w:before="120" w:after="120"/>
        <w:ind w:left="420" w:leftChars="200"/>
      </w:pPr>
      <w:r>
        <w:fldChar w:fldCharType="begin"/>
      </w:r>
      <w:r>
        <w:instrText xml:space="preserve"> HYPERLINK \l "_Toc30869" </w:instrText>
      </w:r>
      <w:r>
        <w:fldChar w:fldCharType="separate"/>
      </w:r>
      <w:r>
        <w:rPr>
          <w:rFonts w:ascii="Arial" w:hAnsi="Arial" w:cs="Arial"/>
        </w:rPr>
        <w:t xml:space="preserve">• </w:t>
      </w:r>
      <w:r>
        <w:rPr>
          <w:rFonts w:hint="eastAsia"/>
        </w:rPr>
        <w:t>adaptation based on skipping/transmitting some SSB bursts non-uniformly with single SSB configuration.</w:t>
      </w:r>
      <w:r>
        <w:rPr>
          <w:rFonts w:hint="eastAsia"/>
        </w:rPr>
        <w:fldChar w:fldCharType="end"/>
      </w:r>
    </w:p>
    <w:p>
      <w:pPr>
        <w:pStyle w:val="20"/>
        <w:tabs>
          <w:tab w:val="right" w:leader="dot" w:pos="9660"/>
          <w:tab w:val="clear" w:pos="0"/>
        </w:tabs>
        <w:spacing w:before="120" w:after="120"/>
      </w:pPr>
      <w:r>
        <w:fldChar w:fldCharType="begin"/>
      </w:r>
      <w:r>
        <w:instrText xml:space="preserve"> HYPERLINK \l "_Toc23792" </w:instrText>
      </w:r>
      <w:r>
        <w:fldChar w:fldCharType="separate"/>
      </w:r>
      <w:r>
        <w:t xml:space="preserve">Proposal 5: </w:t>
      </w:r>
      <w:r>
        <w:rPr>
          <w:rFonts w:hint="eastAsia"/>
        </w:rPr>
        <w:t>Specify dynamic signaling for adaptation of SSB in time domain.</w:t>
      </w:r>
      <w:r>
        <w:rPr>
          <w:rFonts w:hint="eastAsia"/>
        </w:rPr>
        <w:fldChar w:fldCharType="end"/>
      </w:r>
    </w:p>
    <w:p>
      <w:pPr>
        <w:pStyle w:val="20"/>
        <w:tabs>
          <w:tab w:val="right" w:leader="dot" w:pos="9660"/>
          <w:tab w:val="clear" w:pos="0"/>
        </w:tabs>
        <w:spacing w:before="120" w:after="120"/>
      </w:pPr>
      <w:r>
        <w:fldChar w:fldCharType="begin"/>
      </w:r>
      <w:r>
        <w:instrText xml:space="preserve"> HYPERLINK \l "_Toc30297" </w:instrText>
      </w:r>
      <w:r>
        <w:fldChar w:fldCharType="separate"/>
      </w:r>
      <w:r>
        <w:t xml:space="preserve">Proposal 6: </w:t>
      </w:r>
      <w:r>
        <w:rPr>
          <w:rFonts w:hint="eastAsia"/>
        </w:rPr>
        <w:t>Specify additional PRACH resources for NES, including e.g.,</w:t>
      </w:r>
      <w:r>
        <w:rPr>
          <w:rFonts w:hint="eastAsia"/>
        </w:rPr>
        <w:fldChar w:fldCharType="end"/>
      </w:r>
    </w:p>
    <w:p>
      <w:pPr>
        <w:pStyle w:val="20"/>
        <w:tabs>
          <w:tab w:val="right" w:leader="dot" w:pos="9660"/>
          <w:tab w:val="clear" w:pos="0"/>
        </w:tabs>
        <w:spacing w:before="120" w:after="120"/>
        <w:ind w:left="420" w:leftChars="200"/>
      </w:pPr>
      <w:r>
        <w:fldChar w:fldCharType="begin"/>
      </w:r>
      <w:r>
        <w:instrText xml:space="preserve"> HYPERLINK \l "_Toc30752" </w:instrText>
      </w:r>
      <w:r>
        <w:fldChar w:fldCharType="separate"/>
      </w:r>
      <w:r>
        <w:rPr>
          <w:rFonts w:ascii="Arial" w:hAnsi="Arial" w:cs="Arial"/>
        </w:rPr>
        <w:t xml:space="preserve">• </w:t>
      </w:r>
      <w:r>
        <w:rPr>
          <w:rFonts w:hint="eastAsia"/>
        </w:rPr>
        <w:t>A</w:t>
      </w:r>
      <w:r>
        <w:t>daptation of PRACH resource periodicity/PRACH occasion</w:t>
      </w:r>
      <w:r>
        <w:fldChar w:fldCharType="end"/>
      </w:r>
    </w:p>
    <w:p>
      <w:pPr>
        <w:pStyle w:val="20"/>
        <w:tabs>
          <w:tab w:val="right" w:leader="dot" w:pos="9660"/>
          <w:tab w:val="clear" w:pos="0"/>
        </w:tabs>
        <w:spacing w:before="120" w:after="120"/>
        <w:ind w:left="420" w:leftChars="200"/>
      </w:pPr>
      <w:r>
        <w:fldChar w:fldCharType="begin"/>
      </w:r>
      <w:r>
        <w:instrText xml:space="preserve"> HYPERLINK \l "_Toc25714" </w:instrText>
      </w:r>
      <w:r>
        <w:fldChar w:fldCharType="separate"/>
      </w:r>
      <w:r>
        <w:rPr>
          <w:rFonts w:ascii="Arial" w:hAnsi="Arial" w:cs="Arial"/>
        </w:rPr>
        <w:t xml:space="preserve">• </w:t>
      </w:r>
      <w:r>
        <w:rPr>
          <w:rFonts w:hint="eastAsia"/>
        </w:rPr>
        <w:t>C</w:t>
      </w:r>
      <w:r>
        <w:t>oncentrating ROs in the time domain</w:t>
      </w:r>
      <w:r>
        <w:fldChar w:fldCharType="end"/>
      </w:r>
    </w:p>
    <w:p>
      <w:pPr>
        <w:pStyle w:val="20"/>
        <w:tabs>
          <w:tab w:val="right" w:leader="dot" w:pos="9660"/>
          <w:tab w:val="clear" w:pos="0"/>
        </w:tabs>
        <w:spacing w:before="120" w:after="120"/>
      </w:pPr>
      <w:r>
        <w:fldChar w:fldCharType="begin"/>
      </w:r>
      <w:r>
        <w:instrText xml:space="preserve"> HYPERLINK \l "_Toc30585" </w:instrText>
      </w:r>
      <w:r>
        <w:fldChar w:fldCharType="separate"/>
      </w:r>
      <w:r>
        <w:t xml:space="preserve">Proposal 7: </w:t>
      </w:r>
      <w:r>
        <w:rPr>
          <w:rFonts w:hint="eastAsia"/>
        </w:rPr>
        <w:t>Specify DCI based signaling for adaptation of PRACH in time domain.</w:t>
      </w:r>
      <w:r>
        <w:rPr>
          <w:rFonts w:hint="eastAsia"/>
        </w:rPr>
        <w:fldChar w:fldCharType="end"/>
      </w:r>
    </w:p>
    <w:p>
      <w:pPr>
        <w:pStyle w:val="20"/>
        <w:tabs>
          <w:tab w:val="right" w:leader="dot" w:pos="9660"/>
          <w:tab w:val="clear" w:pos="0"/>
        </w:tabs>
        <w:spacing w:before="120" w:after="120"/>
      </w:pPr>
      <w:r>
        <w:fldChar w:fldCharType="begin"/>
      </w:r>
      <w:r>
        <w:instrText xml:space="preserve"> HYPERLINK \l "_Toc28575" </w:instrText>
      </w:r>
      <w:r>
        <w:fldChar w:fldCharType="separate"/>
      </w:r>
      <w:r>
        <w:t>Proposal 8: Consider at least e.g., RO level adaptation and PRACH adaptation within one association period.</w:t>
      </w:r>
      <w:r>
        <w:fldChar w:fldCharType="end"/>
      </w:r>
    </w:p>
    <w:p>
      <w:pPr>
        <w:pStyle w:val="20"/>
        <w:tabs>
          <w:tab w:val="right" w:leader="dot" w:pos="9660"/>
          <w:tab w:val="clear" w:pos="0"/>
        </w:tabs>
        <w:spacing w:before="120" w:after="120"/>
      </w:pPr>
      <w:r>
        <w:fldChar w:fldCharType="begin"/>
      </w:r>
      <w:r>
        <w:instrText xml:space="preserve"> HYPERLINK \l "_Toc2031" </w:instrText>
      </w:r>
      <w:r>
        <w:fldChar w:fldCharType="separate"/>
      </w:r>
      <w:r>
        <w:t xml:space="preserve">Proposal 9: </w:t>
      </w:r>
      <w:r>
        <w:rPr>
          <w:rFonts w:hint="eastAsia"/>
        </w:rPr>
        <w:t>Specify DCI based signaling for adaptation of PRACH in spatial domain.</w:t>
      </w:r>
      <w:r>
        <w:rPr>
          <w:rFonts w:hint="eastAsia"/>
        </w:rPr>
        <w:fldChar w:fldCharType="end"/>
      </w:r>
    </w:p>
    <w:p>
      <w:pPr>
        <w:pStyle w:val="20"/>
        <w:tabs>
          <w:tab w:val="right" w:leader="dot" w:pos="9660"/>
          <w:tab w:val="clear" w:pos="0"/>
        </w:tabs>
        <w:spacing w:before="120" w:after="120"/>
      </w:pPr>
      <w:r>
        <w:fldChar w:fldCharType="begin"/>
      </w:r>
      <w:r>
        <w:instrText xml:space="preserve"> HYPERLINK \l "_Toc16235" </w:instrText>
      </w:r>
      <w:r>
        <w:fldChar w:fldCharType="separate"/>
      </w:r>
      <w:r>
        <w:t xml:space="preserve">Proposal 10: </w:t>
      </w:r>
      <w:r>
        <w:rPr>
          <w:rFonts w:hint="eastAsia"/>
        </w:rPr>
        <w:t>DCI based indication for the adaptation of paging occasions in time domain can be considered for the paging configuration adaptation.</w:t>
      </w:r>
      <w:r>
        <w:rPr>
          <w:rFonts w:hint="eastAsia"/>
        </w:rPr>
        <w:fldChar w:fldCharType="end"/>
      </w:r>
    </w:p>
    <w:p>
      <w:pPr>
        <w:pStyle w:val="20"/>
        <w:tabs>
          <w:tab w:val="right" w:leader="dot" w:pos="9660"/>
          <w:tab w:val="clear" w:pos="0"/>
        </w:tabs>
        <w:spacing w:before="120" w:after="120"/>
      </w:pPr>
      <w:r>
        <w:fldChar w:fldCharType="begin"/>
      </w:r>
      <w:r>
        <w:instrText xml:space="preserve"> HYPERLINK \l "_Toc20383" </w:instrText>
      </w:r>
      <w:r>
        <w:fldChar w:fldCharType="separate"/>
      </w:r>
      <w:r>
        <w:t xml:space="preserve">Proposal 11: </w:t>
      </w:r>
      <w:r>
        <w:rPr>
          <w:rFonts w:hint="eastAsia"/>
        </w:rPr>
        <w:t>A unified signaling can be considered for the indication of SSB adaptation, PRACH adaptation and paging adaptation.</w:t>
      </w:r>
      <w:r>
        <w:rPr>
          <w:rFonts w:hint="eastAsia"/>
        </w:rPr>
        <w:fldChar w:fldCharType="end"/>
      </w:r>
    </w:p>
    <w:p>
      <w:pPr>
        <w:spacing w:before="120" w:after="120"/>
        <w:rPr>
          <w:highlight w:val="yellow"/>
        </w:rPr>
      </w:pPr>
      <w:r>
        <w:rPr>
          <w:highlight w:val="yellow"/>
        </w:rPr>
        <w:fldChar w:fldCharType="end"/>
      </w:r>
    </w:p>
    <w:p>
      <w:pPr>
        <w:pStyle w:val="2"/>
        <w:spacing w:before="120" w:after="120"/>
        <w:ind w:left="0"/>
        <w:rPr>
          <w:rFonts w:eastAsia="宋体"/>
        </w:rPr>
      </w:pPr>
      <w:r>
        <w:rPr>
          <w:rFonts w:hint="eastAsia" w:eastAsia="宋体"/>
        </w:rPr>
        <w:t>Reference</w:t>
      </w:r>
      <w:r>
        <w:rPr>
          <w:rFonts w:eastAsia="宋体"/>
        </w:rPr>
        <w:t>s</w:t>
      </w:r>
    </w:p>
    <w:p>
      <w:pPr>
        <w:pStyle w:val="39"/>
        <w:spacing w:before="120" w:after="120"/>
        <w:ind w:left="363" w:hanging="363"/>
      </w:pPr>
      <w:r>
        <w:rPr>
          <w:rFonts w:hint="eastAsia"/>
        </w:rPr>
        <w:t>RAN1 Chair</w:t>
      </w:r>
      <w:r>
        <w:t>’</w:t>
      </w:r>
      <w:r>
        <w:rPr>
          <w:rFonts w:hint="eastAsia"/>
        </w:rPr>
        <w:t>s Note, 3GPP TSG RAN WG1 #116, Athens, Greece, February 26th - March 1st, 2024.</w:t>
      </w:r>
    </w:p>
    <w:p>
      <w:pPr>
        <w:pStyle w:val="39"/>
        <w:spacing w:before="120" w:after="120"/>
        <w:ind w:left="363" w:hanging="363"/>
      </w:pPr>
      <w:r>
        <w:rPr>
          <w:rFonts w:hint="eastAsia"/>
        </w:rPr>
        <w:t>TS 38.213, V18.1.0, Physical layer procedures for control (Release 18).</w:t>
      </w:r>
    </w:p>
    <w:p>
      <w:pPr>
        <w:pStyle w:val="39"/>
        <w:spacing w:before="120" w:after="120"/>
        <w:ind w:left="363" w:hanging="363"/>
      </w:pPr>
      <w:r>
        <w:rPr>
          <w:rFonts w:hint="eastAsia"/>
        </w:rPr>
        <w:t>TS 38.331, V18.0.0, Radio Resource Control (RRC) protocol specification (Release 18).</w:t>
      </w:r>
    </w:p>
    <w:p>
      <w:pPr>
        <w:pStyle w:val="39"/>
        <w:numPr>
          <w:ilvl w:val="0"/>
          <w:numId w:val="0"/>
        </w:numPr>
        <w:spacing w:before="120" w:after="120"/>
      </w:pPr>
    </w:p>
    <w:p>
      <w:pPr>
        <w:pStyle w:val="39"/>
        <w:numPr>
          <w:ilvl w:val="0"/>
          <w:numId w:val="0"/>
        </w:numPr>
        <w:spacing w:before="120" w:after="120"/>
        <w:rPr>
          <w:color w:val="FF0000"/>
        </w:rPr>
      </w:pP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Arial">
    <w:panose1 w:val="020B0604020202020204"/>
    <w:charset w:val="00"/>
    <w:family w:val="swiss"/>
    <w:pitch w:val="default"/>
    <w:sig w:usb0="E0002EFF" w:usb1="C000785B" w:usb2="00000009" w:usb3="00000000" w:csb0="400001FF" w:csb1="FFFF0000"/>
  </w:font>
  <w:font w:name="MS Mincho">
    <w:altName w:val="Yu Gothic UI"/>
    <w:panose1 w:val="02020609040205080304"/>
    <w:charset w:val="80"/>
    <w:family w:val="modern"/>
    <w:pitch w:val="default"/>
    <w:sig w:usb0="00000000" w:usb1="00000000" w:usb2="08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Calibri">
    <w:panose1 w:val="020F0502020204030204"/>
    <w:charset w:val="00"/>
    <w:family w:val="swiss"/>
    <w:pitch w:val="default"/>
    <w:sig w:usb0="E0002EFF" w:usb1="C000247B"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spacing w:before="120" w:after="12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7785" cy="294005"/>
              <wp:effectExtent l="0" t="0" r="12065" b="4445"/>
              <wp:wrapNone/>
              <wp:docPr id="4" name="文本框 1"/>
              <wp:cNvGraphicFramePr/>
              <a:graphic xmlns:a="http://schemas.openxmlformats.org/drawingml/2006/main">
                <a:graphicData uri="http://schemas.microsoft.com/office/word/2010/wordprocessingShape">
                  <wps:wsp>
                    <wps:cNvSpPr txBox="1"/>
                    <wps:spPr>
                      <a:xfrm>
                        <a:off x="0" y="0"/>
                        <a:ext cx="57785" cy="294005"/>
                      </a:xfrm>
                      <a:prstGeom prst="rect">
                        <a:avLst/>
                      </a:prstGeom>
                      <a:noFill/>
                      <a:ln w="6350">
                        <a:noFill/>
                      </a:ln>
                      <a:effectLst/>
                    </wps:spPr>
                    <wps:txbx>
                      <w:txbxContent>
                        <w:p>
                          <w:pPr>
                            <w:pStyle w:val="18"/>
                            <w:spacing w:before="120" w:after="12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文本框 1" o:spid="_x0000_s1026" o:spt="202" type="#_x0000_t202" style="position:absolute;left:0pt;margin-top:0pt;height:23.15pt;width:4.55pt;mso-position-horizontal:center;mso-position-horizontal-relative:margin;mso-wrap-style:none;z-index:251659264;mso-width-relative:page;mso-height-relative:page;" filled="f" stroked="f" coordsize="21600,21600" o:gfxdata="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AaKXbD0QAAAAIBAAAPAAAAAAAAAAEAIAAAACIAAABkcnMvZG93bnJldi54bWxQ&#10;SwECFAAUAAAACACHTuJA/UKmIDcCAABgBAAADgAAAAAAAAABACAAAAAgAQAAZHJzL2Uyb0RvYy54&#10;bWxQSwUGAAAAAAYABgBZAQAAyQUAAAAA&#10;">
              <v:fill on="f" focussize="0,0"/>
              <v:stroke on="f" weight="0.5pt"/>
              <v:imagedata o:title=""/>
              <o:lock v:ext="edit" aspectratio="f"/>
              <v:textbox inset="0mm,0mm,0mm,0mm" style="mso-fit-shape-to-text:t;">
                <w:txbxContent>
                  <w:p>
                    <w:pPr>
                      <w:pStyle w:val="18"/>
                      <w:spacing w:before="120" w:after="120"/>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B34B193"/>
    <w:multiLevelType w:val="singleLevel"/>
    <w:tmpl w:val="AB34B193"/>
    <w:lvl w:ilvl="0" w:tentative="0">
      <w:start w:val="1"/>
      <w:numFmt w:val="decimal"/>
      <w:pStyle w:val="60"/>
      <w:lvlText w:val="Observation %1: "/>
      <w:lvlJc w:val="left"/>
      <w:pPr>
        <w:tabs>
          <w:tab w:val="left" w:pos="0"/>
        </w:tabs>
        <w:ind w:left="0" w:firstLine="0"/>
      </w:pPr>
      <w:rPr>
        <w:rFonts w:hint="default" w:ascii="Times New Roman" w:hAnsi="Times New Roman" w:eastAsia="宋体" w:cs="Times New Roman"/>
        <w:b/>
        <w:bCs/>
        <w:i/>
        <w:iCs/>
        <w:lang w:val="en-US"/>
      </w:rPr>
    </w:lvl>
  </w:abstractNum>
  <w:abstractNum w:abstractNumId="1">
    <w:nsid w:val="BD0CA652"/>
    <w:multiLevelType w:val="multilevel"/>
    <w:tmpl w:val="BD0CA652"/>
    <w:lvl w:ilvl="0" w:tentative="0">
      <w:start w:val="1"/>
      <w:numFmt w:val="decimal"/>
      <w:pStyle w:val="63"/>
      <w:lvlText w:val="Proposal %1:"/>
      <w:lvlJc w:val="left"/>
      <w:pPr>
        <w:tabs>
          <w:tab w:val="left" w:pos="0"/>
        </w:tabs>
        <w:ind w:left="0" w:firstLine="0"/>
      </w:pPr>
      <w:rPr>
        <w:rFonts w:hint="default" w:ascii="Times New Roman" w:hAnsi="Times New Roman" w:eastAsia="宋体" w:cs="Times New Roman"/>
        <w:b/>
        <w:bCs/>
        <w:i/>
        <w:iCs/>
      </w:rPr>
    </w:lvl>
    <w:lvl w:ilvl="1" w:tentative="0">
      <w:start w:val="1"/>
      <w:numFmt w:val="bullet"/>
      <w:lvlText w:val="•"/>
      <w:lvlJc w:val="left"/>
      <w:pPr>
        <w:tabs>
          <w:tab w:val="left" w:pos="840"/>
        </w:tabs>
        <w:ind w:left="840" w:hanging="420"/>
      </w:pPr>
      <w:rPr>
        <w:rFonts w:hint="default" w:ascii="Arial" w:hAnsi="Arial" w:eastAsia="宋体" w:cs="Arial"/>
        <w:b/>
        <w:bCs/>
        <w:i/>
        <w:iCs/>
      </w:rPr>
    </w:lvl>
    <w:lvl w:ilvl="2" w:tentative="0">
      <w:start w:val="1"/>
      <w:numFmt w:val="lowerRoman"/>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2">
    <w:nsid w:val="04F60BAF"/>
    <w:multiLevelType w:val="multilevel"/>
    <w:tmpl w:val="04F60BA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05D61159"/>
    <w:multiLevelType w:val="multilevel"/>
    <w:tmpl w:val="05D6115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0BDD5F2B"/>
    <w:multiLevelType w:val="multilevel"/>
    <w:tmpl w:val="0BDD5F2B"/>
    <w:lvl w:ilvl="0" w:tentative="0">
      <w:start w:val="1"/>
      <w:numFmt w:val="decimal"/>
      <w:pStyle w:val="2"/>
      <w:suff w:val="nothing"/>
      <w:lvlText w:val="%1  "/>
      <w:lvlJc w:val="left"/>
      <w:pPr>
        <w:ind w:left="4962"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2977"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0" w:firstLine="0"/>
      </w:pPr>
      <w:rPr>
        <w:rFonts w:hint="default" w:ascii="Arial" w:hAnsi="Arial" w:cs="Arial"/>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5">
    <w:nsid w:val="0E744147"/>
    <w:multiLevelType w:val="singleLevel"/>
    <w:tmpl w:val="0E744147"/>
    <w:lvl w:ilvl="0" w:tentative="0">
      <w:start w:val="1"/>
      <w:numFmt w:val="bullet"/>
      <w:lvlText w:val=""/>
      <w:lvlJc w:val="left"/>
      <w:pPr>
        <w:tabs>
          <w:tab w:val="left" w:pos="420"/>
        </w:tabs>
        <w:ind w:left="840" w:hanging="420"/>
      </w:pPr>
      <w:rPr>
        <w:rFonts w:hint="default" w:ascii="Wingdings" w:hAnsi="Wingdings" w:cs="Wingdings"/>
      </w:rPr>
    </w:lvl>
  </w:abstractNum>
  <w:abstractNum w:abstractNumId="6">
    <w:nsid w:val="268E52D3"/>
    <w:multiLevelType w:val="multilevel"/>
    <w:tmpl w:val="268E52D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3A877D64"/>
    <w:multiLevelType w:val="singleLevel"/>
    <w:tmpl w:val="3A877D64"/>
    <w:lvl w:ilvl="0" w:tentative="0">
      <w:start w:val="1"/>
      <w:numFmt w:val="decimal"/>
      <w:pStyle w:val="39"/>
      <w:lvlText w:val="[%1]"/>
      <w:lvlJc w:val="left"/>
      <w:pPr>
        <w:tabs>
          <w:tab w:val="left" w:pos="360"/>
        </w:tabs>
        <w:ind w:left="360" w:hanging="360"/>
      </w:pPr>
    </w:lvl>
  </w:abstractNum>
  <w:abstractNum w:abstractNumId="8">
    <w:nsid w:val="42B553E0"/>
    <w:multiLevelType w:val="multilevel"/>
    <w:tmpl w:val="42B553E0"/>
    <w:lvl w:ilvl="0" w:tentative="0">
      <w:start w:val="0"/>
      <w:numFmt w:val="bullet"/>
      <w:lvlText w:val=""/>
      <w:lvlJc w:val="left"/>
      <w:pPr>
        <w:ind w:left="720" w:hanging="360"/>
      </w:pPr>
      <w:rPr>
        <w:rFonts w:hint="default" w:ascii="Symbol" w:hAnsi="Symbol" w:eastAsia="Calibri"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65647342"/>
    <w:multiLevelType w:val="multilevel"/>
    <w:tmpl w:val="6564734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4"/>
  </w:num>
  <w:num w:numId="2">
    <w:abstractNumId w:val="7"/>
  </w:num>
  <w:num w:numId="3">
    <w:abstractNumId w:val="0"/>
  </w:num>
  <w:num w:numId="4">
    <w:abstractNumId w:val="1"/>
  </w:num>
  <w:num w:numId="5">
    <w:abstractNumId w:val="3"/>
  </w:num>
  <w:num w:numId="6">
    <w:abstractNumId w:val="8"/>
  </w:num>
  <w:num w:numId="7">
    <w:abstractNumId w:val="2"/>
  </w:num>
  <w:num w:numId="8">
    <w:abstractNumId w:val="6"/>
  </w:num>
  <w:num w:numId="9">
    <w:abstractNumId w:val="5"/>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50423"/>
    <w:rsid w:val="00051F4E"/>
    <w:rsid w:val="000529AC"/>
    <w:rsid w:val="00072FB0"/>
    <w:rsid w:val="00093DF3"/>
    <w:rsid w:val="000A15BE"/>
    <w:rsid w:val="000C1A96"/>
    <w:rsid w:val="000D0462"/>
    <w:rsid w:val="000E2433"/>
    <w:rsid w:val="000F28CA"/>
    <w:rsid w:val="00103906"/>
    <w:rsid w:val="00142961"/>
    <w:rsid w:val="001470AA"/>
    <w:rsid w:val="00153BF7"/>
    <w:rsid w:val="0016113B"/>
    <w:rsid w:val="001622FF"/>
    <w:rsid w:val="001632AB"/>
    <w:rsid w:val="00172A27"/>
    <w:rsid w:val="001754AE"/>
    <w:rsid w:val="0018732E"/>
    <w:rsid w:val="00191912"/>
    <w:rsid w:val="00195F46"/>
    <w:rsid w:val="001B3634"/>
    <w:rsid w:val="001C1894"/>
    <w:rsid w:val="001C196F"/>
    <w:rsid w:val="001D1287"/>
    <w:rsid w:val="001E125B"/>
    <w:rsid w:val="001E262F"/>
    <w:rsid w:val="001F1BB1"/>
    <w:rsid w:val="001F415E"/>
    <w:rsid w:val="001F6E58"/>
    <w:rsid w:val="0020406B"/>
    <w:rsid w:val="00212872"/>
    <w:rsid w:val="0021360B"/>
    <w:rsid w:val="00216169"/>
    <w:rsid w:val="002240E1"/>
    <w:rsid w:val="00224A1A"/>
    <w:rsid w:val="00227DF5"/>
    <w:rsid w:val="002320CA"/>
    <w:rsid w:val="002401EC"/>
    <w:rsid w:val="00243B44"/>
    <w:rsid w:val="00244ABB"/>
    <w:rsid w:val="00247A67"/>
    <w:rsid w:val="00251814"/>
    <w:rsid w:val="00256B05"/>
    <w:rsid w:val="00261C72"/>
    <w:rsid w:val="0026766E"/>
    <w:rsid w:val="002748A9"/>
    <w:rsid w:val="00282069"/>
    <w:rsid w:val="002B4661"/>
    <w:rsid w:val="002C0FF2"/>
    <w:rsid w:val="002C4448"/>
    <w:rsid w:val="002C68AC"/>
    <w:rsid w:val="002C7CCD"/>
    <w:rsid w:val="002F037D"/>
    <w:rsid w:val="002F0E7A"/>
    <w:rsid w:val="002F2535"/>
    <w:rsid w:val="002F5687"/>
    <w:rsid w:val="002F5A8D"/>
    <w:rsid w:val="00302F20"/>
    <w:rsid w:val="00303936"/>
    <w:rsid w:val="00314748"/>
    <w:rsid w:val="00315B5C"/>
    <w:rsid w:val="00316046"/>
    <w:rsid w:val="00317501"/>
    <w:rsid w:val="00322EE2"/>
    <w:rsid w:val="00325902"/>
    <w:rsid w:val="003275A3"/>
    <w:rsid w:val="00332D30"/>
    <w:rsid w:val="0033573E"/>
    <w:rsid w:val="00335FF9"/>
    <w:rsid w:val="0034009F"/>
    <w:rsid w:val="00340631"/>
    <w:rsid w:val="00343CE4"/>
    <w:rsid w:val="00344E48"/>
    <w:rsid w:val="003466BB"/>
    <w:rsid w:val="0035253F"/>
    <w:rsid w:val="00361D52"/>
    <w:rsid w:val="003704FF"/>
    <w:rsid w:val="00370D7F"/>
    <w:rsid w:val="00372A00"/>
    <w:rsid w:val="00373667"/>
    <w:rsid w:val="00376E4B"/>
    <w:rsid w:val="00376EEB"/>
    <w:rsid w:val="003872BB"/>
    <w:rsid w:val="00396F31"/>
    <w:rsid w:val="00397BA3"/>
    <w:rsid w:val="003A1DCE"/>
    <w:rsid w:val="003A4365"/>
    <w:rsid w:val="003A6BBE"/>
    <w:rsid w:val="003A7EAD"/>
    <w:rsid w:val="003B53DF"/>
    <w:rsid w:val="003D44C6"/>
    <w:rsid w:val="003F7415"/>
    <w:rsid w:val="004003D2"/>
    <w:rsid w:val="00417C55"/>
    <w:rsid w:val="004209E1"/>
    <w:rsid w:val="0042238B"/>
    <w:rsid w:val="00424C58"/>
    <w:rsid w:val="00450C17"/>
    <w:rsid w:val="004527B1"/>
    <w:rsid w:val="004545A5"/>
    <w:rsid w:val="004608F6"/>
    <w:rsid w:val="004724B4"/>
    <w:rsid w:val="00472B06"/>
    <w:rsid w:val="00477655"/>
    <w:rsid w:val="0048120F"/>
    <w:rsid w:val="00482706"/>
    <w:rsid w:val="00490434"/>
    <w:rsid w:val="00495C90"/>
    <w:rsid w:val="004A142B"/>
    <w:rsid w:val="004A5D1D"/>
    <w:rsid w:val="004A699E"/>
    <w:rsid w:val="004B44A9"/>
    <w:rsid w:val="004C1A54"/>
    <w:rsid w:val="004F5994"/>
    <w:rsid w:val="00500F45"/>
    <w:rsid w:val="00503921"/>
    <w:rsid w:val="00507A00"/>
    <w:rsid w:val="005176E7"/>
    <w:rsid w:val="00523589"/>
    <w:rsid w:val="00523668"/>
    <w:rsid w:val="00523AD9"/>
    <w:rsid w:val="00523D5E"/>
    <w:rsid w:val="00527033"/>
    <w:rsid w:val="00531B5B"/>
    <w:rsid w:val="00532500"/>
    <w:rsid w:val="005349A5"/>
    <w:rsid w:val="00541B22"/>
    <w:rsid w:val="00546436"/>
    <w:rsid w:val="00547723"/>
    <w:rsid w:val="00564BCB"/>
    <w:rsid w:val="00572F6E"/>
    <w:rsid w:val="00574776"/>
    <w:rsid w:val="0058526A"/>
    <w:rsid w:val="0059321F"/>
    <w:rsid w:val="00593818"/>
    <w:rsid w:val="005A05C6"/>
    <w:rsid w:val="005A0FE9"/>
    <w:rsid w:val="005B77A5"/>
    <w:rsid w:val="005C6B42"/>
    <w:rsid w:val="005D5019"/>
    <w:rsid w:val="005D6A1C"/>
    <w:rsid w:val="005E2C89"/>
    <w:rsid w:val="005F26E5"/>
    <w:rsid w:val="005F4271"/>
    <w:rsid w:val="005F5E8A"/>
    <w:rsid w:val="00611232"/>
    <w:rsid w:val="00614E28"/>
    <w:rsid w:val="00617327"/>
    <w:rsid w:val="00617EE7"/>
    <w:rsid w:val="00620288"/>
    <w:rsid w:val="00620D7C"/>
    <w:rsid w:val="006231ED"/>
    <w:rsid w:val="00624C23"/>
    <w:rsid w:val="00633E43"/>
    <w:rsid w:val="00637D11"/>
    <w:rsid w:val="00640B94"/>
    <w:rsid w:val="00642298"/>
    <w:rsid w:val="00646EAA"/>
    <w:rsid w:val="006501AA"/>
    <w:rsid w:val="006536B8"/>
    <w:rsid w:val="00654F58"/>
    <w:rsid w:val="006619AB"/>
    <w:rsid w:val="00674739"/>
    <w:rsid w:val="00676C72"/>
    <w:rsid w:val="00680FFF"/>
    <w:rsid w:val="00691376"/>
    <w:rsid w:val="006922EF"/>
    <w:rsid w:val="00694EF8"/>
    <w:rsid w:val="00694FB9"/>
    <w:rsid w:val="006C2229"/>
    <w:rsid w:val="006C55B1"/>
    <w:rsid w:val="006C69C1"/>
    <w:rsid w:val="006D11DE"/>
    <w:rsid w:val="006D3D89"/>
    <w:rsid w:val="006E01C3"/>
    <w:rsid w:val="006F4852"/>
    <w:rsid w:val="00700636"/>
    <w:rsid w:val="00701BF9"/>
    <w:rsid w:val="007036F7"/>
    <w:rsid w:val="0070691A"/>
    <w:rsid w:val="0070693A"/>
    <w:rsid w:val="00717A38"/>
    <w:rsid w:val="00717B74"/>
    <w:rsid w:val="0073053B"/>
    <w:rsid w:val="00735DC1"/>
    <w:rsid w:val="007427BB"/>
    <w:rsid w:val="007440A2"/>
    <w:rsid w:val="00745143"/>
    <w:rsid w:val="00747C56"/>
    <w:rsid w:val="007501AC"/>
    <w:rsid w:val="00751549"/>
    <w:rsid w:val="00762F1B"/>
    <w:rsid w:val="0076682E"/>
    <w:rsid w:val="0077581A"/>
    <w:rsid w:val="0077761A"/>
    <w:rsid w:val="00784828"/>
    <w:rsid w:val="00785A2A"/>
    <w:rsid w:val="00786A2C"/>
    <w:rsid w:val="00787FA9"/>
    <w:rsid w:val="007A0CD8"/>
    <w:rsid w:val="007B0FD9"/>
    <w:rsid w:val="007B458B"/>
    <w:rsid w:val="007C4328"/>
    <w:rsid w:val="007C440F"/>
    <w:rsid w:val="007E4A23"/>
    <w:rsid w:val="007F39F4"/>
    <w:rsid w:val="00802A15"/>
    <w:rsid w:val="00810C42"/>
    <w:rsid w:val="00816EF3"/>
    <w:rsid w:val="008266C4"/>
    <w:rsid w:val="008412CD"/>
    <w:rsid w:val="0084332A"/>
    <w:rsid w:val="00847621"/>
    <w:rsid w:val="00852635"/>
    <w:rsid w:val="0085443B"/>
    <w:rsid w:val="00857E93"/>
    <w:rsid w:val="008652E8"/>
    <w:rsid w:val="00870679"/>
    <w:rsid w:val="00870E40"/>
    <w:rsid w:val="00886E49"/>
    <w:rsid w:val="00886EA7"/>
    <w:rsid w:val="00892B4C"/>
    <w:rsid w:val="00893268"/>
    <w:rsid w:val="0089344F"/>
    <w:rsid w:val="00894520"/>
    <w:rsid w:val="008A72B5"/>
    <w:rsid w:val="008B3130"/>
    <w:rsid w:val="008B547D"/>
    <w:rsid w:val="008B5C48"/>
    <w:rsid w:val="008B7F10"/>
    <w:rsid w:val="008C0445"/>
    <w:rsid w:val="008F255E"/>
    <w:rsid w:val="008F3DC8"/>
    <w:rsid w:val="00903A35"/>
    <w:rsid w:val="00922624"/>
    <w:rsid w:val="00923BDA"/>
    <w:rsid w:val="0093617A"/>
    <w:rsid w:val="009411A5"/>
    <w:rsid w:val="00946A7C"/>
    <w:rsid w:val="00950DB1"/>
    <w:rsid w:val="00952C83"/>
    <w:rsid w:val="00957418"/>
    <w:rsid w:val="009610C6"/>
    <w:rsid w:val="0096194F"/>
    <w:rsid w:val="00966E7D"/>
    <w:rsid w:val="00970630"/>
    <w:rsid w:val="00971A1F"/>
    <w:rsid w:val="009734B7"/>
    <w:rsid w:val="00983FE2"/>
    <w:rsid w:val="00986B97"/>
    <w:rsid w:val="00991DF7"/>
    <w:rsid w:val="00994A41"/>
    <w:rsid w:val="009A380A"/>
    <w:rsid w:val="009A3A36"/>
    <w:rsid w:val="009A4F31"/>
    <w:rsid w:val="009B05AD"/>
    <w:rsid w:val="009B18A3"/>
    <w:rsid w:val="009B5557"/>
    <w:rsid w:val="009D6400"/>
    <w:rsid w:val="009D7770"/>
    <w:rsid w:val="009D7C12"/>
    <w:rsid w:val="009F65A8"/>
    <w:rsid w:val="009F7747"/>
    <w:rsid w:val="00A05A33"/>
    <w:rsid w:val="00A14F22"/>
    <w:rsid w:val="00A171E5"/>
    <w:rsid w:val="00A17810"/>
    <w:rsid w:val="00A21523"/>
    <w:rsid w:val="00A26720"/>
    <w:rsid w:val="00A33BD9"/>
    <w:rsid w:val="00A40C3F"/>
    <w:rsid w:val="00A4182C"/>
    <w:rsid w:val="00A50B2A"/>
    <w:rsid w:val="00A51CDD"/>
    <w:rsid w:val="00A54A48"/>
    <w:rsid w:val="00A551E2"/>
    <w:rsid w:val="00A56849"/>
    <w:rsid w:val="00A64DED"/>
    <w:rsid w:val="00A656E5"/>
    <w:rsid w:val="00A809DB"/>
    <w:rsid w:val="00A82E1B"/>
    <w:rsid w:val="00A86EB5"/>
    <w:rsid w:val="00A91773"/>
    <w:rsid w:val="00A92854"/>
    <w:rsid w:val="00A92CA8"/>
    <w:rsid w:val="00AA1889"/>
    <w:rsid w:val="00AB0AAF"/>
    <w:rsid w:val="00AB251B"/>
    <w:rsid w:val="00AB500B"/>
    <w:rsid w:val="00AB5108"/>
    <w:rsid w:val="00AB6D34"/>
    <w:rsid w:val="00AC24BF"/>
    <w:rsid w:val="00AD56C4"/>
    <w:rsid w:val="00AD7FE5"/>
    <w:rsid w:val="00AE4FBC"/>
    <w:rsid w:val="00AE5530"/>
    <w:rsid w:val="00B031EF"/>
    <w:rsid w:val="00B11405"/>
    <w:rsid w:val="00B138E9"/>
    <w:rsid w:val="00B179E3"/>
    <w:rsid w:val="00B234CB"/>
    <w:rsid w:val="00B245AA"/>
    <w:rsid w:val="00B34FF8"/>
    <w:rsid w:val="00B43645"/>
    <w:rsid w:val="00B54730"/>
    <w:rsid w:val="00B56091"/>
    <w:rsid w:val="00B60F6C"/>
    <w:rsid w:val="00B663FA"/>
    <w:rsid w:val="00B76824"/>
    <w:rsid w:val="00B81C3C"/>
    <w:rsid w:val="00B87AB7"/>
    <w:rsid w:val="00BA72B7"/>
    <w:rsid w:val="00BA7674"/>
    <w:rsid w:val="00BB08C4"/>
    <w:rsid w:val="00BD72A5"/>
    <w:rsid w:val="00BE22EC"/>
    <w:rsid w:val="00BE5D22"/>
    <w:rsid w:val="00BF1EA7"/>
    <w:rsid w:val="00BF526E"/>
    <w:rsid w:val="00BF743C"/>
    <w:rsid w:val="00C07C74"/>
    <w:rsid w:val="00C12784"/>
    <w:rsid w:val="00C16276"/>
    <w:rsid w:val="00C2142E"/>
    <w:rsid w:val="00C22FCF"/>
    <w:rsid w:val="00C2334E"/>
    <w:rsid w:val="00C2713A"/>
    <w:rsid w:val="00C34FD0"/>
    <w:rsid w:val="00C625E3"/>
    <w:rsid w:val="00C67AE3"/>
    <w:rsid w:val="00C76271"/>
    <w:rsid w:val="00C829B3"/>
    <w:rsid w:val="00C855D2"/>
    <w:rsid w:val="00C922BC"/>
    <w:rsid w:val="00C925E7"/>
    <w:rsid w:val="00CA09F5"/>
    <w:rsid w:val="00CA152B"/>
    <w:rsid w:val="00CB03D7"/>
    <w:rsid w:val="00CB046A"/>
    <w:rsid w:val="00CB7FB3"/>
    <w:rsid w:val="00CC01B0"/>
    <w:rsid w:val="00CC11A8"/>
    <w:rsid w:val="00CC2CD6"/>
    <w:rsid w:val="00CD5E4A"/>
    <w:rsid w:val="00CD62C4"/>
    <w:rsid w:val="00CE32ED"/>
    <w:rsid w:val="00CF0062"/>
    <w:rsid w:val="00CF25E8"/>
    <w:rsid w:val="00CF4293"/>
    <w:rsid w:val="00D06F00"/>
    <w:rsid w:val="00D14578"/>
    <w:rsid w:val="00D24465"/>
    <w:rsid w:val="00D27BF8"/>
    <w:rsid w:val="00D30D70"/>
    <w:rsid w:val="00D30FF6"/>
    <w:rsid w:val="00D54F1B"/>
    <w:rsid w:val="00D57D7B"/>
    <w:rsid w:val="00D60DA9"/>
    <w:rsid w:val="00D701BB"/>
    <w:rsid w:val="00D714E2"/>
    <w:rsid w:val="00D7289E"/>
    <w:rsid w:val="00D82051"/>
    <w:rsid w:val="00D82CF5"/>
    <w:rsid w:val="00D838A0"/>
    <w:rsid w:val="00D871C4"/>
    <w:rsid w:val="00D8785A"/>
    <w:rsid w:val="00D91349"/>
    <w:rsid w:val="00D92E3B"/>
    <w:rsid w:val="00DB0E95"/>
    <w:rsid w:val="00DB12AD"/>
    <w:rsid w:val="00DB2010"/>
    <w:rsid w:val="00DB505E"/>
    <w:rsid w:val="00DC0C4F"/>
    <w:rsid w:val="00DC1213"/>
    <w:rsid w:val="00DC6E1E"/>
    <w:rsid w:val="00DC70F6"/>
    <w:rsid w:val="00DC724A"/>
    <w:rsid w:val="00DD5F49"/>
    <w:rsid w:val="00DF4482"/>
    <w:rsid w:val="00E05651"/>
    <w:rsid w:val="00E068AA"/>
    <w:rsid w:val="00E258FC"/>
    <w:rsid w:val="00E30348"/>
    <w:rsid w:val="00E339EA"/>
    <w:rsid w:val="00E37186"/>
    <w:rsid w:val="00E52879"/>
    <w:rsid w:val="00E55791"/>
    <w:rsid w:val="00E56340"/>
    <w:rsid w:val="00E67009"/>
    <w:rsid w:val="00E704FD"/>
    <w:rsid w:val="00E74935"/>
    <w:rsid w:val="00E75D6F"/>
    <w:rsid w:val="00E8609B"/>
    <w:rsid w:val="00E91559"/>
    <w:rsid w:val="00E92BF0"/>
    <w:rsid w:val="00E94718"/>
    <w:rsid w:val="00E95FFE"/>
    <w:rsid w:val="00EA0820"/>
    <w:rsid w:val="00EB70EA"/>
    <w:rsid w:val="00ED0DCA"/>
    <w:rsid w:val="00ED47A7"/>
    <w:rsid w:val="00EE1EE7"/>
    <w:rsid w:val="00F019E9"/>
    <w:rsid w:val="00F05DFC"/>
    <w:rsid w:val="00F072E8"/>
    <w:rsid w:val="00F143A1"/>
    <w:rsid w:val="00F1480F"/>
    <w:rsid w:val="00F179F3"/>
    <w:rsid w:val="00F2072B"/>
    <w:rsid w:val="00F34277"/>
    <w:rsid w:val="00F4372E"/>
    <w:rsid w:val="00F453FE"/>
    <w:rsid w:val="00F71825"/>
    <w:rsid w:val="00F80169"/>
    <w:rsid w:val="00F81514"/>
    <w:rsid w:val="00F82200"/>
    <w:rsid w:val="00F86352"/>
    <w:rsid w:val="00F87040"/>
    <w:rsid w:val="00F95A32"/>
    <w:rsid w:val="00FA3FD9"/>
    <w:rsid w:val="00FA6AF6"/>
    <w:rsid w:val="00FA7D65"/>
    <w:rsid w:val="00FB593A"/>
    <w:rsid w:val="00FC20D8"/>
    <w:rsid w:val="00FC72FB"/>
    <w:rsid w:val="00FE0900"/>
    <w:rsid w:val="010D0267"/>
    <w:rsid w:val="010D6400"/>
    <w:rsid w:val="01116D56"/>
    <w:rsid w:val="011C7F2E"/>
    <w:rsid w:val="011D1CFC"/>
    <w:rsid w:val="013B3CF1"/>
    <w:rsid w:val="01466B34"/>
    <w:rsid w:val="015462A2"/>
    <w:rsid w:val="01804EE8"/>
    <w:rsid w:val="01864AED"/>
    <w:rsid w:val="01881F56"/>
    <w:rsid w:val="01B74129"/>
    <w:rsid w:val="01C652D7"/>
    <w:rsid w:val="01E24E7A"/>
    <w:rsid w:val="01E96EEF"/>
    <w:rsid w:val="0206750A"/>
    <w:rsid w:val="02081A95"/>
    <w:rsid w:val="020C3735"/>
    <w:rsid w:val="0213167F"/>
    <w:rsid w:val="021919F7"/>
    <w:rsid w:val="021F5697"/>
    <w:rsid w:val="023E4DC6"/>
    <w:rsid w:val="02443513"/>
    <w:rsid w:val="024C16A6"/>
    <w:rsid w:val="027B6543"/>
    <w:rsid w:val="027C2452"/>
    <w:rsid w:val="0294765E"/>
    <w:rsid w:val="02A23A7B"/>
    <w:rsid w:val="02BE42E8"/>
    <w:rsid w:val="02C91126"/>
    <w:rsid w:val="031A6DDF"/>
    <w:rsid w:val="032219B3"/>
    <w:rsid w:val="035F7137"/>
    <w:rsid w:val="0368661B"/>
    <w:rsid w:val="03817C6C"/>
    <w:rsid w:val="03F50BF8"/>
    <w:rsid w:val="03F757EE"/>
    <w:rsid w:val="040D5006"/>
    <w:rsid w:val="04176B15"/>
    <w:rsid w:val="04250069"/>
    <w:rsid w:val="04332B60"/>
    <w:rsid w:val="044D1A33"/>
    <w:rsid w:val="04B147BC"/>
    <w:rsid w:val="04BB6B80"/>
    <w:rsid w:val="04BC60C1"/>
    <w:rsid w:val="04C30E81"/>
    <w:rsid w:val="04D2235B"/>
    <w:rsid w:val="04D92E2A"/>
    <w:rsid w:val="04E942AF"/>
    <w:rsid w:val="05072F43"/>
    <w:rsid w:val="051A21ED"/>
    <w:rsid w:val="052E7C86"/>
    <w:rsid w:val="05396067"/>
    <w:rsid w:val="053962A9"/>
    <w:rsid w:val="05421686"/>
    <w:rsid w:val="054B7C66"/>
    <w:rsid w:val="054E3F97"/>
    <w:rsid w:val="054F7EC4"/>
    <w:rsid w:val="055F3E8F"/>
    <w:rsid w:val="05631304"/>
    <w:rsid w:val="05965B13"/>
    <w:rsid w:val="05AA751F"/>
    <w:rsid w:val="05AB3E4C"/>
    <w:rsid w:val="05C40254"/>
    <w:rsid w:val="05D01949"/>
    <w:rsid w:val="05D45DE8"/>
    <w:rsid w:val="05DD3B0E"/>
    <w:rsid w:val="06083F43"/>
    <w:rsid w:val="061E71D7"/>
    <w:rsid w:val="064D537E"/>
    <w:rsid w:val="06541F59"/>
    <w:rsid w:val="06551195"/>
    <w:rsid w:val="067056D9"/>
    <w:rsid w:val="067A5C39"/>
    <w:rsid w:val="067F5C8B"/>
    <w:rsid w:val="06883795"/>
    <w:rsid w:val="069258CC"/>
    <w:rsid w:val="06A12B72"/>
    <w:rsid w:val="06D94F62"/>
    <w:rsid w:val="06E930D6"/>
    <w:rsid w:val="06F9688C"/>
    <w:rsid w:val="06FA3145"/>
    <w:rsid w:val="073C0F1E"/>
    <w:rsid w:val="07573824"/>
    <w:rsid w:val="075A5568"/>
    <w:rsid w:val="077046F9"/>
    <w:rsid w:val="07816512"/>
    <w:rsid w:val="0797540B"/>
    <w:rsid w:val="07C51163"/>
    <w:rsid w:val="07F63B68"/>
    <w:rsid w:val="07FE43B3"/>
    <w:rsid w:val="07FF469C"/>
    <w:rsid w:val="08067A83"/>
    <w:rsid w:val="080C2DB1"/>
    <w:rsid w:val="083900EE"/>
    <w:rsid w:val="084F55D9"/>
    <w:rsid w:val="086F5C08"/>
    <w:rsid w:val="087807B5"/>
    <w:rsid w:val="087C2BF1"/>
    <w:rsid w:val="089D4BC3"/>
    <w:rsid w:val="08A367A0"/>
    <w:rsid w:val="08AD693C"/>
    <w:rsid w:val="08CA4673"/>
    <w:rsid w:val="08D24C49"/>
    <w:rsid w:val="08D545C6"/>
    <w:rsid w:val="08D92F9A"/>
    <w:rsid w:val="08E152BA"/>
    <w:rsid w:val="08E3236B"/>
    <w:rsid w:val="08E41C3F"/>
    <w:rsid w:val="08F362FF"/>
    <w:rsid w:val="08F76659"/>
    <w:rsid w:val="092A35DC"/>
    <w:rsid w:val="09733A93"/>
    <w:rsid w:val="09773AD2"/>
    <w:rsid w:val="09912D87"/>
    <w:rsid w:val="099D1F0E"/>
    <w:rsid w:val="09A13012"/>
    <w:rsid w:val="09B8038E"/>
    <w:rsid w:val="09B807DC"/>
    <w:rsid w:val="09B96487"/>
    <w:rsid w:val="09BB1324"/>
    <w:rsid w:val="09DD5F33"/>
    <w:rsid w:val="09E2510B"/>
    <w:rsid w:val="09E2618B"/>
    <w:rsid w:val="0A0D0A5C"/>
    <w:rsid w:val="0A1332A7"/>
    <w:rsid w:val="0A1434BD"/>
    <w:rsid w:val="0A177598"/>
    <w:rsid w:val="0A2A0A4E"/>
    <w:rsid w:val="0A33259C"/>
    <w:rsid w:val="0A670FF2"/>
    <w:rsid w:val="0A902401"/>
    <w:rsid w:val="0AA04A08"/>
    <w:rsid w:val="0AC857E6"/>
    <w:rsid w:val="0AF011AC"/>
    <w:rsid w:val="0AFE6CA0"/>
    <w:rsid w:val="0B133891"/>
    <w:rsid w:val="0B17278B"/>
    <w:rsid w:val="0B2161DE"/>
    <w:rsid w:val="0B24227A"/>
    <w:rsid w:val="0B2C066D"/>
    <w:rsid w:val="0B372F62"/>
    <w:rsid w:val="0B527D96"/>
    <w:rsid w:val="0B7E7B40"/>
    <w:rsid w:val="0B867DD4"/>
    <w:rsid w:val="0B8906D5"/>
    <w:rsid w:val="0B990F05"/>
    <w:rsid w:val="0BA163C4"/>
    <w:rsid w:val="0BBA4C3E"/>
    <w:rsid w:val="0BC527E7"/>
    <w:rsid w:val="0BDE30C9"/>
    <w:rsid w:val="0BE9216B"/>
    <w:rsid w:val="0C04199B"/>
    <w:rsid w:val="0C0B0A79"/>
    <w:rsid w:val="0C182984"/>
    <w:rsid w:val="0C233DDB"/>
    <w:rsid w:val="0C243614"/>
    <w:rsid w:val="0C641CE4"/>
    <w:rsid w:val="0C8E4C85"/>
    <w:rsid w:val="0C8F3817"/>
    <w:rsid w:val="0C9A21C7"/>
    <w:rsid w:val="0CBA3E26"/>
    <w:rsid w:val="0CC86926"/>
    <w:rsid w:val="0CCA2E65"/>
    <w:rsid w:val="0CD87B6A"/>
    <w:rsid w:val="0CE70F5A"/>
    <w:rsid w:val="0CED70FB"/>
    <w:rsid w:val="0CF04B26"/>
    <w:rsid w:val="0D274B82"/>
    <w:rsid w:val="0D6718A8"/>
    <w:rsid w:val="0D8A5C4C"/>
    <w:rsid w:val="0D9D3B84"/>
    <w:rsid w:val="0DA826B2"/>
    <w:rsid w:val="0DC46801"/>
    <w:rsid w:val="0DD03A03"/>
    <w:rsid w:val="0DDA5E66"/>
    <w:rsid w:val="0DE80CCD"/>
    <w:rsid w:val="0DE92A73"/>
    <w:rsid w:val="0DFC6FB1"/>
    <w:rsid w:val="0E1B6666"/>
    <w:rsid w:val="0E342F61"/>
    <w:rsid w:val="0E546450"/>
    <w:rsid w:val="0E6A657A"/>
    <w:rsid w:val="0E8756CE"/>
    <w:rsid w:val="0E875907"/>
    <w:rsid w:val="0E9E306F"/>
    <w:rsid w:val="0EBE485B"/>
    <w:rsid w:val="0ECE319D"/>
    <w:rsid w:val="0EE11FA9"/>
    <w:rsid w:val="0EEE11BD"/>
    <w:rsid w:val="0EF36676"/>
    <w:rsid w:val="0EFF2521"/>
    <w:rsid w:val="0F0E45C0"/>
    <w:rsid w:val="0F121040"/>
    <w:rsid w:val="0F210C17"/>
    <w:rsid w:val="0F244800"/>
    <w:rsid w:val="0F343655"/>
    <w:rsid w:val="0F644218"/>
    <w:rsid w:val="0F7D1FFA"/>
    <w:rsid w:val="0F8E4908"/>
    <w:rsid w:val="0F913335"/>
    <w:rsid w:val="0F96680B"/>
    <w:rsid w:val="0FB60B75"/>
    <w:rsid w:val="0FD96CA9"/>
    <w:rsid w:val="0FDD68DC"/>
    <w:rsid w:val="0FF15BB9"/>
    <w:rsid w:val="0FF906E7"/>
    <w:rsid w:val="0FFD586A"/>
    <w:rsid w:val="10020B62"/>
    <w:rsid w:val="10087FF8"/>
    <w:rsid w:val="10135C77"/>
    <w:rsid w:val="1035011A"/>
    <w:rsid w:val="103607AE"/>
    <w:rsid w:val="10384280"/>
    <w:rsid w:val="105D7F23"/>
    <w:rsid w:val="106506A9"/>
    <w:rsid w:val="108E0879"/>
    <w:rsid w:val="10A7382A"/>
    <w:rsid w:val="10C359D9"/>
    <w:rsid w:val="11011524"/>
    <w:rsid w:val="110877A1"/>
    <w:rsid w:val="110D72EA"/>
    <w:rsid w:val="110E7959"/>
    <w:rsid w:val="1119722C"/>
    <w:rsid w:val="1127264D"/>
    <w:rsid w:val="11434434"/>
    <w:rsid w:val="114A05F1"/>
    <w:rsid w:val="115C58D6"/>
    <w:rsid w:val="11604BE2"/>
    <w:rsid w:val="11722043"/>
    <w:rsid w:val="118F4329"/>
    <w:rsid w:val="119F6D5C"/>
    <w:rsid w:val="11A0225A"/>
    <w:rsid w:val="11A922D8"/>
    <w:rsid w:val="11AC7AC7"/>
    <w:rsid w:val="11D45AE1"/>
    <w:rsid w:val="11EA2125"/>
    <w:rsid w:val="12023099"/>
    <w:rsid w:val="122012FA"/>
    <w:rsid w:val="12373AAE"/>
    <w:rsid w:val="123D7233"/>
    <w:rsid w:val="124421AC"/>
    <w:rsid w:val="124D011C"/>
    <w:rsid w:val="125B107A"/>
    <w:rsid w:val="12753E07"/>
    <w:rsid w:val="127B28B7"/>
    <w:rsid w:val="129245E5"/>
    <w:rsid w:val="12C10D7D"/>
    <w:rsid w:val="12CE1204"/>
    <w:rsid w:val="12F06EE1"/>
    <w:rsid w:val="12F32533"/>
    <w:rsid w:val="12F34854"/>
    <w:rsid w:val="13153AEF"/>
    <w:rsid w:val="132D77D9"/>
    <w:rsid w:val="134F7B0B"/>
    <w:rsid w:val="13683A5C"/>
    <w:rsid w:val="137C5217"/>
    <w:rsid w:val="13917553"/>
    <w:rsid w:val="13B07F3E"/>
    <w:rsid w:val="13B26405"/>
    <w:rsid w:val="13BF5ED3"/>
    <w:rsid w:val="13FD1C15"/>
    <w:rsid w:val="14083C98"/>
    <w:rsid w:val="140876D8"/>
    <w:rsid w:val="141845E0"/>
    <w:rsid w:val="141C18EA"/>
    <w:rsid w:val="141F1808"/>
    <w:rsid w:val="142B02F1"/>
    <w:rsid w:val="142E08FB"/>
    <w:rsid w:val="142F47CB"/>
    <w:rsid w:val="142F7B6B"/>
    <w:rsid w:val="1441758D"/>
    <w:rsid w:val="145B1FDF"/>
    <w:rsid w:val="145E7A95"/>
    <w:rsid w:val="146575A3"/>
    <w:rsid w:val="148B15E0"/>
    <w:rsid w:val="14D20D9B"/>
    <w:rsid w:val="15006FBE"/>
    <w:rsid w:val="151F6B5A"/>
    <w:rsid w:val="15212130"/>
    <w:rsid w:val="156542CB"/>
    <w:rsid w:val="158014E9"/>
    <w:rsid w:val="158A5B50"/>
    <w:rsid w:val="159F23B3"/>
    <w:rsid w:val="15A2498C"/>
    <w:rsid w:val="15A41290"/>
    <w:rsid w:val="15B66B91"/>
    <w:rsid w:val="15C3420A"/>
    <w:rsid w:val="15E47F68"/>
    <w:rsid w:val="15EF0116"/>
    <w:rsid w:val="15FF6EEC"/>
    <w:rsid w:val="16041E01"/>
    <w:rsid w:val="16232CF9"/>
    <w:rsid w:val="16262029"/>
    <w:rsid w:val="16397749"/>
    <w:rsid w:val="164026BE"/>
    <w:rsid w:val="16406CEA"/>
    <w:rsid w:val="1650457C"/>
    <w:rsid w:val="16562259"/>
    <w:rsid w:val="165B3324"/>
    <w:rsid w:val="16764951"/>
    <w:rsid w:val="167A273E"/>
    <w:rsid w:val="16A61F0D"/>
    <w:rsid w:val="16A90BBF"/>
    <w:rsid w:val="16AC5F02"/>
    <w:rsid w:val="16B27F4D"/>
    <w:rsid w:val="16C77FE5"/>
    <w:rsid w:val="16F47E57"/>
    <w:rsid w:val="16F53AB0"/>
    <w:rsid w:val="17220FF1"/>
    <w:rsid w:val="17320F2E"/>
    <w:rsid w:val="17613E3F"/>
    <w:rsid w:val="17664D13"/>
    <w:rsid w:val="1766777C"/>
    <w:rsid w:val="17676E2A"/>
    <w:rsid w:val="176D41EE"/>
    <w:rsid w:val="1780422F"/>
    <w:rsid w:val="17A75F25"/>
    <w:rsid w:val="17AA5C9C"/>
    <w:rsid w:val="17BD6AB4"/>
    <w:rsid w:val="17C023C9"/>
    <w:rsid w:val="17EF5DD9"/>
    <w:rsid w:val="17F77922"/>
    <w:rsid w:val="18055C5F"/>
    <w:rsid w:val="1818083E"/>
    <w:rsid w:val="184253B9"/>
    <w:rsid w:val="18434C37"/>
    <w:rsid w:val="186202E0"/>
    <w:rsid w:val="18655B8E"/>
    <w:rsid w:val="186E43F1"/>
    <w:rsid w:val="188153D5"/>
    <w:rsid w:val="18875C71"/>
    <w:rsid w:val="18B80BCE"/>
    <w:rsid w:val="18C06461"/>
    <w:rsid w:val="18C66922"/>
    <w:rsid w:val="18D15598"/>
    <w:rsid w:val="18DC5CEB"/>
    <w:rsid w:val="18E62FBE"/>
    <w:rsid w:val="18EE7258"/>
    <w:rsid w:val="19000F5A"/>
    <w:rsid w:val="190C7DED"/>
    <w:rsid w:val="19270D53"/>
    <w:rsid w:val="193337BA"/>
    <w:rsid w:val="19402796"/>
    <w:rsid w:val="19407B9F"/>
    <w:rsid w:val="195254FA"/>
    <w:rsid w:val="195919BF"/>
    <w:rsid w:val="19677C6A"/>
    <w:rsid w:val="19733859"/>
    <w:rsid w:val="198A4DC2"/>
    <w:rsid w:val="199750ED"/>
    <w:rsid w:val="19A57045"/>
    <w:rsid w:val="19AC0EF2"/>
    <w:rsid w:val="19B57275"/>
    <w:rsid w:val="19BE3E90"/>
    <w:rsid w:val="19C11AC9"/>
    <w:rsid w:val="19C37E45"/>
    <w:rsid w:val="19CF40F7"/>
    <w:rsid w:val="19ED0EB9"/>
    <w:rsid w:val="19F21F24"/>
    <w:rsid w:val="1A00617E"/>
    <w:rsid w:val="1A1C2BAB"/>
    <w:rsid w:val="1A1F124B"/>
    <w:rsid w:val="1A210F06"/>
    <w:rsid w:val="1A251079"/>
    <w:rsid w:val="1A28484F"/>
    <w:rsid w:val="1A3573C0"/>
    <w:rsid w:val="1A58762F"/>
    <w:rsid w:val="1A641A0E"/>
    <w:rsid w:val="1A6D533B"/>
    <w:rsid w:val="1A712F48"/>
    <w:rsid w:val="1A9D156F"/>
    <w:rsid w:val="1AA80D9B"/>
    <w:rsid w:val="1AA847EC"/>
    <w:rsid w:val="1AAD0BB3"/>
    <w:rsid w:val="1AD01EB8"/>
    <w:rsid w:val="1AD03E52"/>
    <w:rsid w:val="1AD875EC"/>
    <w:rsid w:val="1AE26A3D"/>
    <w:rsid w:val="1AF475AD"/>
    <w:rsid w:val="1AF92EDF"/>
    <w:rsid w:val="1AFD70F0"/>
    <w:rsid w:val="1B0270FF"/>
    <w:rsid w:val="1B171A8F"/>
    <w:rsid w:val="1B181DD9"/>
    <w:rsid w:val="1B2F477F"/>
    <w:rsid w:val="1B4604AB"/>
    <w:rsid w:val="1B68276D"/>
    <w:rsid w:val="1B6C3B7D"/>
    <w:rsid w:val="1B7F0ABE"/>
    <w:rsid w:val="1B834589"/>
    <w:rsid w:val="1B9C71DA"/>
    <w:rsid w:val="1BA75872"/>
    <w:rsid w:val="1BAB396E"/>
    <w:rsid w:val="1BB07C7C"/>
    <w:rsid w:val="1BBB692B"/>
    <w:rsid w:val="1BBF0E19"/>
    <w:rsid w:val="1BCD692F"/>
    <w:rsid w:val="1BE23EBD"/>
    <w:rsid w:val="1BFB1528"/>
    <w:rsid w:val="1BFE2888"/>
    <w:rsid w:val="1C2E6201"/>
    <w:rsid w:val="1C302928"/>
    <w:rsid w:val="1C52178E"/>
    <w:rsid w:val="1C68632B"/>
    <w:rsid w:val="1C9F1651"/>
    <w:rsid w:val="1CA6090C"/>
    <w:rsid w:val="1CEB46F7"/>
    <w:rsid w:val="1D23735C"/>
    <w:rsid w:val="1D54071F"/>
    <w:rsid w:val="1D6451C6"/>
    <w:rsid w:val="1D654C9F"/>
    <w:rsid w:val="1D69417C"/>
    <w:rsid w:val="1D807289"/>
    <w:rsid w:val="1D8E233B"/>
    <w:rsid w:val="1D92552F"/>
    <w:rsid w:val="1D975DF7"/>
    <w:rsid w:val="1D9B123D"/>
    <w:rsid w:val="1D9E12E8"/>
    <w:rsid w:val="1DCB4927"/>
    <w:rsid w:val="1DD6405C"/>
    <w:rsid w:val="1DDD3571"/>
    <w:rsid w:val="1E190463"/>
    <w:rsid w:val="1E24668A"/>
    <w:rsid w:val="1E2A27A6"/>
    <w:rsid w:val="1E4B2FD7"/>
    <w:rsid w:val="1E645EBF"/>
    <w:rsid w:val="1E6D28B4"/>
    <w:rsid w:val="1E7911C9"/>
    <w:rsid w:val="1E7B335B"/>
    <w:rsid w:val="1E8D194D"/>
    <w:rsid w:val="1EA50F33"/>
    <w:rsid w:val="1ED503FA"/>
    <w:rsid w:val="1EE724BA"/>
    <w:rsid w:val="1EFF6434"/>
    <w:rsid w:val="1F311F17"/>
    <w:rsid w:val="1F3A0011"/>
    <w:rsid w:val="1F3A5F92"/>
    <w:rsid w:val="1F5607E6"/>
    <w:rsid w:val="1F701095"/>
    <w:rsid w:val="1F923DE6"/>
    <w:rsid w:val="1FA42D75"/>
    <w:rsid w:val="1FA610B9"/>
    <w:rsid w:val="1FBE498B"/>
    <w:rsid w:val="1FD024AA"/>
    <w:rsid w:val="1FDC54C4"/>
    <w:rsid w:val="1FEE4C5C"/>
    <w:rsid w:val="1FF012A4"/>
    <w:rsid w:val="1FF23EC9"/>
    <w:rsid w:val="20040834"/>
    <w:rsid w:val="20190666"/>
    <w:rsid w:val="202C1885"/>
    <w:rsid w:val="203B574B"/>
    <w:rsid w:val="204A7C68"/>
    <w:rsid w:val="2053493C"/>
    <w:rsid w:val="205B6A7D"/>
    <w:rsid w:val="205E4038"/>
    <w:rsid w:val="2075093F"/>
    <w:rsid w:val="20786BA2"/>
    <w:rsid w:val="207F447D"/>
    <w:rsid w:val="20884263"/>
    <w:rsid w:val="209D6390"/>
    <w:rsid w:val="20A160B2"/>
    <w:rsid w:val="20D105CB"/>
    <w:rsid w:val="20D16460"/>
    <w:rsid w:val="20DD7F39"/>
    <w:rsid w:val="20E24774"/>
    <w:rsid w:val="20F25221"/>
    <w:rsid w:val="21145BE0"/>
    <w:rsid w:val="21440678"/>
    <w:rsid w:val="216365D8"/>
    <w:rsid w:val="2165140C"/>
    <w:rsid w:val="21691F88"/>
    <w:rsid w:val="2187182E"/>
    <w:rsid w:val="218A070F"/>
    <w:rsid w:val="21957939"/>
    <w:rsid w:val="21C1624C"/>
    <w:rsid w:val="21E26EA0"/>
    <w:rsid w:val="21E4665D"/>
    <w:rsid w:val="21F34D45"/>
    <w:rsid w:val="21F950CF"/>
    <w:rsid w:val="22045432"/>
    <w:rsid w:val="222A3C9E"/>
    <w:rsid w:val="22396FF8"/>
    <w:rsid w:val="22431035"/>
    <w:rsid w:val="225C0846"/>
    <w:rsid w:val="22B0252A"/>
    <w:rsid w:val="22D75BB2"/>
    <w:rsid w:val="22E819D8"/>
    <w:rsid w:val="22F57E73"/>
    <w:rsid w:val="22FF792B"/>
    <w:rsid w:val="231523F7"/>
    <w:rsid w:val="234B605E"/>
    <w:rsid w:val="235133E3"/>
    <w:rsid w:val="23560A29"/>
    <w:rsid w:val="235F59AB"/>
    <w:rsid w:val="238A4219"/>
    <w:rsid w:val="239051E5"/>
    <w:rsid w:val="23924A0F"/>
    <w:rsid w:val="23987B60"/>
    <w:rsid w:val="239D13E8"/>
    <w:rsid w:val="239F6D5D"/>
    <w:rsid w:val="239F7F68"/>
    <w:rsid w:val="23ED0F94"/>
    <w:rsid w:val="23FC3011"/>
    <w:rsid w:val="240D18BD"/>
    <w:rsid w:val="244D2E57"/>
    <w:rsid w:val="246E404E"/>
    <w:rsid w:val="247F538E"/>
    <w:rsid w:val="248114CC"/>
    <w:rsid w:val="24A3249E"/>
    <w:rsid w:val="24A62D02"/>
    <w:rsid w:val="24AF069B"/>
    <w:rsid w:val="24AF1929"/>
    <w:rsid w:val="24B63D40"/>
    <w:rsid w:val="24C674E1"/>
    <w:rsid w:val="24C8317D"/>
    <w:rsid w:val="24FA0B67"/>
    <w:rsid w:val="25082A0B"/>
    <w:rsid w:val="252A182D"/>
    <w:rsid w:val="25417958"/>
    <w:rsid w:val="254369E7"/>
    <w:rsid w:val="25494E1D"/>
    <w:rsid w:val="2566023B"/>
    <w:rsid w:val="257A74F9"/>
    <w:rsid w:val="25895A3D"/>
    <w:rsid w:val="258D735D"/>
    <w:rsid w:val="259A68BC"/>
    <w:rsid w:val="25D1716B"/>
    <w:rsid w:val="25DF6A97"/>
    <w:rsid w:val="25E6024A"/>
    <w:rsid w:val="25EA0F86"/>
    <w:rsid w:val="26212585"/>
    <w:rsid w:val="26282ED7"/>
    <w:rsid w:val="263B1449"/>
    <w:rsid w:val="265B6DE8"/>
    <w:rsid w:val="265F04C1"/>
    <w:rsid w:val="2660228B"/>
    <w:rsid w:val="267440C5"/>
    <w:rsid w:val="268C256C"/>
    <w:rsid w:val="269F48BD"/>
    <w:rsid w:val="26A7223A"/>
    <w:rsid w:val="26F23979"/>
    <w:rsid w:val="272A1178"/>
    <w:rsid w:val="272D26C8"/>
    <w:rsid w:val="274604BA"/>
    <w:rsid w:val="27530B85"/>
    <w:rsid w:val="27537ACC"/>
    <w:rsid w:val="276C2A3C"/>
    <w:rsid w:val="27743788"/>
    <w:rsid w:val="277B261F"/>
    <w:rsid w:val="27962ACA"/>
    <w:rsid w:val="279B5A93"/>
    <w:rsid w:val="27A35CC1"/>
    <w:rsid w:val="27E71C93"/>
    <w:rsid w:val="27E916BA"/>
    <w:rsid w:val="27F10483"/>
    <w:rsid w:val="27FD55EF"/>
    <w:rsid w:val="28022D32"/>
    <w:rsid w:val="28153567"/>
    <w:rsid w:val="28594A6E"/>
    <w:rsid w:val="286B5520"/>
    <w:rsid w:val="287D3F8A"/>
    <w:rsid w:val="28870747"/>
    <w:rsid w:val="288E5631"/>
    <w:rsid w:val="28C32DF1"/>
    <w:rsid w:val="28C534E8"/>
    <w:rsid w:val="28D02103"/>
    <w:rsid w:val="29095837"/>
    <w:rsid w:val="293734A8"/>
    <w:rsid w:val="294E0AA4"/>
    <w:rsid w:val="296735A6"/>
    <w:rsid w:val="296D7E15"/>
    <w:rsid w:val="299171CC"/>
    <w:rsid w:val="29962D19"/>
    <w:rsid w:val="29AD3BB2"/>
    <w:rsid w:val="29B4309C"/>
    <w:rsid w:val="29C30BAC"/>
    <w:rsid w:val="29CD7458"/>
    <w:rsid w:val="29D9048F"/>
    <w:rsid w:val="29EF70CC"/>
    <w:rsid w:val="2A0A0002"/>
    <w:rsid w:val="2A1C62F4"/>
    <w:rsid w:val="2A3D1958"/>
    <w:rsid w:val="2A5F0A9A"/>
    <w:rsid w:val="2A802A87"/>
    <w:rsid w:val="2A931BB9"/>
    <w:rsid w:val="2A9D346A"/>
    <w:rsid w:val="2AB51A38"/>
    <w:rsid w:val="2AB903D8"/>
    <w:rsid w:val="2ACD6CCC"/>
    <w:rsid w:val="2ADF720A"/>
    <w:rsid w:val="2AEE4512"/>
    <w:rsid w:val="2AFC30F1"/>
    <w:rsid w:val="2B341240"/>
    <w:rsid w:val="2B34584A"/>
    <w:rsid w:val="2B3D6ED6"/>
    <w:rsid w:val="2B64015F"/>
    <w:rsid w:val="2B644948"/>
    <w:rsid w:val="2B7C6921"/>
    <w:rsid w:val="2B9C4F86"/>
    <w:rsid w:val="2BFE1EDB"/>
    <w:rsid w:val="2C044AFC"/>
    <w:rsid w:val="2C127758"/>
    <w:rsid w:val="2C1A4265"/>
    <w:rsid w:val="2C1F32E8"/>
    <w:rsid w:val="2C2326B1"/>
    <w:rsid w:val="2C26626A"/>
    <w:rsid w:val="2C275841"/>
    <w:rsid w:val="2C3E2651"/>
    <w:rsid w:val="2C4630F8"/>
    <w:rsid w:val="2C636708"/>
    <w:rsid w:val="2C68059F"/>
    <w:rsid w:val="2C6917E7"/>
    <w:rsid w:val="2C756800"/>
    <w:rsid w:val="2CA3554E"/>
    <w:rsid w:val="2CBC0FFA"/>
    <w:rsid w:val="2CC23437"/>
    <w:rsid w:val="2CC27AB8"/>
    <w:rsid w:val="2CC379B0"/>
    <w:rsid w:val="2CEF3C54"/>
    <w:rsid w:val="2CF23870"/>
    <w:rsid w:val="2D006219"/>
    <w:rsid w:val="2D05566F"/>
    <w:rsid w:val="2D11170D"/>
    <w:rsid w:val="2D13298D"/>
    <w:rsid w:val="2D221D5D"/>
    <w:rsid w:val="2D2A0414"/>
    <w:rsid w:val="2D383726"/>
    <w:rsid w:val="2D386439"/>
    <w:rsid w:val="2D7B766B"/>
    <w:rsid w:val="2D9379FB"/>
    <w:rsid w:val="2D9E7CAE"/>
    <w:rsid w:val="2DBA7FBA"/>
    <w:rsid w:val="2DBE1024"/>
    <w:rsid w:val="2DC6390A"/>
    <w:rsid w:val="2DE16ECB"/>
    <w:rsid w:val="2DE2223D"/>
    <w:rsid w:val="2DE40DD4"/>
    <w:rsid w:val="2E0F2EDB"/>
    <w:rsid w:val="2E145E1D"/>
    <w:rsid w:val="2E18318C"/>
    <w:rsid w:val="2E223E47"/>
    <w:rsid w:val="2E270A97"/>
    <w:rsid w:val="2E3F4045"/>
    <w:rsid w:val="2E406C0B"/>
    <w:rsid w:val="2E4430FB"/>
    <w:rsid w:val="2E4A213E"/>
    <w:rsid w:val="2E6A7B7E"/>
    <w:rsid w:val="2E852BFA"/>
    <w:rsid w:val="2EB72D84"/>
    <w:rsid w:val="2EE011A4"/>
    <w:rsid w:val="2EE359E2"/>
    <w:rsid w:val="2EEC1574"/>
    <w:rsid w:val="2F1B43C7"/>
    <w:rsid w:val="2F5604CA"/>
    <w:rsid w:val="2F592F8F"/>
    <w:rsid w:val="2F5942DE"/>
    <w:rsid w:val="2FA36E63"/>
    <w:rsid w:val="2FC33170"/>
    <w:rsid w:val="2FD2281B"/>
    <w:rsid w:val="2FD352CF"/>
    <w:rsid w:val="2FD66838"/>
    <w:rsid w:val="2FDB72F7"/>
    <w:rsid w:val="300E7DD2"/>
    <w:rsid w:val="301C704F"/>
    <w:rsid w:val="3038011D"/>
    <w:rsid w:val="303C0D37"/>
    <w:rsid w:val="303C3120"/>
    <w:rsid w:val="30647F44"/>
    <w:rsid w:val="30705633"/>
    <w:rsid w:val="30814B77"/>
    <w:rsid w:val="308645E8"/>
    <w:rsid w:val="30A474FE"/>
    <w:rsid w:val="30AE0AAC"/>
    <w:rsid w:val="30AF3ABD"/>
    <w:rsid w:val="30B36B23"/>
    <w:rsid w:val="30CC5260"/>
    <w:rsid w:val="30CD10F6"/>
    <w:rsid w:val="30D14AFA"/>
    <w:rsid w:val="30E14993"/>
    <w:rsid w:val="30E206FC"/>
    <w:rsid w:val="30EF21BA"/>
    <w:rsid w:val="30EF472A"/>
    <w:rsid w:val="30FA5F5C"/>
    <w:rsid w:val="30FB65D1"/>
    <w:rsid w:val="30FC5A3F"/>
    <w:rsid w:val="31052214"/>
    <w:rsid w:val="3136571E"/>
    <w:rsid w:val="31644472"/>
    <w:rsid w:val="31645690"/>
    <w:rsid w:val="316D5BBF"/>
    <w:rsid w:val="3170139F"/>
    <w:rsid w:val="317213BC"/>
    <w:rsid w:val="317D02F3"/>
    <w:rsid w:val="319567AC"/>
    <w:rsid w:val="31AC3F23"/>
    <w:rsid w:val="31D94323"/>
    <w:rsid w:val="31F43EF2"/>
    <w:rsid w:val="320F656E"/>
    <w:rsid w:val="321012BD"/>
    <w:rsid w:val="3229313A"/>
    <w:rsid w:val="322A09EC"/>
    <w:rsid w:val="322E6D47"/>
    <w:rsid w:val="32343227"/>
    <w:rsid w:val="324748F5"/>
    <w:rsid w:val="327945B0"/>
    <w:rsid w:val="32AD5AEA"/>
    <w:rsid w:val="32C3640C"/>
    <w:rsid w:val="32C47E69"/>
    <w:rsid w:val="32DF4B9C"/>
    <w:rsid w:val="32EE5E66"/>
    <w:rsid w:val="32F707FF"/>
    <w:rsid w:val="32FE7982"/>
    <w:rsid w:val="330D52B8"/>
    <w:rsid w:val="331E1C54"/>
    <w:rsid w:val="335A2666"/>
    <w:rsid w:val="33666803"/>
    <w:rsid w:val="33871402"/>
    <w:rsid w:val="338A0060"/>
    <w:rsid w:val="338C018A"/>
    <w:rsid w:val="338C598B"/>
    <w:rsid w:val="33901C94"/>
    <w:rsid w:val="33A045C6"/>
    <w:rsid w:val="33A655BD"/>
    <w:rsid w:val="33AF50D7"/>
    <w:rsid w:val="33C2279E"/>
    <w:rsid w:val="33E6404A"/>
    <w:rsid w:val="34052E84"/>
    <w:rsid w:val="34195765"/>
    <w:rsid w:val="3435099A"/>
    <w:rsid w:val="343B5578"/>
    <w:rsid w:val="34510B5E"/>
    <w:rsid w:val="3465056A"/>
    <w:rsid w:val="346866A1"/>
    <w:rsid w:val="34700522"/>
    <w:rsid w:val="348167F0"/>
    <w:rsid w:val="34921598"/>
    <w:rsid w:val="349A1C0D"/>
    <w:rsid w:val="34A75868"/>
    <w:rsid w:val="34A83FD4"/>
    <w:rsid w:val="34C804C4"/>
    <w:rsid w:val="34E261D0"/>
    <w:rsid w:val="34E3740B"/>
    <w:rsid w:val="350D2053"/>
    <w:rsid w:val="350D51A0"/>
    <w:rsid w:val="35286BF7"/>
    <w:rsid w:val="35522321"/>
    <w:rsid w:val="355D53D4"/>
    <w:rsid w:val="35753453"/>
    <w:rsid w:val="3599429E"/>
    <w:rsid w:val="35A73257"/>
    <w:rsid w:val="35B12F84"/>
    <w:rsid w:val="35B57875"/>
    <w:rsid w:val="36033A12"/>
    <w:rsid w:val="362F0086"/>
    <w:rsid w:val="363D403E"/>
    <w:rsid w:val="366D3CBC"/>
    <w:rsid w:val="36750E50"/>
    <w:rsid w:val="36776EAA"/>
    <w:rsid w:val="367C01BA"/>
    <w:rsid w:val="36B77EB7"/>
    <w:rsid w:val="36DE7BD3"/>
    <w:rsid w:val="37592FE4"/>
    <w:rsid w:val="375E20CF"/>
    <w:rsid w:val="377336AC"/>
    <w:rsid w:val="377F502A"/>
    <w:rsid w:val="37804449"/>
    <w:rsid w:val="378A028C"/>
    <w:rsid w:val="37BC42C1"/>
    <w:rsid w:val="37C51AE9"/>
    <w:rsid w:val="37CA1388"/>
    <w:rsid w:val="37CC6ED3"/>
    <w:rsid w:val="37F94643"/>
    <w:rsid w:val="37FB24F6"/>
    <w:rsid w:val="3806724C"/>
    <w:rsid w:val="38292EF5"/>
    <w:rsid w:val="38305180"/>
    <w:rsid w:val="383B2625"/>
    <w:rsid w:val="3850158A"/>
    <w:rsid w:val="385C1B7F"/>
    <w:rsid w:val="38610D05"/>
    <w:rsid w:val="388F49F5"/>
    <w:rsid w:val="38A751FA"/>
    <w:rsid w:val="38AB3C78"/>
    <w:rsid w:val="38BD6057"/>
    <w:rsid w:val="38FA192C"/>
    <w:rsid w:val="38FB4BD9"/>
    <w:rsid w:val="39076C11"/>
    <w:rsid w:val="391F2580"/>
    <w:rsid w:val="39221703"/>
    <w:rsid w:val="39283EEC"/>
    <w:rsid w:val="392D67AC"/>
    <w:rsid w:val="3930488C"/>
    <w:rsid w:val="39401394"/>
    <w:rsid w:val="3968060E"/>
    <w:rsid w:val="398473E8"/>
    <w:rsid w:val="39A644DA"/>
    <w:rsid w:val="39C531C8"/>
    <w:rsid w:val="39E23259"/>
    <w:rsid w:val="39EA289E"/>
    <w:rsid w:val="3A0B2C87"/>
    <w:rsid w:val="3A0E4E62"/>
    <w:rsid w:val="3A0F0F43"/>
    <w:rsid w:val="3A2140D2"/>
    <w:rsid w:val="3A380799"/>
    <w:rsid w:val="3A476B5E"/>
    <w:rsid w:val="3A4B0E8F"/>
    <w:rsid w:val="3A555FAD"/>
    <w:rsid w:val="3A711825"/>
    <w:rsid w:val="3A7B1CBC"/>
    <w:rsid w:val="3A931991"/>
    <w:rsid w:val="3AA82CF8"/>
    <w:rsid w:val="3AAC5B36"/>
    <w:rsid w:val="3AD06974"/>
    <w:rsid w:val="3ADA42A0"/>
    <w:rsid w:val="3AED2DDA"/>
    <w:rsid w:val="3AF1226A"/>
    <w:rsid w:val="3AF21E9B"/>
    <w:rsid w:val="3B0A7A50"/>
    <w:rsid w:val="3B105BA8"/>
    <w:rsid w:val="3B2414E4"/>
    <w:rsid w:val="3B277374"/>
    <w:rsid w:val="3B344321"/>
    <w:rsid w:val="3B3500CB"/>
    <w:rsid w:val="3B4F35F9"/>
    <w:rsid w:val="3B50783E"/>
    <w:rsid w:val="3B6A281B"/>
    <w:rsid w:val="3B896874"/>
    <w:rsid w:val="3B9D4373"/>
    <w:rsid w:val="3BA92EC6"/>
    <w:rsid w:val="3BB663C6"/>
    <w:rsid w:val="3BB94D10"/>
    <w:rsid w:val="3BDE416C"/>
    <w:rsid w:val="3BE70BEC"/>
    <w:rsid w:val="3C0435A9"/>
    <w:rsid w:val="3C3158BF"/>
    <w:rsid w:val="3C512C6A"/>
    <w:rsid w:val="3C5E6096"/>
    <w:rsid w:val="3C6B63F3"/>
    <w:rsid w:val="3C6D0AA3"/>
    <w:rsid w:val="3C7D446D"/>
    <w:rsid w:val="3C8449D4"/>
    <w:rsid w:val="3C8805E4"/>
    <w:rsid w:val="3C903856"/>
    <w:rsid w:val="3CB05E10"/>
    <w:rsid w:val="3CBF3D07"/>
    <w:rsid w:val="3CE90D4D"/>
    <w:rsid w:val="3CEC5BD9"/>
    <w:rsid w:val="3D0824E7"/>
    <w:rsid w:val="3D0A2A8A"/>
    <w:rsid w:val="3D0D553D"/>
    <w:rsid w:val="3D12272E"/>
    <w:rsid w:val="3D321FA1"/>
    <w:rsid w:val="3D4A6E2B"/>
    <w:rsid w:val="3D5C306C"/>
    <w:rsid w:val="3D6A3EE4"/>
    <w:rsid w:val="3D6E15B5"/>
    <w:rsid w:val="3D8762BD"/>
    <w:rsid w:val="3D941FD0"/>
    <w:rsid w:val="3DA75BB4"/>
    <w:rsid w:val="3DB73788"/>
    <w:rsid w:val="3DBE7888"/>
    <w:rsid w:val="3DBF012C"/>
    <w:rsid w:val="3DC72FAC"/>
    <w:rsid w:val="3DD4640D"/>
    <w:rsid w:val="3DF15BE8"/>
    <w:rsid w:val="3E00648E"/>
    <w:rsid w:val="3E097ED6"/>
    <w:rsid w:val="3E0F619F"/>
    <w:rsid w:val="3E2C07D2"/>
    <w:rsid w:val="3E4B1EC4"/>
    <w:rsid w:val="3E4C5C7B"/>
    <w:rsid w:val="3E4F06BE"/>
    <w:rsid w:val="3E60232E"/>
    <w:rsid w:val="3E6966CC"/>
    <w:rsid w:val="3E6F6349"/>
    <w:rsid w:val="3E7001DF"/>
    <w:rsid w:val="3E815E9D"/>
    <w:rsid w:val="3E8F04CD"/>
    <w:rsid w:val="3EA37326"/>
    <w:rsid w:val="3EA4334C"/>
    <w:rsid w:val="3EC21710"/>
    <w:rsid w:val="3ED07B39"/>
    <w:rsid w:val="3EEE4BA8"/>
    <w:rsid w:val="3F227ECC"/>
    <w:rsid w:val="3F2A1510"/>
    <w:rsid w:val="3F323523"/>
    <w:rsid w:val="3F59407A"/>
    <w:rsid w:val="3F963935"/>
    <w:rsid w:val="3FBD7ADB"/>
    <w:rsid w:val="3FCC1F36"/>
    <w:rsid w:val="3FED10C4"/>
    <w:rsid w:val="3FFD69BE"/>
    <w:rsid w:val="40115E5D"/>
    <w:rsid w:val="40142B28"/>
    <w:rsid w:val="401C3BB3"/>
    <w:rsid w:val="402551CC"/>
    <w:rsid w:val="404C0EDB"/>
    <w:rsid w:val="405A7340"/>
    <w:rsid w:val="406563D6"/>
    <w:rsid w:val="406B7B27"/>
    <w:rsid w:val="40A1164F"/>
    <w:rsid w:val="40AD7C5B"/>
    <w:rsid w:val="40CD5F0B"/>
    <w:rsid w:val="40DD4729"/>
    <w:rsid w:val="40E06975"/>
    <w:rsid w:val="40EB7E0B"/>
    <w:rsid w:val="40F1349D"/>
    <w:rsid w:val="411E2BE4"/>
    <w:rsid w:val="413A144A"/>
    <w:rsid w:val="41694287"/>
    <w:rsid w:val="416948A9"/>
    <w:rsid w:val="416B194D"/>
    <w:rsid w:val="417E1241"/>
    <w:rsid w:val="41BE3E52"/>
    <w:rsid w:val="41C36A02"/>
    <w:rsid w:val="41D8445C"/>
    <w:rsid w:val="41F85D27"/>
    <w:rsid w:val="420E2A1A"/>
    <w:rsid w:val="4237497C"/>
    <w:rsid w:val="424D68DB"/>
    <w:rsid w:val="42565FD0"/>
    <w:rsid w:val="42596CCD"/>
    <w:rsid w:val="425E5FDE"/>
    <w:rsid w:val="42686E79"/>
    <w:rsid w:val="427F350F"/>
    <w:rsid w:val="42914340"/>
    <w:rsid w:val="42A844B1"/>
    <w:rsid w:val="42AF1A12"/>
    <w:rsid w:val="42B008AC"/>
    <w:rsid w:val="42CE23F5"/>
    <w:rsid w:val="42D63463"/>
    <w:rsid w:val="43127FA0"/>
    <w:rsid w:val="431D66E9"/>
    <w:rsid w:val="4357457D"/>
    <w:rsid w:val="43587C29"/>
    <w:rsid w:val="435C6176"/>
    <w:rsid w:val="43616901"/>
    <w:rsid w:val="43667A8A"/>
    <w:rsid w:val="436A6992"/>
    <w:rsid w:val="436D4ECF"/>
    <w:rsid w:val="43791B5A"/>
    <w:rsid w:val="437A73AE"/>
    <w:rsid w:val="43806B74"/>
    <w:rsid w:val="43922D90"/>
    <w:rsid w:val="439E00F9"/>
    <w:rsid w:val="43B24CCF"/>
    <w:rsid w:val="43B43752"/>
    <w:rsid w:val="43D14618"/>
    <w:rsid w:val="43E63027"/>
    <w:rsid w:val="43F669C3"/>
    <w:rsid w:val="44205D19"/>
    <w:rsid w:val="442C10DA"/>
    <w:rsid w:val="44314B0E"/>
    <w:rsid w:val="44530CF2"/>
    <w:rsid w:val="445676AA"/>
    <w:rsid w:val="445706DF"/>
    <w:rsid w:val="446B48FC"/>
    <w:rsid w:val="44785AEE"/>
    <w:rsid w:val="44843CC9"/>
    <w:rsid w:val="44880967"/>
    <w:rsid w:val="44B554E4"/>
    <w:rsid w:val="44B673AA"/>
    <w:rsid w:val="44B91803"/>
    <w:rsid w:val="44D26E80"/>
    <w:rsid w:val="44DB773A"/>
    <w:rsid w:val="44F14784"/>
    <w:rsid w:val="450039C1"/>
    <w:rsid w:val="451A32B1"/>
    <w:rsid w:val="451E341B"/>
    <w:rsid w:val="452D6C34"/>
    <w:rsid w:val="454D00BA"/>
    <w:rsid w:val="456951DA"/>
    <w:rsid w:val="45973AD6"/>
    <w:rsid w:val="45A52B1C"/>
    <w:rsid w:val="45AC4CF4"/>
    <w:rsid w:val="45AD524F"/>
    <w:rsid w:val="45AE36B8"/>
    <w:rsid w:val="45CF7FBC"/>
    <w:rsid w:val="45F35C5E"/>
    <w:rsid w:val="46400CA9"/>
    <w:rsid w:val="46406C53"/>
    <w:rsid w:val="465A4FCD"/>
    <w:rsid w:val="465B230D"/>
    <w:rsid w:val="4662285A"/>
    <w:rsid w:val="467208A3"/>
    <w:rsid w:val="46810023"/>
    <w:rsid w:val="468354F8"/>
    <w:rsid w:val="46836109"/>
    <w:rsid w:val="468B0189"/>
    <w:rsid w:val="46995FD1"/>
    <w:rsid w:val="46A07846"/>
    <w:rsid w:val="46B06667"/>
    <w:rsid w:val="46C35907"/>
    <w:rsid w:val="47032B85"/>
    <w:rsid w:val="47111705"/>
    <w:rsid w:val="4719625B"/>
    <w:rsid w:val="472C0755"/>
    <w:rsid w:val="4745188E"/>
    <w:rsid w:val="476D2EF2"/>
    <w:rsid w:val="476E7A2B"/>
    <w:rsid w:val="477A07F4"/>
    <w:rsid w:val="47B54AA8"/>
    <w:rsid w:val="47BD13B2"/>
    <w:rsid w:val="47BF5406"/>
    <w:rsid w:val="47C073E7"/>
    <w:rsid w:val="47C621A4"/>
    <w:rsid w:val="47DE197A"/>
    <w:rsid w:val="47F04F1C"/>
    <w:rsid w:val="47F261EE"/>
    <w:rsid w:val="4801327C"/>
    <w:rsid w:val="48713429"/>
    <w:rsid w:val="487B3B0A"/>
    <w:rsid w:val="487F761D"/>
    <w:rsid w:val="4891605D"/>
    <w:rsid w:val="48D173C6"/>
    <w:rsid w:val="48E02F78"/>
    <w:rsid w:val="48E76F84"/>
    <w:rsid w:val="48F00546"/>
    <w:rsid w:val="4906501C"/>
    <w:rsid w:val="49090450"/>
    <w:rsid w:val="49132398"/>
    <w:rsid w:val="491B5B23"/>
    <w:rsid w:val="493B491E"/>
    <w:rsid w:val="494305AE"/>
    <w:rsid w:val="49550F29"/>
    <w:rsid w:val="498E5DDA"/>
    <w:rsid w:val="499A319C"/>
    <w:rsid w:val="49A75100"/>
    <w:rsid w:val="49B6483C"/>
    <w:rsid w:val="49B66680"/>
    <w:rsid w:val="49C75CA3"/>
    <w:rsid w:val="49D145CB"/>
    <w:rsid w:val="49E56673"/>
    <w:rsid w:val="4A0F6E1A"/>
    <w:rsid w:val="4A125A83"/>
    <w:rsid w:val="4A171DB0"/>
    <w:rsid w:val="4A2057D8"/>
    <w:rsid w:val="4A284B3F"/>
    <w:rsid w:val="4A5A35C4"/>
    <w:rsid w:val="4A6F2547"/>
    <w:rsid w:val="4A861680"/>
    <w:rsid w:val="4A8764D3"/>
    <w:rsid w:val="4A980B3E"/>
    <w:rsid w:val="4AA14A65"/>
    <w:rsid w:val="4AC77F8B"/>
    <w:rsid w:val="4AD74EF4"/>
    <w:rsid w:val="4AED5C11"/>
    <w:rsid w:val="4AFF253A"/>
    <w:rsid w:val="4B096721"/>
    <w:rsid w:val="4B151DD8"/>
    <w:rsid w:val="4B1932E6"/>
    <w:rsid w:val="4B2F5A69"/>
    <w:rsid w:val="4B600DBB"/>
    <w:rsid w:val="4B740186"/>
    <w:rsid w:val="4B7467CA"/>
    <w:rsid w:val="4B7A2CD7"/>
    <w:rsid w:val="4B8464B3"/>
    <w:rsid w:val="4B96469A"/>
    <w:rsid w:val="4BB96A99"/>
    <w:rsid w:val="4BD47B3A"/>
    <w:rsid w:val="4BE60345"/>
    <w:rsid w:val="4BF61A49"/>
    <w:rsid w:val="4BFD254C"/>
    <w:rsid w:val="4BFD2BB9"/>
    <w:rsid w:val="4C007D9B"/>
    <w:rsid w:val="4C046786"/>
    <w:rsid w:val="4C097E52"/>
    <w:rsid w:val="4C251632"/>
    <w:rsid w:val="4C266DAF"/>
    <w:rsid w:val="4C3B2F36"/>
    <w:rsid w:val="4C3C7997"/>
    <w:rsid w:val="4C423D11"/>
    <w:rsid w:val="4C4277B1"/>
    <w:rsid w:val="4C4A7111"/>
    <w:rsid w:val="4C9A635E"/>
    <w:rsid w:val="4CA860AF"/>
    <w:rsid w:val="4CB66E36"/>
    <w:rsid w:val="4CD04687"/>
    <w:rsid w:val="4D09681B"/>
    <w:rsid w:val="4D1A6222"/>
    <w:rsid w:val="4D2B1C5F"/>
    <w:rsid w:val="4D2E64BA"/>
    <w:rsid w:val="4D30066A"/>
    <w:rsid w:val="4D316971"/>
    <w:rsid w:val="4D423028"/>
    <w:rsid w:val="4D581632"/>
    <w:rsid w:val="4D692C32"/>
    <w:rsid w:val="4D6E3CCE"/>
    <w:rsid w:val="4D7901E4"/>
    <w:rsid w:val="4D805757"/>
    <w:rsid w:val="4DCB0227"/>
    <w:rsid w:val="4DCF155E"/>
    <w:rsid w:val="4DD11AEE"/>
    <w:rsid w:val="4DE22B61"/>
    <w:rsid w:val="4E071018"/>
    <w:rsid w:val="4E1E35A8"/>
    <w:rsid w:val="4E4A36DE"/>
    <w:rsid w:val="4E4B1237"/>
    <w:rsid w:val="4E685D9D"/>
    <w:rsid w:val="4E757C8C"/>
    <w:rsid w:val="4E7C3CDE"/>
    <w:rsid w:val="4E997F39"/>
    <w:rsid w:val="4EA45038"/>
    <w:rsid w:val="4EA535EA"/>
    <w:rsid w:val="4EAA452F"/>
    <w:rsid w:val="4EAB7555"/>
    <w:rsid w:val="4EB16F4D"/>
    <w:rsid w:val="4ED37A9C"/>
    <w:rsid w:val="4EDE0A69"/>
    <w:rsid w:val="4EF438A7"/>
    <w:rsid w:val="4EF74679"/>
    <w:rsid w:val="4F053AD4"/>
    <w:rsid w:val="4F10480D"/>
    <w:rsid w:val="4F4F7C97"/>
    <w:rsid w:val="4F586DFE"/>
    <w:rsid w:val="4F7F3425"/>
    <w:rsid w:val="4F890EBD"/>
    <w:rsid w:val="4F951D60"/>
    <w:rsid w:val="4FAB27E4"/>
    <w:rsid w:val="4FAD4336"/>
    <w:rsid w:val="4FEA66FB"/>
    <w:rsid w:val="4FFD6530"/>
    <w:rsid w:val="50000326"/>
    <w:rsid w:val="5012456C"/>
    <w:rsid w:val="501B0160"/>
    <w:rsid w:val="5028413A"/>
    <w:rsid w:val="502E0E02"/>
    <w:rsid w:val="5034185C"/>
    <w:rsid w:val="50662285"/>
    <w:rsid w:val="50935D58"/>
    <w:rsid w:val="509473B7"/>
    <w:rsid w:val="50C33F53"/>
    <w:rsid w:val="50C85002"/>
    <w:rsid w:val="50D3250E"/>
    <w:rsid w:val="50D33AD4"/>
    <w:rsid w:val="50D54B4D"/>
    <w:rsid w:val="50D565E3"/>
    <w:rsid w:val="51251091"/>
    <w:rsid w:val="512B4D4B"/>
    <w:rsid w:val="51351C9B"/>
    <w:rsid w:val="513D3709"/>
    <w:rsid w:val="515323AC"/>
    <w:rsid w:val="515911D2"/>
    <w:rsid w:val="5159308A"/>
    <w:rsid w:val="51636223"/>
    <w:rsid w:val="51665649"/>
    <w:rsid w:val="517462FF"/>
    <w:rsid w:val="51996C1B"/>
    <w:rsid w:val="51A56DF6"/>
    <w:rsid w:val="51AA59AF"/>
    <w:rsid w:val="51AB46BA"/>
    <w:rsid w:val="51C04F90"/>
    <w:rsid w:val="51D254DA"/>
    <w:rsid w:val="51D67559"/>
    <w:rsid w:val="51DF2711"/>
    <w:rsid w:val="51EB7348"/>
    <w:rsid w:val="51F20232"/>
    <w:rsid w:val="52014309"/>
    <w:rsid w:val="520C36C1"/>
    <w:rsid w:val="520E771E"/>
    <w:rsid w:val="52171AFB"/>
    <w:rsid w:val="522D4979"/>
    <w:rsid w:val="523456B6"/>
    <w:rsid w:val="5235465D"/>
    <w:rsid w:val="52367473"/>
    <w:rsid w:val="523A023A"/>
    <w:rsid w:val="523E15D7"/>
    <w:rsid w:val="5244258E"/>
    <w:rsid w:val="5249313E"/>
    <w:rsid w:val="52527419"/>
    <w:rsid w:val="525A4669"/>
    <w:rsid w:val="525B22C4"/>
    <w:rsid w:val="526018C0"/>
    <w:rsid w:val="52781BE7"/>
    <w:rsid w:val="52841F28"/>
    <w:rsid w:val="52AD06F5"/>
    <w:rsid w:val="52BE0F28"/>
    <w:rsid w:val="52D32108"/>
    <w:rsid w:val="52D6356D"/>
    <w:rsid w:val="52F77D67"/>
    <w:rsid w:val="52F836E3"/>
    <w:rsid w:val="532F7394"/>
    <w:rsid w:val="53385FAE"/>
    <w:rsid w:val="534E489F"/>
    <w:rsid w:val="535904C5"/>
    <w:rsid w:val="536E730E"/>
    <w:rsid w:val="537C2BD7"/>
    <w:rsid w:val="538F760C"/>
    <w:rsid w:val="53971E29"/>
    <w:rsid w:val="539D713D"/>
    <w:rsid w:val="53A35F99"/>
    <w:rsid w:val="53C42274"/>
    <w:rsid w:val="53E6334F"/>
    <w:rsid w:val="53FB17FA"/>
    <w:rsid w:val="541862F0"/>
    <w:rsid w:val="546A6559"/>
    <w:rsid w:val="546F0B91"/>
    <w:rsid w:val="54B70A61"/>
    <w:rsid w:val="54B779B5"/>
    <w:rsid w:val="54CE4962"/>
    <w:rsid w:val="54D25371"/>
    <w:rsid w:val="54EA3421"/>
    <w:rsid w:val="54EC1FC6"/>
    <w:rsid w:val="54EC416F"/>
    <w:rsid w:val="550939D7"/>
    <w:rsid w:val="552C68B9"/>
    <w:rsid w:val="55335647"/>
    <w:rsid w:val="5538682D"/>
    <w:rsid w:val="55476094"/>
    <w:rsid w:val="554A06ED"/>
    <w:rsid w:val="5552550A"/>
    <w:rsid w:val="5552614F"/>
    <w:rsid w:val="55530973"/>
    <w:rsid w:val="55560E04"/>
    <w:rsid w:val="55666B45"/>
    <w:rsid w:val="55722092"/>
    <w:rsid w:val="5583167D"/>
    <w:rsid w:val="55856347"/>
    <w:rsid w:val="55995FB7"/>
    <w:rsid w:val="55A156DD"/>
    <w:rsid w:val="55B13035"/>
    <w:rsid w:val="55BD15CA"/>
    <w:rsid w:val="55C10548"/>
    <w:rsid w:val="55C244BC"/>
    <w:rsid w:val="55C708F6"/>
    <w:rsid w:val="55E14A9E"/>
    <w:rsid w:val="55E37FE2"/>
    <w:rsid w:val="56015FD4"/>
    <w:rsid w:val="56176CD0"/>
    <w:rsid w:val="56195188"/>
    <w:rsid w:val="561A57E6"/>
    <w:rsid w:val="561C5613"/>
    <w:rsid w:val="562E4782"/>
    <w:rsid w:val="56327C9C"/>
    <w:rsid w:val="5639508E"/>
    <w:rsid w:val="56446C4A"/>
    <w:rsid w:val="56534D2A"/>
    <w:rsid w:val="5659691E"/>
    <w:rsid w:val="56635FA9"/>
    <w:rsid w:val="566B08CE"/>
    <w:rsid w:val="56737273"/>
    <w:rsid w:val="56773C48"/>
    <w:rsid w:val="56BB5794"/>
    <w:rsid w:val="56C16A07"/>
    <w:rsid w:val="56C5480C"/>
    <w:rsid w:val="56C56026"/>
    <w:rsid w:val="56C721C1"/>
    <w:rsid w:val="56C75E65"/>
    <w:rsid w:val="56C93F15"/>
    <w:rsid w:val="56ED49AC"/>
    <w:rsid w:val="56F85BA6"/>
    <w:rsid w:val="57037964"/>
    <w:rsid w:val="570D1D86"/>
    <w:rsid w:val="570E1422"/>
    <w:rsid w:val="573F549A"/>
    <w:rsid w:val="57553D3F"/>
    <w:rsid w:val="57703672"/>
    <w:rsid w:val="5773534B"/>
    <w:rsid w:val="57780B7F"/>
    <w:rsid w:val="57856672"/>
    <w:rsid w:val="578C265D"/>
    <w:rsid w:val="579D25BA"/>
    <w:rsid w:val="57B9331D"/>
    <w:rsid w:val="57B975D7"/>
    <w:rsid w:val="57BB6757"/>
    <w:rsid w:val="57C82DD9"/>
    <w:rsid w:val="57E73B91"/>
    <w:rsid w:val="57F3287F"/>
    <w:rsid w:val="57F45188"/>
    <w:rsid w:val="57F81A83"/>
    <w:rsid w:val="57FA61B1"/>
    <w:rsid w:val="58032997"/>
    <w:rsid w:val="581D6018"/>
    <w:rsid w:val="583F1055"/>
    <w:rsid w:val="58441188"/>
    <w:rsid w:val="58477459"/>
    <w:rsid w:val="58494A10"/>
    <w:rsid w:val="584B2FF5"/>
    <w:rsid w:val="5852710F"/>
    <w:rsid w:val="585A018E"/>
    <w:rsid w:val="585B0937"/>
    <w:rsid w:val="585E0241"/>
    <w:rsid w:val="58744829"/>
    <w:rsid w:val="587673AC"/>
    <w:rsid w:val="588562E3"/>
    <w:rsid w:val="588A4D2D"/>
    <w:rsid w:val="588C6C7B"/>
    <w:rsid w:val="5898522B"/>
    <w:rsid w:val="58A045EF"/>
    <w:rsid w:val="58AE0C9D"/>
    <w:rsid w:val="58BD3A38"/>
    <w:rsid w:val="58DC744B"/>
    <w:rsid w:val="58E00FC5"/>
    <w:rsid w:val="58F609E4"/>
    <w:rsid w:val="58FB67BC"/>
    <w:rsid w:val="592D65D1"/>
    <w:rsid w:val="5930657D"/>
    <w:rsid w:val="59327DEB"/>
    <w:rsid w:val="59392E42"/>
    <w:rsid w:val="593B5B55"/>
    <w:rsid w:val="593D19BE"/>
    <w:rsid w:val="59776D39"/>
    <w:rsid w:val="597D137C"/>
    <w:rsid w:val="599D01FE"/>
    <w:rsid w:val="59AF4353"/>
    <w:rsid w:val="59CB134C"/>
    <w:rsid w:val="59D13042"/>
    <w:rsid w:val="59D4614B"/>
    <w:rsid w:val="59EA652F"/>
    <w:rsid w:val="5A3F6176"/>
    <w:rsid w:val="5A5419CE"/>
    <w:rsid w:val="5A587AE0"/>
    <w:rsid w:val="5A5A38F1"/>
    <w:rsid w:val="5A617BFA"/>
    <w:rsid w:val="5A7629B7"/>
    <w:rsid w:val="5A83298E"/>
    <w:rsid w:val="5A84337E"/>
    <w:rsid w:val="5A891BB6"/>
    <w:rsid w:val="5A8D03AD"/>
    <w:rsid w:val="5AA34E07"/>
    <w:rsid w:val="5AD937F3"/>
    <w:rsid w:val="5ADB5FCA"/>
    <w:rsid w:val="5AE30663"/>
    <w:rsid w:val="5AE36AFC"/>
    <w:rsid w:val="5AE47198"/>
    <w:rsid w:val="5AEF3CA7"/>
    <w:rsid w:val="5AFB0199"/>
    <w:rsid w:val="5B0001EA"/>
    <w:rsid w:val="5B2D4307"/>
    <w:rsid w:val="5B3348D7"/>
    <w:rsid w:val="5B5041D6"/>
    <w:rsid w:val="5B554FD4"/>
    <w:rsid w:val="5B6B25D0"/>
    <w:rsid w:val="5B6B4549"/>
    <w:rsid w:val="5BAD031C"/>
    <w:rsid w:val="5BB36D0A"/>
    <w:rsid w:val="5BD03C5A"/>
    <w:rsid w:val="5BD33975"/>
    <w:rsid w:val="5BDA775F"/>
    <w:rsid w:val="5BEA7806"/>
    <w:rsid w:val="5BED1355"/>
    <w:rsid w:val="5C035D5C"/>
    <w:rsid w:val="5C054372"/>
    <w:rsid w:val="5C0B1081"/>
    <w:rsid w:val="5C0B33BE"/>
    <w:rsid w:val="5C2E76F3"/>
    <w:rsid w:val="5C531DAC"/>
    <w:rsid w:val="5C5F19A2"/>
    <w:rsid w:val="5C6742FC"/>
    <w:rsid w:val="5C7870C9"/>
    <w:rsid w:val="5C793AF2"/>
    <w:rsid w:val="5C885120"/>
    <w:rsid w:val="5C8D094F"/>
    <w:rsid w:val="5CAA3CDC"/>
    <w:rsid w:val="5CC14996"/>
    <w:rsid w:val="5CDB13F1"/>
    <w:rsid w:val="5CE42BFC"/>
    <w:rsid w:val="5D08718A"/>
    <w:rsid w:val="5D33075C"/>
    <w:rsid w:val="5D38401E"/>
    <w:rsid w:val="5D42131E"/>
    <w:rsid w:val="5D4B0C7E"/>
    <w:rsid w:val="5D65772A"/>
    <w:rsid w:val="5D787E7B"/>
    <w:rsid w:val="5DA30012"/>
    <w:rsid w:val="5DB7758C"/>
    <w:rsid w:val="5DC93120"/>
    <w:rsid w:val="5DDA6F3B"/>
    <w:rsid w:val="5DDB5F91"/>
    <w:rsid w:val="5E282729"/>
    <w:rsid w:val="5E2C3252"/>
    <w:rsid w:val="5E39000D"/>
    <w:rsid w:val="5E5007AD"/>
    <w:rsid w:val="5E5126D4"/>
    <w:rsid w:val="5E575A00"/>
    <w:rsid w:val="5E5B33A6"/>
    <w:rsid w:val="5EEC29C3"/>
    <w:rsid w:val="5EF527AD"/>
    <w:rsid w:val="5EF546E4"/>
    <w:rsid w:val="5F0241A8"/>
    <w:rsid w:val="5F031737"/>
    <w:rsid w:val="5F197EA5"/>
    <w:rsid w:val="5F1A1471"/>
    <w:rsid w:val="5F1B570F"/>
    <w:rsid w:val="5F4013BA"/>
    <w:rsid w:val="5F515252"/>
    <w:rsid w:val="5F882D2B"/>
    <w:rsid w:val="5FD025CB"/>
    <w:rsid w:val="5FD41E39"/>
    <w:rsid w:val="5FD57769"/>
    <w:rsid w:val="5FDC496F"/>
    <w:rsid w:val="5FEA0E05"/>
    <w:rsid w:val="5FEA1BFF"/>
    <w:rsid w:val="5FFA2F3B"/>
    <w:rsid w:val="60053545"/>
    <w:rsid w:val="60070501"/>
    <w:rsid w:val="600D47EB"/>
    <w:rsid w:val="60240F4A"/>
    <w:rsid w:val="602A2F0C"/>
    <w:rsid w:val="602F3018"/>
    <w:rsid w:val="605E48C7"/>
    <w:rsid w:val="606A7181"/>
    <w:rsid w:val="608D0DC2"/>
    <w:rsid w:val="60CF4513"/>
    <w:rsid w:val="60D87E5D"/>
    <w:rsid w:val="60F668B8"/>
    <w:rsid w:val="60FC46B7"/>
    <w:rsid w:val="61002168"/>
    <w:rsid w:val="61172DD5"/>
    <w:rsid w:val="6138206E"/>
    <w:rsid w:val="616270EF"/>
    <w:rsid w:val="61706EDF"/>
    <w:rsid w:val="61770AB3"/>
    <w:rsid w:val="619B1498"/>
    <w:rsid w:val="619B3BCB"/>
    <w:rsid w:val="61C5760F"/>
    <w:rsid w:val="61CB09F2"/>
    <w:rsid w:val="61F34165"/>
    <w:rsid w:val="62053AEE"/>
    <w:rsid w:val="622814B3"/>
    <w:rsid w:val="622F00B1"/>
    <w:rsid w:val="62426D4A"/>
    <w:rsid w:val="62635111"/>
    <w:rsid w:val="62842199"/>
    <w:rsid w:val="62904A5E"/>
    <w:rsid w:val="62B6346C"/>
    <w:rsid w:val="62C4291E"/>
    <w:rsid w:val="62C65CEC"/>
    <w:rsid w:val="62F27D6D"/>
    <w:rsid w:val="631814C9"/>
    <w:rsid w:val="632F7DE7"/>
    <w:rsid w:val="6340666D"/>
    <w:rsid w:val="6347606A"/>
    <w:rsid w:val="635B012E"/>
    <w:rsid w:val="635E620F"/>
    <w:rsid w:val="6368049F"/>
    <w:rsid w:val="63694881"/>
    <w:rsid w:val="636A3EC3"/>
    <w:rsid w:val="636A6F4B"/>
    <w:rsid w:val="63793000"/>
    <w:rsid w:val="63A94A31"/>
    <w:rsid w:val="63AC1EAC"/>
    <w:rsid w:val="63AC5CBD"/>
    <w:rsid w:val="63C90B49"/>
    <w:rsid w:val="63C910E5"/>
    <w:rsid w:val="63CC75B9"/>
    <w:rsid w:val="63E30C41"/>
    <w:rsid w:val="63FE1629"/>
    <w:rsid w:val="640673D9"/>
    <w:rsid w:val="641E6EE2"/>
    <w:rsid w:val="64275148"/>
    <w:rsid w:val="64326B19"/>
    <w:rsid w:val="645214CF"/>
    <w:rsid w:val="6487530B"/>
    <w:rsid w:val="64BA39D7"/>
    <w:rsid w:val="64CF3CAA"/>
    <w:rsid w:val="64D96235"/>
    <w:rsid w:val="64DA01CC"/>
    <w:rsid w:val="650F5FAC"/>
    <w:rsid w:val="65185303"/>
    <w:rsid w:val="652D2807"/>
    <w:rsid w:val="6534392E"/>
    <w:rsid w:val="654F6FF9"/>
    <w:rsid w:val="656033A2"/>
    <w:rsid w:val="65815AA0"/>
    <w:rsid w:val="658855D4"/>
    <w:rsid w:val="658867B3"/>
    <w:rsid w:val="659B42A0"/>
    <w:rsid w:val="65A8095A"/>
    <w:rsid w:val="65F1238A"/>
    <w:rsid w:val="65F35604"/>
    <w:rsid w:val="65FF3198"/>
    <w:rsid w:val="663B062F"/>
    <w:rsid w:val="663E4EF3"/>
    <w:rsid w:val="66471F83"/>
    <w:rsid w:val="665A01D2"/>
    <w:rsid w:val="6688533A"/>
    <w:rsid w:val="66BB442F"/>
    <w:rsid w:val="66D02521"/>
    <w:rsid w:val="67006A38"/>
    <w:rsid w:val="67097AAB"/>
    <w:rsid w:val="670C3488"/>
    <w:rsid w:val="672E09CF"/>
    <w:rsid w:val="67365DB5"/>
    <w:rsid w:val="677507BF"/>
    <w:rsid w:val="6792126C"/>
    <w:rsid w:val="67A97CFB"/>
    <w:rsid w:val="67CF5A1D"/>
    <w:rsid w:val="67DA135C"/>
    <w:rsid w:val="67EB7F24"/>
    <w:rsid w:val="67EC006A"/>
    <w:rsid w:val="680328B7"/>
    <w:rsid w:val="680D5EE5"/>
    <w:rsid w:val="68107593"/>
    <w:rsid w:val="684D1BE5"/>
    <w:rsid w:val="68651677"/>
    <w:rsid w:val="686F261C"/>
    <w:rsid w:val="687E3602"/>
    <w:rsid w:val="688F77C3"/>
    <w:rsid w:val="68A9751A"/>
    <w:rsid w:val="68AC366C"/>
    <w:rsid w:val="68B329E9"/>
    <w:rsid w:val="69030906"/>
    <w:rsid w:val="692C4F44"/>
    <w:rsid w:val="69326C25"/>
    <w:rsid w:val="697D4944"/>
    <w:rsid w:val="697E2DEE"/>
    <w:rsid w:val="699956D3"/>
    <w:rsid w:val="699B3DF9"/>
    <w:rsid w:val="69E1523E"/>
    <w:rsid w:val="6A377133"/>
    <w:rsid w:val="6A3802AF"/>
    <w:rsid w:val="6A382142"/>
    <w:rsid w:val="6A3D7EF0"/>
    <w:rsid w:val="6A4E7EC9"/>
    <w:rsid w:val="6A650E8F"/>
    <w:rsid w:val="6A7F0672"/>
    <w:rsid w:val="6A8243F3"/>
    <w:rsid w:val="6AA25847"/>
    <w:rsid w:val="6ADE4B51"/>
    <w:rsid w:val="6AEB550E"/>
    <w:rsid w:val="6AF47AD0"/>
    <w:rsid w:val="6B0B7792"/>
    <w:rsid w:val="6B18387B"/>
    <w:rsid w:val="6B213C7A"/>
    <w:rsid w:val="6B2726B5"/>
    <w:rsid w:val="6B3D4519"/>
    <w:rsid w:val="6B4943C4"/>
    <w:rsid w:val="6B5760AD"/>
    <w:rsid w:val="6B6356A7"/>
    <w:rsid w:val="6B6712DB"/>
    <w:rsid w:val="6B6F75D9"/>
    <w:rsid w:val="6B7753BB"/>
    <w:rsid w:val="6B7A6C48"/>
    <w:rsid w:val="6B8223B8"/>
    <w:rsid w:val="6BA303EE"/>
    <w:rsid w:val="6BCA3451"/>
    <w:rsid w:val="6BD57A1A"/>
    <w:rsid w:val="6BE52340"/>
    <w:rsid w:val="6BEA317F"/>
    <w:rsid w:val="6BF84434"/>
    <w:rsid w:val="6C077B7C"/>
    <w:rsid w:val="6C89469E"/>
    <w:rsid w:val="6C93673A"/>
    <w:rsid w:val="6C9559EA"/>
    <w:rsid w:val="6C991B9A"/>
    <w:rsid w:val="6CBB305B"/>
    <w:rsid w:val="6CC206BF"/>
    <w:rsid w:val="6CC30C66"/>
    <w:rsid w:val="6CDD0CB1"/>
    <w:rsid w:val="6CE419F3"/>
    <w:rsid w:val="6CE93DEC"/>
    <w:rsid w:val="6D225A73"/>
    <w:rsid w:val="6D4B705D"/>
    <w:rsid w:val="6D711A3E"/>
    <w:rsid w:val="6D8D0D90"/>
    <w:rsid w:val="6D96046C"/>
    <w:rsid w:val="6DC91D5B"/>
    <w:rsid w:val="6DD50561"/>
    <w:rsid w:val="6DD95830"/>
    <w:rsid w:val="6DF021A3"/>
    <w:rsid w:val="6E124286"/>
    <w:rsid w:val="6E134309"/>
    <w:rsid w:val="6E1A1F69"/>
    <w:rsid w:val="6E3B5323"/>
    <w:rsid w:val="6E4F38F8"/>
    <w:rsid w:val="6E657BB2"/>
    <w:rsid w:val="6E6E43B8"/>
    <w:rsid w:val="6E793023"/>
    <w:rsid w:val="6E7F7AFB"/>
    <w:rsid w:val="6EB770BA"/>
    <w:rsid w:val="6EB96505"/>
    <w:rsid w:val="6ED43ACF"/>
    <w:rsid w:val="6EDF1CCE"/>
    <w:rsid w:val="6EEA71F0"/>
    <w:rsid w:val="6F2B434D"/>
    <w:rsid w:val="6F2C5B46"/>
    <w:rsid w:val="6F2D78EE"/>
    <w:rsid w:val="6F4947DA"/>
    <w:rsid w:val="6F4E71A8"/>
    <w:rsid w:val="6F70301C"/>
    <w:rsid w:val="6F781F55"/>
    <w:rsid w:val="6F7C562E"/>
    <w:rsid w:val="6FB35A49"/>
    <w:rsid w:val="6FB93CAC"/>
    <w:rsid w:val="6FB95193"/>
    <w:rsid w:val="6FC17894"/>
    <w:rsid w:val="6FE60D34"/>
    <w:rsid w:val="6FEE7F40"/>
    <w:rsid w:val="70015EAC"/>
    <w:rsid w:val="70093C44"/>
    <w:rsid w:val="7013025E"/>
    <w:rsid w:val="70150176"/>
    <w:rsid w:val="701806D9"/>
    <w:rsid w:val="706A4129"/>
    <w:rsid w:val="70747A02"/>
    <w:rsid w:val="7076111A"/>
    <w:rsid w:val="70B73E00"/>
    <w:rsid w:val="70B774D1"/>
    <w:rsid w:val="70F2796B"/>
    <w:rsid w:val="710F1765"/>
    <w:rsid w:val="71102404"/>
    <w:rsid w:val="711A1C30"/>
    <w:rsid w:val="711D088F"/>
    <w:rsid w:val="711E6ABB"/>
    <w:rsid w:val="71400456"/>
    <w:rsid w:val="714C2EBE"/>
    <w:rsid w:val="71611C06"/>
    <w:rsid w:val="71636191"/>
    <w:rsid w:val="71686453"/>
    <w:rsid w:val="716F74C0"/>
    <w:rsid w:val="71A976A3"/>
    <w:rsid w:val="71B83D73"/>
    <w:rsid w:val="71C94377"/>
    <w:rsid w:val="71D6274F"/>
    <w:rsid w:val="72033A39"/>
    <w:rsid w:val="726E4C9E"/>
    <w:rsid w:val="7289516B"/>
    <w:rsid w:val="729037B3"/>
    <w:rsid w:val="729310B6"/>
    <w:rsid w:val="72A90793"/>
    <w:rsid w:val="72C80096"/>
    <w:rsid w:val="72CD0489"/>
    <w:rsid w:val="72DB349B"/>
    <w:rsid w:val="72E10CF1"/>
    <w:rsid w:val="72E16E78"/>
    <w:rsid w:val="72EA15F7"/>
    <w:rsid w:val="73062CBE"/>
    <w:rsid w:val="73297EB2"/>
    <w:rsid w:val="732B2071"/>
    <w:rsid w:val="73497FD2"/>
    <w:rsid w:val="735765E8"/>
    <w:rsid w:val="73611BAF"/>
    <w:rsid w:val="7368643D"/>
    <w:rsid w:val="73794A20"/>
    <w:rsid w:val="738A6877"/>
    <w:rsid w:val="739C4779"/>
    <w:rsid w:val="73A2442B"/>
    <w:rsid w:val="73AA6208"/>
    <w:rsid w:val="73BD6FB4"/>
    <w:rsid w:val="73C832AF"/>
    <w:rsid w:val="73E52982"/>
    <w:rsid w:val="73FA0625"/>
    <w:rsid w:val="74024A09"/>
    <w:rsid w:val="74026309"/>
    <w:rsid w:val="7422148A"/>
    <w:rsid w:val="74472CC7"/>
    <w:rsid w:val="748330DD"/>
    <w:rsid w:val="7485747A"/>
    <w:rsid w:val="748D3B91"/>
    <w:rsid w:val="74963991"/>
    <w:rsid w:val="74B71854"/>
    <w:rsid w:val="74FD176E"/>
    <w:rsid w:val="75132281"/>
    <w:rsid w:val="754C1C51"/>
    <w:rsid w:val="755F4608"/>
    <w:rsid w:val="7564660F"/>
    <w:rsid w:val="7571106C"/>
    <w:rsid w:val="757918F4"/>
    <w:rsid w:val="75886342"/>
    <w:rsid w:val="758A779D"/>
    <w:rsid w:val="758E7458"/>
    <w:rsid w:val="75B9274E"/>
    <w:rsid w:val="75DB48BD"/>
    <w:rsid w:val="75F258D7"/>
    <w:rsid w:val="75F83FB4"/>
    <w:rsid w:val="75F9318E"/>
    <w:rsid w:val="75FC2E47"/>
    <w:rsid w:val="760A76F9"/>
    <w:rsid w:val="760E47B2"/>
    <w:rsid w:val="76631090"/>
    <w:rsid w:val="76703988"/>
    <w:rsid w:val="7672217C"/>
    <w:rsid w:val="76A12DC3"/>
    <w:rsid w:val="76D15B17"/>
    <w:rsid w:val="77186B1E"/>
    <w:rsid w:val="77645C7D"/>
    <w:rsid w:val="777439C1"/>
    <w:rsid w:val="7788350A"/>
    <w:rsid w:val="778B1158"/>
    <w:rsid w:val="77961505"/>
    <w:rsid w:val="77AD5E5C"/>
    <w:rsid w:val="77B15DF4"/>
    <w:rsid w:val="77B856B5"/>
    <w:rsid w:val="78076895"/>
    <w:rsid w:val="78091695"/>
    <w:rsid w:val="78151AE7"/>
    <w:rsid w:val="781D0ABF"/>
    <w:rsid w:val="782B5948"/>
    <w:rsid w:val="78602ABF"/>
    <w:rsid w:val="78665FE4"/>
    <w:rsid w:val="786E0FFE"/>
    <w:rsid w:val="78A93133"/>
    <w:rsid w:val="78C237BC"/>
    <w:rsid w:val="78D02FB6"/>
    <w:rsid w:val="78E43768"/>
    <w:rsid w:val="78FD3867"/>
    <w:rsid w:val="79214FA6"/>
    <w:rsid w:val="79367FB8"/>
    <w:rsid w:val="79392A29"/>
    <w:rsid w:val="79583AEC"/>
    <w:rsid w:val="795C7162"/>
    <w:rsid w:val="797812D7"/>
    <w:rsid w:val="799D7539"/>
    <w:rsid w:val="799F72C4"/>
    <w:rsid w:val="79A20557"/>
    <w:rsid w:val="79AB7A8E"/>
    <w:rsid w:val="79AC0207"/>
    <w:rsid w:val="79CB5BC6"/>
    <w:rsid w:val="79D0709A"/>
    <w:rsid w:val="79E54E4B"/>
    <w:rsid w:val="79E554A8"/>
    <w:rsid w:val="79FD492D"/>
    <w:rsid w:val="7A087CF7"/>
    <w:rsid w:val="7A13564A"/>
    <w:rsid w:val="7A303322"/>
    <w:rsid w:val="7A7F6A39"/>
    <w:rsid w:val="7A9A2995"/>
    <w:rsid w:val="7A9E37B9"/>
    <w:rsid w:val="7AA85A57"/>
    <w:rsid w:val="7AA97571"/>
    <w:rsid w:val="7AC33D8D"/>
    <w:rsid w:val="7AD1328F"/>
    <w:rsid w:val="7AF26D81"/>
    <w:rsid w:val="7AF464E6"/>
    <w:rsid w:val="7AF6549D"/>
    <w:rsid w:val="7B014170"/>
    <w:rsid w:val="7B187563"/>
    <w:rsid w:val="7B1A61F8"/>
    <w:rsid w:val="7B5C346C"/>
    <w:rsid w:val="7B5E5C27"/>
    <w:rsid w:val="7B652196"/>
    <w:rsid w:val="7B703941"/>
    <w:rsid w:val="7B762D9E"/>
    <w:rsid w:val="7B784952"/>
    <w:rsid w:val="7B7C479D"/>
    <w:rsid w:val="7B7E15E7"/>
    <w:rsid w:val="7B860E16"/>
    <w:rsid w:val="7B920A5D"/>
    <w:rsid w:val="7BA1455F"/>
    <w:rsid w:val="7BCC7A90"/>
    <w:rsid w:val="7BDC1294"/>
    <w:rsid w:val="7BE975D0"/>
    <w:rsid w:val="7BF2190A"/>
    <w:rsid w:val="7C010589"/>
    <w:rsid w:val="7C160D02"/>
    <w:rsid w:val="7C1637C1"/>
    <w:rsid w:val="7C1E537F"/>
    <w:rsid w:val="7C215777"/>
    <w:rsid w:val="7C4706AF"/>
    <w:rsid w:val="7C526D30"/>
    <w:rsid w:val="7C574088"/>
    <w:rsid w:val="7C5D6386"/>
    <w:rsid w:val="7C921F5C"/>
    <w:rsid w:val="7C9D2374"/>
    <w:rsid w:val="7CAC42FA"/>
    <w:rsid w:val="7CD97C96"/>
    <w:rsid w:val="7CEA2FFC"/>
    <w:rsid w:val="7CF36D0A"/>
    <w:rsid w:val="7CFD68A1"/>
    <w:rsid w:val="7D004B90"/>
    <w:rsid w:val="7D087430"/>
    <w:rsid w:val="7D09176A"/>
    <w:rsid w:val="7D15262A"/>
    <w:rsid w:val="7D21528B"/>
    <w:rsid w:val="7D295788"/>
    <w:rsid w:val="7D2D6988"/>
    <w:rsid w:val="7D431D8D"/>
    <w:rsid w:val="7D7D4F75"/>
    <w:rsid w:val="7D937F07"/>
    <w:rsid w:val="7DA008E1"/>
    <w:rsid w:val="7DAA286B"/>
    <w:rsid w:val="7DAF2927"/>
    <w:rsid w:val="7DB954F6"/>
    <w:rsid w:val="7DBB06AE"/>
    <w:rsid w:val="7DC07247"/>
    <w:rsid w:val="7DC62F24"/>
    <w:rsid w:val="7DCA4DE2"/>
    <w:rsid w:val="7DDE5DE0"/>
    <w:rsid w:val="7DE93C91"/>
    <w:rsid w:val="7DFC10B6"/>
    <w:rsid w:val="7E010465"/>
    <w:rsid w:val="7E0B2B81"/>
    <w:rsid w:val="7E0E7FD0"/>
    <w:rsid w:val="7E1B6002"/>
    <w:rsid w:val="7E1F4180"/>
    <w:rsid w:val="7E433210"/>
    <w:rsid w:val="7E575AC2"/>
    <w:rsid w:val="7E580C80"/>
    <w:rsid w:val="7E68207B"/>
    <w:rsid w:val="7E8B6473"/>
    <w:rsid w:val="7E950FE9"/>
    <w:rsid w:val="7EA454D3"/>
    <w:rsid w:val="7EC009E8"/>
    <w:rsid w:val="7ED16523"/>
    <w:rsid w:val="7EE83A26"/>
    <w:rsid w:val="7EF96B1E"/>
    <w:rsid w:val="7F353C06"/>
    <w:rsid w:val="7F410352"/>
    <w:rsid w:val="7F440F7A"/>
    <w:rsid w:val="7F510226"/>
    <w:rsid w:val="7F5E5DAF"/>
    <w:rsid w:val="7F633EFB"/>
    <w:rsid w:val="7F634386"/>
    <w:rsid w:val="7FBF3E86"/>
    <w:rsid w:val="7FCA7309"/>
    <w:rsid w:val="7FDC725C"/>
    <w:rsid w:val="7FF66E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semiHidden="0" w:name="heading 4"/>
    <w:lsdException w:qFormat="1" w:uiPriority="9" w:semiHidden="0" w:name="heading 5"/>
    <w:lsdException w:qFormat="1" w:unhideWhenUsed="0" w:uiPriority="0" w:semiHidden="0"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99" w:name="toc 2"/>
    <w:lsdException w:qFormat="1" w:uiPriority="9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nhideWhenUsed="0" w:uiPriority="0" w:name="header"/>
    <w:lsdException w:qFormat="1" w:uiPriority="99" w:name="footer"/>
    <w:lsdException w:uiPriority="99" w:name="index heading"/>
    <w:lsdException w:qFormat="1" w:uiPriority="99"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qFormat="1" w:unhideWhenUsed="0" w:uiPriority="0" w:semiHidden="0" w:name="List 3"/>
    <w:lsdException w:qFormat="1" w:unhideWhenUsed="0" w:uiPriority="0" w:semiHidden="0"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nhideWhenUsed="0" w:uiPriority="99" w:semiHidden="0" w:name="Table Subtle 2"/>
    <w:lsdException w:uiPriority="99" w:name="Table Web 1"/>
    <w:lsdException w:uiPriority="99" w:name="Table Web 2"/>
    <w:lsdException w:unhideWhenUsed="0" w:uiPriority="99" w:semiHidden="0" w:name="Table Web 3"/>
    <w:lsdException w:qFormat="1" w:uiPriority="99" w:name="Balloon Text"/>
    <w:lsdException w:qFormat="1" w:uiPriority="99" w:semiHidden="0" w:name="Table Grid"/>
    <w:lsdException w:uiPriority="99"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16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link w:val="33"/>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34"/>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35"/>
    <w:qFormat/>
    <w:uiPriority w:val="0"/>
    <w:pPr>
      <w:numPr>
        <w:ilvl w:val="2"/>
      </w:numPr>
      <w:spacing w:before="120"/>
      <w:outlineLvl w:val="2"/>
    </w:pPr>
    <w:rPr>
      <w:sz w:val="24"/>
    </w:rPr>
  </w:style>
  <w:style w:type="paragraph" w:styleId="5">
    <w:name w:val="heading 4"/>
    <w:basedOn w:val="4"/>
    <w:next w:val="1"/>
    <w:unhideWhenUsed/>
    <w:qFormat/>
    <w:uiPriority w:val="9"/>
    <w:pPr>
      <w:spacing w:beforeLines="0" w:afterLines="0" w:line="372" w:lineRule="auto"/>
      <w:outlineLvl w:val="3"/>
    </w:pPr>
    <w:rPr>
      <w:rFonts w:eastAsia="黑体"/>
      <w:b/>
      <w:sz w:val="28"/>
    </w:rPr>
  </w:style>
  <w:style w:type="paragraph" w:styleId="6">
    <w:name w:val="heading 5"/>
    <w:basedOn w:val="5"/>
    <w:next w:val="1"/>
    <w:unhideWhenUsed/>
    <w:qFormat/>
    <w:uiPriority w:val="9"/>
    <w:pPr>
      <w:spacing w:before="10" w:after="10" w:line="240" w:lineRule="auto"/>
      <w:outlineLvl w:val="4"/>
    </w:pPr>
    <w:rPr>
      <w:rFonts w:ascii="Times New Roman" w:hAnsi="Times New Roman" w:eastAsia="宋体"/>
      <w:sz w:val="21"/>
      <w:u w:val="single"/>
    </w:rPr>
  </w:style>
  <w:style w:type="paragraph" w:styleId="7">
    <w:name w:val="heading 6"/>
    <w:basedOn w:val="8"/>
    <w:next w:val="1"/>
    <w:qFormat/>
    <w:uiPriority w:val="0"/>
    <w:pPr>
      <w:outlineLvl w:val="5"/>
    </w:pPr>
  </w:style>
  <w:style w:type="character" w:default="1" w:styleId="27">
    <w:name w:val="Default Paragraph Font"/>
    <w:semiHidden/>
    <w:unhideWhenUsed/>
    <w:uiPriority w:val="1"/>
  </w:style>
  <w:style w:type="table" w:default="1" w:styleId="25">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List 3"/>
    <w:basedOn w:val="10"/>
    <w:qFormat/>
    <w:uiPriority w:val="0"/>
    <w:pPr>
      <w:ind w:left="1135"/>
    </w:pPr>
  </w:style>
  <w:style w:type="paragraph" w:styleId="10">
    <w:name w:val="List 2"/>
    <w:basedOn w:val="11"/>
    <w:qFormat/>
    <w:uiPriority w:val="0"/>
    <w:pPr>
      <w:ind w:left="851"/>
    </w:pPr>
  </w:style>
  <w:style w:type="paragraph" w:styleId="11">
    <w:name w:val="List"/>
    <w:basedOn w:val="1"/>
    <w:qFormat/>
    <w:uiPriority w:val="0"/>
    <w:pPr>
      <w:ind w:left="568" w:hanging="284"/>
    </w:pPr>
  </w:style>
  <w:style w:type="paragraph" w:styleId="12">
    <w:name w:val="caption"/>
    <w:basedOn w:val="1"/>
    <w:next w:val="1"/>
    <w:unhideWhenUsed/>
    <w:qFormat/>
    <w:uiPriority w:val="99"/>
    <w:rPr>
      <w:rFonts w:ascii="Arial" w:hAnsi="Arial" w:eastAsia="黑体"/>
      <w:sz w:val="20"/>
    </w:rPr>
  </w:style>
  <w:style w:type="paragraph" w:styleId="13">
    <w:name w:val="Document Map"/>
    <w:basedOn w:val="1"/>
    <w:link w:val="54"/>
    <w:semiHidden/>
    <w:unhideWhenUsed/>
    <w:qFormat/>
    <w:uiPriority w:val="99"/>
    <w:rPr>
      <w:rFonts w:ascii="宋体"/>
      <w:sz w:val="18"/>
      <w:szCs w:val="18"/>
    </w:rPr>
  </w:style>
  <w:style w:type="paragraph" w:styleId="14">
    <w:name w:val="annotation text"/>
    <w:basedOn w:val="1"/>
    <w:link w:val="36"/>
    <w:qFormat/>
    <w:uiPriority w:val="0"/>
  </w:style>
  <w:style w:type="paragraph" w:styleId="15">
    <w:name w:val="Body Text"/>
    <w:basedOn w:val="1"/>
    <w:qFormat/>
    <w:uiPriority w:val="0"/>
    <w:pPr>
      <w:spacing w:after="120"/>
    </w:pPr>
    <w:rPr>
      <w:rFonts w:ascii="Times" w:hAnsi="Times"/>
      <w:szCs w:val="24"/>
    </w:rPr>
  </w:style>
  <w:style w:type="paragraph" w:styleId="16">
    <w:name w:val="toc 3"/>
    <w:basedOn w:val="1"/>
    <w:next w:val="1"/>
    <w:unhideWhenUsed/>
    <w:qFormat/>
    <w:uiPriority w:val="99"/>
    <w:pPr>
      <w:adjustRightInd w:val="0"/>
      <w:ind w:left="1282" w:leftChars="400" w:hanging="442" w:hangingChars="200"/>
    </w:pPr>
    <w:rPr>
      <w:b/>
      <w:i/>
      <w:sz w:val="20"/>
    </w:rPr>
  </w:style>
  <w:style w:type="paragraph" w:styleId="17">
    <w:name w:val="Balloon Text"/>
    <w:basedOn w:val="1"/>
    <w:link w:val="32"/>
    <w:semiHidden/>
    <w:unhideWhenUsed/>
    <w:qFormat/>
    <w:uiPriority w:val="99"/>
    <w:rPr>
      <w:sz w:val="18"/>
      <w:szCs w:val="18"/>
    </w:rPr>
  </w:style>
  <w:style w:type="paragraph" w:styleId="18">
    <w:name w:val="footer"/>
    <w:basedOn w:val="1"/>
    <w:link w:val="37"/>
    <w:semiHidden/>
    <w:unhideWhenUsed/>
    <w:qFormat/>
    <w:uiPriority w:val="99"/>
    <w:pPr>
      <w:tabs>
        <w:tab w:val="center" w:pos="4153"/>
        <w:tab w:val="right" w:pos="8306"/>
      </w:tabs>
      <w:snapToGrid w:val="0"/>
      <w:jc w:val="left"/>
    </w:pPr>
    <w:rPr>
      <w:sz w:val="18"/>
      <w:szCs w:val="18"/>
    </w:rPr>
  </w:style>
  <w:style w:type="paragraph" w:styleId="19">
    <w:name w:val="header"/>
    <w:basedOn w:val="1"/>
    <w:link w:val="38"/>
    <w:semiHidden/>
    <w:qFormat/>
    <w:uiPriority w:val="0"/>
    <w:pPr>
      <w:pBdr>
        <w:bottom w:val="single" w:color="auto" w:sz="6" w:space="1"/>
      </w:pBdr>
      <w:tabs>
        <w:tab w:val="center" w:pos="4153"/>
        <w:tab w:val="right" w:pos="8306"/>
      </w:tabs>
      <w:snapToGrid w:val="0"/>
      <w:jc w:val="center"/>
    </w:pPr>
    <w:rPr>
      <w:sz w:val="18"/>
      <w:szCs w:val="18"/>
    </w:rPr>
  </w:style>
  <w:style w:type="paragraph" w:styleId="20">
    <w:name w:val="toc 1"/>
    <w:basedOn w:val="1"/>
    <w:next w:val="1"/>
    <w:unhideWhenUsed/>
    <w:qFormat/>
    <w:uiPriority w:val="39"/>
    <w:pPr>
      <w:tabs>
        <w:tab w:val="decimal" w:pos="0"/>
        <w:tab w:val="right" w:pos="9660"/>
      </w:tabs>
      <w:ind w:right="420" w:rightChars="200"/>
      <w:jc w:val="left"/>
    </w:pPr>
    <w:rPr>
      <w:b/>
      <w:bCs/>
      <w:i/>
      <w:iCs/>
      <w:sz w:val="20"/>
    </w:rPr>
  </w:style>
  <w:style w:type="paragraph" w:styleId="21">
    <w:name w:val="toc 2"/>
    <w:basedOn w:val="1"/>
    <w:next w:val="1"/>
    <w:semiHidden/>
    <w:unhideWhenUsed/>
    <w:qFormat/>
    <w:uiPriority w:val="99"/>
    <w:pPr>
      <w:tabs>
        <w:tab w:val="right" w:pos="420"/>
      </w:tabs>
      <w:ind w:left="862" w:leftChars="200" w:hanging="442" w:hangingChars="200"/>
      <w:jc w:val="left"/>
    </w:pPr>
    <w:rPr>
      <w:b/>
      <w:i/>
      <w:sz w:val="20"/>
    </w:rPr>
  </w:style>
  <w:style w:type="paragraph" w:styleId="22">
    <w:name w:val="List 4"/>
    <w:basedOn w:val="9"/>
    <w:qFormat/>
    <w:uiPriority w:val="0"/>
    <w:pPr>
      <w:ind w:left="1418"/>
    </w:pPr>
  </w:style>
  <w:style w:type="paragraph" w:styleId="23">
    <w:name w:val="Normal (Web)"/>
    <w:basedOn w:val="1"/>
    <w:unhideWhenUsed/>
    <w:qFormat/>
    <w:uiPriority w:val="99"/>
    <w:pPr>
      <w:spacing w:beforeAutospacing="1" w:afterAutospacing="1"/>
      <w:jc w:val="left"/>
    </w:pPr>
    <w:rPr>
      <w:kern w:val="0"/>
      <w:sz w:val="24"/>
    </w:rPr>
  </w:style>
  <w:style w:type="paragraph" w:styleId="24">
    <w:name w:val="annotation subject"/>
    <w:basedOn w:val="14"/>
    <w:next w:val="14"/>
    <w:link w:val="44"/>
    <w:semiHidden/>
    <w:unhideWhenUsed/>
    <w:qFormat/>
    <w:uiPriority w:val="99"/>
    <w:pPr>
      <w:jc w:val="left"/>
    </w:pPr>
    <w:rPr>
      <w:b/>
      <w:bCs/>
    </w:rPr>
  </w:style>
  <w:style w:type="table" w:styleId="26">
    <w:name w:val="Table Grid"/>
    <w:basedOn w:val="25"/>
    <w:unhideWhenUsed/>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8">
    <w:name w:val="Strong"/>
    <w:basedOn w:val="27"/>
    <w:qFormat/>
    <w:uiPriority w:val="22"/>
    <w:rPr>
      <w:b/>
    </w:rPr>
  </w:style>
  <w:style w:type="character" w:styleId="29">
    <w:name w:val="page number"/>
    <w:basedOn w:val="27"/>
    <w:semiHidden/>
    <w:qFormat/>
    <w:uiPriority w:val="0"/>
  </w:style>
  <w:style w:type="character" w:styleId="30">
    <w:name w:val="Hyperlink"/>
    <w:basedOn w:val="27"/>
    <w:qFormat/>
    <w:uiPriority w:val="99"/>
    <w:rPr>
      <w:color w:val="0000FF"/>
      <w:u w:val="single"/>
    </w:rPr>
  </w:style>
  <w:style w:type="character" w:styleId="31">
    <w:name w:val="annotation reference"/>
    <w:basedOn w:val="27"/>
    <w:qFormat/>
    <w:uiPriority w:val="0"/>
    <w:rPr>
      <w:sz w:val="16"/>
    </w:rPr>
  </w:style>
  <w:style w:type="character" w:customStyle="1" w:styleId="32">
    <w:name w:val="批注框文本 字符"/>
    <w:basedOn w:val="27"/>
    <w:link w:val="17"/>
    <w:semiHidden/>
    <w:qFormat/>
    <w:uiPriority w:val="99"/>
    <w:rPr>
      <w:rFonts w:ascii="Times New Roman" w:hAnsi="Times New Roman" w:eastAsia="宋体" w:cs="Times New Roman"/>
      <w:sz w:val="18"/>
      <w:szCs w:val="18"/>
    </w:rPr>
  </w:style>
  <w:style w:type="character" w:customStyle="1" w:styleId="33">
    <w:name w:val="标题 1 字符"/>
    <w:basedOn w:val="27"/>
    <w:link w:val="2"/>
    <w:qFormat/>
    <w:uiPriority w:val="0"/>
    <w:rPr>
      <w:rFonts w:ascii="Arial" w:hAnsi="Arial" w:eastAsia="MS Mincho" w:cs="Times New Roman"/>
      <w:sz w:val="32"/>
      <w:szCs w:val="20"/>
    </w:rPr>
  </w:style>
  <w:style w:type="character" w:customStyle="1" w:styleId="34">
    <w:name w:val="标题 2 字符"/>
    <w:basedOn w:val="27"/>
    <w:link w:val="3"/>
    <w:qFormat/>
    <w:uiPriority w:val="0"/>
    <w:rPr>
      <w:rFonts w:ascii="Arial" w:hAnsi="Arial" w:eastAsia="MS Mincho" w:cs="Times New Roman"/>
      <w:sz w:val="28"/>
      <w:szCs w:val="20"/>
    </w:rPr>
  </w:style>
  <w:style w:type="character" w:customStyle="1" w:styleId="35">
    <w:name w:val="标题 3 字符"/>
    <w:basedOn w:val="27"/>
    <w:link w:val="4"/>
    <w:qFormat/>
    <w:uiPriority w:val="0"/>
    <w:rPr>
      <w:rFonts w:ascii="Arial" w:hAnsi="Arial" w:eastAsia="MS Mincho" w:cs="Times New Roman"/>
      <w:sz w:val="24"/>
      <w:szCs w:val="20"/>
    </w:rPr>
  </w:style>
  <w:style w:type="character" w:customStyle="1" w:styleId="36">
    <w:name w:val="批注文字 字符"/>
    <w:basedOn w:val="27"/>
    <w:link w:val="14"/>
    <w:qFormat/>
    <w:uiPriority w:val="0"/>
    <w:rPr>
      <w:rFonts w:ascii="Times New Roman" w:hAnsi="Times New Roman" w:eastAsia="宋体" w:cs="Times New Roman"/>
      <w:szCs w:val="20"/>
    </w:rPr>
  </w:style>
  <w:style w:type="character" w:customStyle="1" w:styleId="37">
    <w:name w:val="页脚 字符"/>
    <w:basedOn w:val="27"/>
    <w:link w:val="18"/>
    <w:semiHidden/>
    <w:qFormat/>
    <w:uiPriority w:val="99"/>
    <w:rPr>
      <w:rFonts w:ascii="Times New Roman" w:hAnsi="Times New Roman" w:eastAsia="宋体" w:cs="Times New Roman"/>
      <w:sz w:val="18"/>
      <w:szCs w:val="18"/>
    </w:rPr>
  </w:style>
  <w:style w:type="character" w:customStyle="1" w:styleId="38">
    <w:name w:val="页眉 字符"/>
    <w:basedOn w:val="27"/>
    <w:link w:val="19"/>
    <w:semiHidden/>
    <w:qFormat/>
    <w:uiPriority w:val="0"/>
    <w:rPr>
      <w:rFonts w:ascii="Times New Roman" w:hAnsi="Times New Roman" w:eastAsia="宋体" w:cs="Times New Roman"/>
      <w:sz w:val="18"/>
      <w:szCs w:val="18"/>
    </w:rPr>
  </w:style>
  <w:style w:type="paragraph" w:customStyle="1" w:styleId="39">
    <w:name w:val="References"/>
    <w:basedOn w:val="1"/>
    <w:qFormat/>
    <w:uiPriority w:val="0"/>
    <w:pPr>
      <w:numPr>
        <w:ilvl w:val="0"/>
        <w:numId w:val="2"/>
      </w:numPr>
      <w:spacing w:after="60"/>
    </w:pPr>
    <w:rPr>
      <w:szCs w:val="16"/>
    </w:rPr>
  </w:style>
  <w:style w:type="paragraph" w:styleId="40">
    <w:name w:val="List Paragraph"/>
    <w:basedOn w:val="1"/>
    <w:link w:val="46"/>
    <w:qFormat/>
    <w:uiPriority w:val="34"/>
    <w:pPr>
      <w:spacing w:beforeLines="0"/>
      <w:ind w:left="720"/>
      <w:contextualSpacing/>
    </w:pPr>
    <w:rPr>
      <w:rFonts w:eastAsia="Times New Roman"/>
      <w:sz w:val="24"/>
      <w:szCs w:val="24"/>
    </w:rPr>
  </w:style>
  <w:style w:type="character" w:customStyle="1" w:styleId="41">
    <w:name w:val="font21"/>
    <w:basedOn w:val="27"/>
    <w:qFormat/>
    <w:uiPriority w:val="0"/>
    <w:rPr>
      <w:rFonts w:hint="default" w:ascii="Times New Roman" w:hAnsi="Times New Roman" w:cs="Times New Roman"/>
      <w:color w:val="000000"/>
      <w:sz w:val="20"/>
      <w:szCs w:val="20"/>
      <w:u w:val="none"/>
    </w:rPr>
  </w:style>
  <w:style w:type="character" w:customStyle="1" w:styleId="42">
    <w:name w:val="font11"/>
    <w:basedOn w:val="27"/>
    <w:qFormat/>
    <w:uiPriority w:val="0"/>
    <w:rPr>
      <w:rFonts w:hint="default" w:ascii="Symbol" w:hAnsi="Symbol" w:cs="Symbol"/>
      <w:b/>
      <w:color w:val="000000"/>
      <w:sz w:val="20"/>
      <w:szCs w:val="20"/>
      <w:u w:val="none"/>
    </w:rPr>
  </w:style>
  <w:style w:type="character" w:customStyle="1" w:styleId="43">
    <w:name w:val="font01"/>
    <w:basedOn w:val="27"/>
    <w:qFormat/>
    <w:uiPriority w:val="0"/>
    <w:rPr>
      <w:rFonts w:hint="default" w:ascii="Symbol" w:hAnsi="Symbol" w:cs="Symbol"/>
      <w:color w:val="000000"/>
      <w:sz w:val="20"/>
      <w:szCs w:val="20"/>
      <w:u w:val="none"/>
    </w:rPr>
  </w:style>
  <w:style w:type="character" w:customStyle="1" w:styleId="44">
    <w:name w:val="批注主题 字符"/>
    <w:basedOn w:val="36"/>
    <w:link w:val="24"/>
    <w:semiHidden/>
    <w:qFormat/>
    <w:uiPriority w:val="99"/>
    <w:rPr>
      <w:rFonts w:ascii="Times New Roman" w:hAnsi="Times New Roman" w:eastAsia="宋体" w:cs="Times New Roman"/>
      <w:b/>
      <w:bCs/>
      <w:kern w:val="2"/>
      <w:sz w:val="21"/>
      <w:szCs w:val="20"/>
    </w:rPr>
  </w:style>
  <w:style w:type="paragraph" w:customStyle="1" w:styleId="45">
    <w:name w:val="ZT"/>
    <w:qFormat/>
    <w:uiPriority w:val="0"/>
    <w:pPr>
      <w:framePr w:wrap="notBeside" w:vAnchor="margin" w:hAnchor="margin" w:yAlign="center"/>
      <w:widowControl w:val="0"/>
      <w:spacing w:after="160" w:line="240" w:lineRule="atLeast"/>
      <w:jc w:val="right"/>
    </w:pPr>
    <w:rPr>
      <w:rFonts w:ascii="Arial" w:hAnsi="Arial" w:eastAsia="Times New Roman" w:cs="Times New Roman"/>
      <w:b/>
      <w:sz w:val="34"/>
      <w:lang w:val="en-GB" w:eastAsia="en-US" w:bidi="ar-SA"/>
    </w:rPr>
  </w:style>
  <w:style w:type="character" w:customStyle="1" w:styleId="46">
    <w:name w:val="列表段落 字符"/>
    <w:link w:val="40"/>
    <w:qFormat/>
    <w:uiPriority w:val="34"/>
    <w:rPr>
      <w:rFonts w:ascii="Times New Roman" w:hAnsi="Times New Roman" w:eastAsia="Times New Roman" w:cs="Times New Roman"/>
      <w:kern w:val="2"/>
      <w:sz w:val="24"/>
      <w:szCs w:val="24"/>
    </w:rPr>
  </w:style>
  <w:style w:type="character" w:styleId="47">
    <w:name w:val="Placeholder Text"/>
    <w:basedOn w:val="27"/>
    <w:unhideWhenUsed/>
    <w:qFormat/>
    <w:uiPriority w:val="99"/>
    <w:rPr>
      <w:color w:val="808080"/>
    </w:rPr>
  </w:style>
  <w:style w:type="paragraph" w:customStyle="1" w:styleId="48">
    <w:name w:val="x_msonormal"/>
    <w:basedOn w:val="1"/>
    <w:qFormat/>
    <w:uiPriority w:val="99"/>
    <w:pPr>
      <w:spacing w:before="100" w:beforeAutospacing="1" w:after="100" w:afterAutospacing="1"/>
    </w:pPr>
    <w:rPr>
      <w:rFonts w:ascii="Calibri" w:hAnsi="Calibri" w:cs="Calibri" w:eastAsiaTheme="minorHAnsi"/>
      <w:sz w:val="22"/>
      <w:szCs w:val="22"/>
      <w:lang w:eastAsia="en-GB"/>
    </w:rPr>
  </w:style>
  <w:style w:type="character" w:customStyle="1" w:styleId="49">
    <w:name w:val="x_apple-converted-space"/>
    <w:qFormat/>
    <w:uiPriority w:val="0"/>
  </w:style>
  <w:style w:type="paragraph" w:customStyle="1" w:styleId="50">
    <w:name w:val="TAH"/>
    <w:basedOn w:val="51"/>
    <w:qFormat/>
    <w:uiPriority w:val="0"/>
    <w:rPr>
      <w:b/>
    </w:rPr>
  </w:style>
  <w:style w:type="paragraph" w:customStyle="1" w:styleId="51">
    <w:name w:val="TAC"/>
    <w:basedOn w:val="52"/>
    <w:qFormat/>
    <w:uiPriority w:val="0"/>
    <w:pPr>
      <w:jc w:val="center"/>
    </w:pPr>
  </w:style>
  <w:style w:type="paragraph" w:customStyle="1" w:styleId="52">
    <w:name w:val="TAL"/>
    <w:basedOn w:val="1"/>
    <w:qFormat/>
    <w:uiPriority w:val="0"/>
    <w:pPr>
      <w:keepNext/>
      <w:keepLines/>
    </w:pPr>
    <w:rPr>
      <w:rFonts w:ascii="Arial" w:hAnsi="Arial"/>
      <w:sz w:val="18"/>
    </w:rPr>
  </w:style>
  <w:style w:type="paragraph" w:customStyle="1" w:styleId="53">
    <w:name w:val="修订1"/>
    <w:hidden/>
    <w:semiHidden/>
    <w:qFormat/>
    <w:uiPriority w:val="99"/>
    <w:pPr>
      <w:spacing w:after="160" w:line="259" w:lineRule="auto"/>
    </w:pPr>
    <w:rPr>
      <w:rFonts w:ascii="Times New Roman" w:hAnsi="Times New Roman" w:eastAsia="宋体" w:cs="Times New Roman"/>
      <w:kern w:val="2"/>
      <w:sz w:val="21"/>
      <w:lang w:val="en-US" w:eastAsia="zh-CN" w:bidi="ar-SA"/>
    </w:rPr>
  </w:style>
  <w:style w:type="character" w:customStyle="1" w:styleId="54">
    <w:name w:val="文档结构图 字符"/>
    <w:basedOn w:val="27"/>
    <w:link w:val="13"/>
    <w:semiHidden/>
    <w:qFormat/>
    <w:uiPriority w:val="99"/>
    <w:rPr>
      <w:rFonts w:ascii="宋体"/>
      <w:kern w:val="2"/>
      <w:sz w:val="18"/>
      <w:szCs w:val="18"/>
    </w:rPr>
  </w:style>
  <w:style w:type="paragraph" w:customStyle="1" w:styleId="55">
    <w:name w:val="修订2"/>
    <w:hidden/>
    <w:unhideWhenUsed/>
    <w:qFormat/>
    <w:uiPriority w:val="99"/>
    <w:pPr>
      <w:spacing w:after="160" w:line="259" w:lineRule="auto"/>
    </w:pPr>
    <w:rPr>
      <w:rFonts w:ascii="Times New Roman" w:hAnsi="Times New Roman" w:eastAsia="宋体" w:cs="Times New Roman"/>
      <w:kern w:val="2"/>
      <w:sz w:val="21"/>
      <w:lang w:val="en-US" w:eastAsia="zh-CN" w:bidi="ar-SA"/>
    </w:rPr>
  </w:style>
  <w:style w:type="paragraph" w:customStyle="1" w:styleId="56">
    <w:name w:val="xmsonormal"/>
    <w:basedOn w:val="1"/>
    <w:qFormat/>
    <w:uiPriority w:val="0"/>
    <w:pPr>
      <w:spacing w:before="100" w:beforeAutospacing="1" w:after="100" w:afterAutospacing="1"/>
    </w:pPr>
    <w:rPr>
      <w:rFonts w:ascii="Calibri" w:hAnsi="Calibri" w:eastAsia="Calibri" w:cs="Calibri"/>
      <w:sz w:val="22"/>
      <w:szCs w:val="22"/>
    </w:rPr>
  </w:style>
  <w:style w:type="character" w:customStyle="1" w:styleId="57">
    <w:name w:val="apple-converted-space"/>
    <w:basedOn w:val="27"/>
    <w:qFormat/>
    <w:uiPriority w:val="0"/>
  </w:style>
  <w:style w:type="paragraph" w:customStyle="1" w:styleId="58">
    <w:name w:val="Tdoc_Header_2"/>
    <w:basedOn w:val="1"/>
    <w:qFormat/>
    <w:uiPriority w:val="0"/>
    <w:pPr>
      <w:widowControl w:val="0"/>
      <w:tabs>
        <w:tab w:val="left" w:pos="1701"/>
        <w:tab w:val="right" w:pos="9072"/>
        <w:tab w:val="right" w:pos="10206"/>
      </w:tabs>
    </w:pPr>
    <w:rPr>
      <w:rFonts w:ascii="Arial" w:hAnsi="Arial"/>
      <w:b/>
      <w:sz w:val="18"/>
    </w:rPr>
  </w:style>
  <w:style w:type="paragraph" w:customStyle="1" w:styleId="59">
    <w:name w:val="x_xmsonormal"/>
    <w:basedOn w:val="1"/>
    <w:qFormat/>
    <w:uiPriority w:val="0"/>
    <w:rPr>
      <w:rFonts w:ascii="宋体" w:hAnsi="宋体" w:cs="Calibri"/>
      <w:sz w:val="24"/>
    </w:rPr>
  </w:style>
  <w:style w:type="paragraph" w:customStyle="1" w:styleId="60">
    <w:name w:val="YJ-Observation"/>
    <w:basedOn w:val="1"/>
    <w:qFormat/>
    <w:uiPriority w:val="0"/>
    <w:pPr>
      <w:numPr>
        <w:ilvl w:val="0"/>
        <w:numId w:val="3"/>
      </w:numPr>
      <w:tabs>
        <w:tab w:val="left" w:pos="420"/>
      </w:tabs>
      <w:jc w:val="left"/>
    </w:pPr>
    <w:rPr>
      <w:rFonts w:eastAsiaTheme="minorEastAsia"/>
      <w:b/>
      <w:bCs/>
      <w:i/>
      <w:iCs/>
      <w:sz w:val="20"/>
      <w:lang w:val="en-GB" w:eastAsia="en-US"/>
    </w:rPr>
  </w:style>
  <w:style w:type="paragraph" w:customStyle="1" w:styleId="61">
    <w:name w:val="3GPP Normal Text"/>
    <w:basedOn w:val="15"/>
    <w:qFormat/>
    <w:uiPriority w:val="0"/>
    <w:pPr>
      <w:spacing w:after="60"/>
    </w:pPr>
    <w:rPr>
      <w:rFonts w:ascii="Times New Roman" w:hAnsi="Times New Roman" w:eastAsia="MS Mincho"/>
    </w:rPr>
  </w:style>
  <w:style w:type="paragraph" w:customStyle="1" w:styleId="62">
    <w:name w:val="List Paragraph1"/>
    <w:basedOn w:val="1"/>
    <w:qFormat/>
    <w:uiPriority w:val="0"/>
    <w:pPr>
      <w:widowControl w:val="0"/>
      <w:spacing w:beforeLines="0" w:afterLines="0" w:line="240" w:lineRule="auto"/>
      <w:ind w:firstLine="420" w:firstLineChars="200"/>
    </w:pPr>
    <w:rPr>
      <w:rFonts w:ascii="Calibri" w:hAnsi="Calibri"/>
      <w:szCs w:val="21"/>
    </w:rPr>
  </w:style>
  <w:style w:type="paragraph" w:customStyle="1" w:styleId="63">
    <w:name w:val="YJ-Proposal"/>
    <w:basedOn w:val="1"/>
    <w:qFormat/>
    <w:uiPriority w:val="0"/>
    <w:pPr>
      <w:numPr>
        <w:ilvl w:val="0"/>
        <w:numId w:val="4"/>
      </w:numPr>
      <w:jc w:val="left"/>
    </w:pPr>
    <w:rPr>
      <w:rFonts w:eastAsiaTheme="minorEastAsia"/>
      <w:b/>
      <w:bCs/>
      <w:i/>
      <w:iCs/>
      <w:sz w:val="20"/>
      <w:lang w:val="en-GB" w:eastAsia="en-US"/>
    </w:rPr>
  </w:style>
  <w:style w:type="character" w:customStyle="1" w:styleId="64">
    <w:name w:val="contentpasted2"/>
    <w:basedOn w:val="27"/>
    <w:qFormat/>
    <w:uiPriority w:val="0"/>
  </w:style>
  <w:style w:type="paragraph" w:customStyle="1" w:styleId="65">
    <w:name w:val="TH"/>
    <w:basedOn w:val="1"/>
    <w:qFormat/>
    <w:uiPriority w:val="0"/>
    <w:pPr>
      <w:keepNext/>
      <w:keepLines/>
      <w:spacing w:before="60" w:after="180"/>
      <w:jc w:val="center"/>
    </w:pPr>
    <w:rPr>
      <w:rFonts w:ascii="Arial" w:hAnsi="Arial" w:eastAsia="Times New Roman"/>
      <w:b/>
      <w:sz w:val="20"/>
      <w:lang w:val="en-GB"/>
    </w:rPr>
  </w:style>
  <w:style w:type="paragraph" w:customStyle="1" w:styleId="66">
    <w:name w:val="B1"/>
    <w:basedOn w:val="11"/>
    <w:qFormat/>
    <w:uiPriority w:val="0"/>
  </w:style>
  <w:style w:type="paragraph" w:customStyle="1" w:styleId="67">
    <w:name w:val="B2"/>
    <w:basedOn w:val="10"/>
    <w:qFormat/>
    <w:uiPriority w:val="0"/>
  </w:style>
  <w:style w:type="paragraph" w:customStyle="1" w:styleId="68">
    <w:name w:val="B3"/>
    <w:basedOn w:val="9"/>
    <w:qFormat/>
    <w:uiPriority w:val="0"/>
  </w:style>
  <w:style w:type="paragraph" w:customStyle="1" w:styleId="69">
    <w:name w:val="B4"/>
    <w:basedOn w:val="22"/>
    <w:qFormat/>
    <w:uiPriority w:val="0"/>
  </w:style>
  <w:style w:type="paragraph" w:customStyle="1" w:styleId="70">
    <w:name w:val="EQ"/>
    <w:basedOn w:val="1"/>
    <w:next w:val="1"/>
    <w:qFormat/>
    <w:uiPriority w:val="0"/>
    <w:pPr>
      <w:keepLines/>
      <w:tabs>
        <w:tab w:val="center" w:pos="4536"/>
        <w:tab w:val="right" w:pos="9072"/>
      </w:tabs>
    </w:pPr>
  </w:style>
  <w:style w:type="paragraph" w:customStyle="1" w:styleId="71">
    <w:name w:val="listparagraph"/>
    <w:basedOn w:val="1"/>
    <w:qFormat/>
    <w:uiPriority w:val="99"/>
    <w:pPr>
      <w:spacing w:line="252" w:lineRule="auto"/>
      <w:ind w:left="720"/>
    </w:pPr>
    <w:rPr>
      <w:rFonts w:ascii="Calibri" w:hAnsi="Calibri" w:eastAsia="Calibri" w:cs="Calibri"/>
      <w:sz w:val="22"/>
      <w:szCs w:val="22"/>
    </w:rPr>
  </w:style>
  <w:style w:type="paragraph" w:customStyle="1" w:styleId="72">
    <w:name w:val="Guidance"/>
    <w:basedOn w:val="1"/>
    <w:qFormat/>
    <w:uiPriority w:val="0"/>
    <w:rPr>
      <w:rFonts w:eastAsia="Times New Roman"/>
      <w:i/>
      <w:color w:val="000000"/>
      <w:lang w:eastAsia="ja-JP"/>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3" Type="http://schemas.openxmlformats.org/officeDocument/2006/relationships/fontTable" Target="fontTable.xml"/><Relationship Id="rId22" Type="http://schemas.openxmlformats.org/officeDocument/2006/relationships/customXml" Target="../customXml/item2.xml"/><Relationship Id="rId21" Type="http://schemas.openxmlformats.org/officeDocument/2006/relationships/numbering" Target="numbering.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image" Target="media/image8.png"/><Relationship Id="rId18" Type="http://schemas.openxmlformats.org/officeDocument/2006/relationships/image" Target="media/image7.png"/><Relationship Id="rId17" Type="http://schemas.openxmlformats.org/officeDocument/2006/relationships/image" Target="media/image6.png"/><Relationship Id="rId16" Type="http://schemas.openxmlformats.org/officeDocument/2006/relationships/image" Target="media/image5.png"/><Relationship Id="rId15" Type="http://schemas.openxmlformats.org/officeDocument/2006/relationships/image" Target="media/image4.png"/><Relationship Id="rId14" Type="http://schemas.openxmlformats.org/officeDocument/2006/relationships/image" Target="media/image3.png"/><Relationship Id="rId13" Type="http://schemas.openxmlformats.org/officeDocument/2006/relationships/image" Target="media/image2.png"/><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9F566A7-65F5-4586-90AD-1463A346D18B}">
  <ds:schemaRefs/>
</ds:datastoreItem>
</file>

<file path=docProps/app.xml><?xml version="1.0" encoding="utf-8"?>
<Properties xmlns="http://schemas.openxmlformats.org/officeDocument/2006/extended-properties" xmlns:vt="http://schemas.openxmlformats.org/officeDocument/2006/docPropsVTypes">
  <Template>Normal.dotm</Template>
  <Pages>9</Pages>
  <Words>3392</Words>
  <Characters>19339</Characters>
  <Lines>161</Lines>
  <Paragraphs>45</Paragraphs>
  <TotalTime>52</TotalTime>
  <ScaleCrop>false</ScaleCrop>
  <LinksUpToDate>false</LinksUpToDate>
  <CharactersWithSpaces>22686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2022-09-29T12:33:00Z</dcterms:created>
  <dc:creator>YuzhouHu</dc:creator>
  <cp:lastModifiedBy>ZTE</cp:lastModifiedBy>
  <dcterms:modified xsi:type="dcterms:W3CDTF">2024-04-05T14:39:08Z</dcterms:modified>
  <cp:revision>54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F11EDB1617BE43FF9E4B3F3AE8B4C58C</vt:lpwstr>
  </property>
</Properties>
</file>