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spacing w:after="0"/>
        <w:jc w:val="left"/>
        <w:rPr>
          <w:rFonts w:ascii="Arial" w:hAnsi="Arial" w:cs="Arial"/>
          <w:b/>
          <w:kern w:val="2"/>
          <w:sz w:val="22"/>
          <w:szCs w:val="22"/>
        </w:rPr>
      </w:pPr>
      <w:bookmarkStart w:id="0" w:name="_Hlk149309469"/>
      <w:bookmarkStart w:id="1" w:name="_Hlk145075582"/>
      <w:r>
        <w:rPr>
          <w:rFonts w:ascii="Arial" w:hAnsi="Arial" w:cs="Arial"/>
          <w:b/>
          <w:kern w:val="2"/>
          <w:sz w:val="22"/>
          <w:szCs w:val="22"/>
        </w:rPr>
        <w:t>3GPP TSG RAN WG1 Meeting #116-</w:t>
      </w:r>
      <w:r>
        <w:rPr>
          <w:rFonts w:hint="eastAsia" w:ascii="Arial" w:hAnsi="Arial" w:cs="Arial"/>
          <w:b/>
          <w:kern w:val="2"/>
          <w:sz w:val="22"/>
          <w:szCs w:val="22"/>
        </w:rPr>
        <w:t>bis</w:t>
      </w:r>
      <w:r>
        <w:rPr>
          <w:rFonts w:ascii="Arial" w:hAnsi="Arial" w:cs="Arial"/>
          <w:b/>
          <w:kern w:val="2"/>
          <w:sz w:val="22"/>
          <w:szCs w:val="22"/>
        </w:rPr>
        <w:tab/>
      </w:r>
      <w:r>
        <w:rPr>
          <w:rFonts w:ascii="Arial" w:hAnsi="Arial" w:cs="Arial"/>
          <w:b/>
          <w:kern w:val="2"/>
          <w:sz w:val="22"/>
          <w:szCs w:val="22"/>
        </w:rPr>
        <w:t>R1-2402154</w:t>
      </w:r>
    </w:p>
    <w:p>
      <w:pPr>
        <w:jc w:val="left"/>
        <w:rPr>
          <w:rFonts w:hint="eastAsia" w:ascii="Arial" w:hAnsi="Arial" w:cs="Arial" w:eastAsiaTheme="minorEastAsia"/>
          <w:b/>
          <w:kern w:val="2"/>
          <w:sz w:val="22"/>
          <w:szCs w:val="22"/>
        </w:rPr>
      </w:pPr>
      <w:r>
        <w:rPr>
          <w:rFonts w:ascii="Arial" w:hAnsi="Arial" w:cs="Arial"/>
          <w:b/>
          <w:kern w:val="2"/>
          <w:sz w:val="22"/>
          <w:szCs w:val="22"/>
        </w:rPr>
        <w:t>Changsha, Hunan Province, CN 15th April – 19th April 2024</w:t>
      </w:r>
    </w:p>
    <w:p>
      <w:pPr>
        <w:spacing w:after="60"/>
        <w:ind w:left="1555" w:hanging="1555"/>
        <w:jc w:val="left"/>
        <w:rPr>
          <w:rFonts w:ascii="Arial" w:hAnsi="Arial" w:cs="Arial"/>
          <w:b/>
          <w:sz w:val="22"/>
          <w:szCs w:val="22"/>
        </w:rPr>
      </w:pPr>
      <w:r>
        <w:rPr>
          <w:rFonts w:ascii="Arial" w:hAnsi="Arial" w:cs="Arial"/>
          <w:b/>
          <w:sz w:val="22"/>
          <w:szCs w:val="22"/>
        </w:rPr>
        <w:t>Agenda Item:</w:t>
      </w:r>
      <w:r>
        <w:rPr>
          <w:rFonts w:ascii="Arial" w:hAnsi="Arial" w:cs="Arial"/>
          <w:b/>
          <w:sz w:val="22"/>
          <w:szCs w:val="22"/>
        </w:rPr>
        <w:tab/>
      </w:r>
      <w:r>
        <w:rPr>
          <w:rFonts w:ascii="Arial" w:hAnsi="Arial" w:cs="Arial"/>
          <w:b/>
          <w:sz w:val="22"/>
          <w:szCs w:val="22"/>
        </w:rPr>
        <w:t>9.4.2.2</w:t>
      </w:r>
    </w:p>
    <w:p>
      <w:pPr>
        <w:spacing w:after="60"/>
        <w:ind w:left="1555" w:hanging="1555"/>
        <w:jc w:val="left"/>
        <w:rPr>
          <w:rFonts w:ascii="Arial" w:hAnsi="Arial" w:cs="Arial"/>
          <w:b/>
          <w:kern w:val="2"/>
          <w:sz w:val="22"/>
          <w:szCs w:val="22"/>
        </w:rPr>
      </w:pPr>
      <w:r>
        <w:rPr>
          <w:rFonts w:ascii="Arial" w:hAnsi="Arial" w:cs="Arial"/>
          <w:b/>
          <w:kern w:val="2"/>
          <w:sz w:val="22"/>
          <w:szCs w:val="22"/>
        </w:rPr>
        <w:t>Source:</w:t>
      </w:r>
      <w:r>
        <w:rPr>
          <w:rFonts w:ascii="Arial" w:hAnsi="Arial" w:cs="Arial"/>
          <w:b/>
          <w:kern w:val="2"/>
          <w:sz w:val="22"/>
          <w:szCs w:val="22"/>
        </w:rPr>
        <w:tab/>
      </w:r>
      <w:r>
        <w:rPr>
          <w:rFonts w:hint="eastAsia" w:ascii="Arial" w:hAnsi="Arial" w:cs="Arial"/>
          <w:b/>
          <w:bCs/>
          <w:caps/>
          <w:sz w:val="22"/>
          <w:szCs w:val="22"/>
        </w:rPr>
        <w:t>BUPT</w:t>
      </w:r>
    </w:p>
    <w:bookmarkEnd w:id="0"/>
    <w:p>
      <w:pPr>
        <w:spacing w:after="60"/>
        <w:ind w:left="1555" w:hanging="1555"/>
        <w:jc w:val="left"/>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Discussion on frame structure and timing aspects for Ambient IoT devices</w:t>
      </w:r>
    </w:p>
    <w:bookmarkEnd w:id="1"/>
    <w:p>
      <w:pPr>
        <w:spacing w:after="60"/>
        <w:ind w:left="1555" w:hanging="1555"/>
        <w:jc w:val="left"/>
        <w:rPr>
          <w:rFonts w:ascii="Arial" w:hAnsi="Arial" w:cs="Arial"/>
          <w:b/>
          <w:kern w:val="2"/>
          <w:sz w:val="22"/>
          <w:szCs w:val="22"/>
        </w:rPr>
      </w:pPr>
      <w:r>
        <w:rPr>
          <w:rFonts w:ascii="Arial" w:hAnsi="Arial" w:cs="Arial"/>
          <w:b/>
          <w:kern w:val="2"/>
          <w:sz w:val="22"/>
          <w:szCs w:val="22"/>
        </w:rPr>
        <w:t xml:space="preserve">Document for: Decision </w:t>
      </w:r>
    </w:p>
    <w:p>
      <w:pPr>
        <w:pStyle w:val="52"/>
        <w:numPr>
          <w:ilvl w:val="0"/>
          <w:numId w:val="6"/>
        </w:numPr>
        <w:spacing w:line="288" w:lineRule="auto"/>
        <w:jc w:val="both"/>
        <w:rPr>
          <w:rFonts w:cs="Arial"/>
          <w:b/>
          <w:sz w:val="32"/>
          <w:szCs w:val="32"/>
        </w:rPr>
      </w:pPr>
      <w:r>
        <w:rPr>
          <w:rFonts w:cs="Arial"/>
          <w:b/>
          <w:sz w:val="32"/>
          <w:szCs w:val="32"/>
        </w:rPr>
        <w:t>Introduction</w:t>
      </w:r>
    </w:p>
    <w:p>
      <w:pPr>
        <w:rPr>
          <w:rFonts w:eastAsiaTheme="minorEastAsia"/>
          <w:color w:val="000000"/>
          <w:szCs w:val="22"/>
          <w:lang w:val="en-US"/>
        </w:rPr>
      </w:pPr>
      <w:r>
        <w:t>This proposal investigates several methods of time synchronization in environmental Internet of Things deployments. It then surveys the frame structure aspect and offers some suggestions.</w:t>
      </w:r>
    </w:p>
    <w:p>
      <w:pPr>
        <w:pStyle w:val="52"/>
        <w:numPr>
          <w:ilvl w:val="0"/>
          <w:numId w:val="6"/>
        </w:numPr>
        <w:spacing w:line="288" w:lineRule="auto"/>
        <w:jc w:val="both"/>
        <w:rPr>
          <w:rFonts w:cs="Arial"/>
          <w:b/>
          <w:sz w:val="32"/>
          <w:szCs w:val="32"/>
        </w:rPr>
      </w:pPr>
      <w:r>
        <w:rPr>
          <w:rFonts w:cs="Arial"/>
          <w:b/>
          <w:sz w:val="32"/>
          <w:szCs w:val="32"/>
        </w:rPr>
        <w:t>Synchronization and timing frame structure</w:t>
      </w:r>
    </w:p>
    <w:p>
      <w:pPr>
        <w:keepNext w:val="0"/>
        <w:keepLines w:val="0"/>
        <w:pageBreakBefore w:val="0"/>
        <w:widowControl/>
        <w:kinsoku/>
        <w:wordWrap/>
        <w:overflowPunct/>
        <w:topLinePunct w:val="0"/>
        <w:autoSpaceDE/>
        <w:autoSpaceDN/>
        <w:bidi w:val="0"/>
        <w:adjustRightInd/>
        <w:snapToGrid/>
        <w:ind w:firstLine="480" w:firstLineChars="200"/>
        <w:textAlignment w:val="auto"/>
        <w:rPr>
          <w:lang w:val="en-US"/>
        </w:rPr>
      </w:pPr>
      <w:r>
        <w:rPr>
          <w:rFonts w:hint="eastAsia"/>
          <w:lang w:val="en-US"/>
        </w:rPr>
        <w:t>Research on Time Synchronization Methods for Environmental IoT Clocks in the Presence of Errors in Communication Channels:</w:t>
      </w:r>
    </w:p>
    <w:p>
      <w:pPr>
        <w:keepNext w:val="0"/>
        <w:keepLines w:val="0"/>
        <w:pageBreakBefore w:val="0"/>
        <w:widowControl/>
        <w:kinsoku/>
        <w:wordWrap/>
        <w:overflowPunct/>
        <w:topLinePunct w:val="0"/>
        <w:autoSpaceDE/>
        <w:autoSpaceDN/>
        <w:bidi w:val="0"/>
        <w:adjustRightInd/>
        <w:snapToGrid/>
        <w:ind w:firstLine="480" w:firstLineChars="200"/>
        <w:textAlignment w:val="auto"/>
        <w:rPr>
          <w:lang w:val="en-US"/>
        </w:rPr>
      </w:pPr>
      <w:r>
        <w:rPr>
          <w:rFonts w:hint="eastAsia"/>
          <w:lang w:val="en-US"/>
        </w:rPr>
        <w:t>In the realm of the Internet of Things (IoT), clocks exchange the latest reports through (lossy) communication channels to achieve synchronization, utilizing a simple connectionless message-passing approach (also known as a time synchronization protocol). Ideally, the current time report from the system clock is recorded and promptly transmitted to the destination. However, in practical scenarios, the time report undergoes re-encoding at the source end to form a communication frame. Subsequently, there is a finite duration of message transmission over the medium, followed by the processing of received packets at the destination to record the local time report. All these processes entail certain computations. As depicted in Figure 1, all three error sources contribute to message transmission delays. Achieving high-precision time synchronization is only feasible by restricting variations in message transmission time. It is possible to investigate the impact of message transmission delays on synchronization errors</w:t>
      </w:r>
      <w:r>
        <w:rPr>
          <w:lang w:val="en-US"/>
        </w:rPr>
        <w:t>.</w:t>
      </w:r>
    </w:p>
    <w:p>
      <w:pPr>
        <w:jc w:val="center"/>
        <w:rPr>
          <w:lang w:val="en-US"/>
        </w:rPr>
      </w:pPr>
      <w:r>
        <w:rPr>
          <w:lang w:val="en-US"/>
        </w:rPr>
        <w:drawing>
          <wp:inline distT="0" distB="0" distL="114300" distR="114300">
            <wp:extent cx="3086100" cy="2136140"/>
            <wp:effectExtent l="0" t="0" r="0" b="0"/>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pic:cNvPicPr>
                  </pic:nvPicPr>
                  <pic:blipFill>
                    <a:blip r:embed="rId5"/>
                    <a:stretch>
                      <a:fillRect/>
                    </a:stretch>
                  </pic:blipFill>
                  <pic:spPr>
                    <a:xfrm>
                      <a:off x="0" y="0"/>
                      <a:ext cx="3088800" cy="2138400"/>
                    </a:xfrm>
                    <a:prstGeom prst="rect">
                      <a:avLst/>
                    </a:prstGeom>
                  </pic:spPr>
                </pic:pic>
              </a:graphicData>
            </a:graphic>
          </wp:inline>
        </w:drawing>
      </w:r>
    </w:p>
    <w:p>
      <w:pPr>
        <w:jc w:val="center"/>
        <w:rPr>
          <w:sz w:val="22"/>
          <w:szCs w:val="22"/>
          <w:lang w:val="en-US"/>
        </w:rPr>
      </w:pPr>
      <w:r>
        <w:rPr>
          <w:sz w:val="22"/>
          <w:szCs w:val="22"/>
          <w:lang w:val="en-US"/>
        </w:rPr>
        <w:t>Figure 1: Three groups of message passing time error sources: send delay, propagation delay, and receive delay.</w:t>
      </w:r>
    </w:p>
    <w:p>
      <w:pPr>
        <w:keepNext w:val="0"/>
        <w:keepLines w:val="0"/>
        <w:pageBreakBefore w:val="0"/>
        <w:widowControl/>
        <w:kinsoku/>
        <w:wordWrap/>
        <w:overflowPunct/>
        <w:topLinePunct w:val="0"/>
        <w:autoSpaceDE/>
        <w:autoSpaceDN/>
        <w:bidi w:val="0"/>
        <w:adjustRightInd/>
        <w:snapToGrid/>
        <w:ind w:firstLine="440" w:firstLineChars="200"/>
        <w:textAlignment w:val="auto"/>
        <w:rPr>
          <w:rFonts w:hint="eastAsia"/>
          <w:sz w:val="22"/>
          <w:szCs w:val="22"/>
          <w:lang w:val="en-US"/>
        </w:rPr>
      </w:pPr>
      <w:r>
        <w:rPr>
          <w:rFonts w:hint="eastAsia"/>
          <w:sz w:val="22"/>
          <w:szCs w:val="22"/>
          <w:lang w:val="en-US"/>
        </w:rPr>
        <w:t>In general, message transmission consists of deterministic errors and stochastic errors, which can be controlled within a certain range. Message transmission protocols are primarily designed to mitigate the adverse effects of message transmission errors, which depend on numerous sources</w:t>
      </w:r>
      <w:r>
        <w:rPr>
          <w:sz w:val="22"/>
          <w:szCs w:val="22"/>
          <w:lang w:val="en-US"/>
        </w:rPr>
        <w:t>.</w:t>
      </w:r>
    </w:p>
    <w:p>
      <w:pPr>
        <w:keepNext w:val="0"/>
        <w:keepLines w:val="0"/>
        <w:pageBreakBefore w:val="0"/>
        <w:widowControl/>
        <w:kinsoku/>
        <w:wordWrap/>
        <w:overflowPunct/>
        <w:topLinePunct w:val="0"/>
        <w:autoSpaceDE/>
        <w:autoSpaceDN/>
        <w:bidi w:val="0"/>
        <w:adjustRightInd/>
        <w:snapToGrid/>
        <w:ind w:firstLine="440" w:firstLineChars="200"/>
        <w:textAlignment w:val="auto"/>
        <w:rPr>
          <w:sz w:val="22"/>
          <w:szCs w:val="22"/>
          <w:lang w:val="en-US"/>
        </w:rPr>
      </w:pPr>
      <w:r>
        <w:rPr>
          <w:rFonts w:hint="eastAsia"/>
          <w:sz w:val="22"/>
          <w:szCs w:val="22"/>
          <w:lang w:val="en-US"/>
        </w:rPr>
        <w:t>The information obtained from message transmission error sources largely depends on the message transmission mode employed by the system. There are four well-known signaling schemes: bidirectional message exchange, unidirectional message exchange, receiver-only synchronization, and sender-only synchronization. These four types of message transmission schemes have different implications in terms of time synchronization accuracy, power consumption, and network topology. Unidirectional message propagation requires the least number of transmissions in the network and consumes less power</w:t>
      </w:r>
      <w:r>
        <w:rPr>
          <w:sz w:val="22"/>
          <w:szCs w:val="22"/>
          <w:lang w:val="en-US"/>
        </w:rPr>
        <w:t>.</w:t>
      </w:r>
    </w:p>
    <w:p>
      <w:pPr>
        <w:keepNext w:val="0"/>
        <w:keepLines w:val="0"/>
        <w:pageBreakBefore w:val="0"/>
        <w:widowControl/>
        <w:kinsoku/>
        <w:wordWrap/>
        <w:overflowPunct/>
        <w:topLinePunct w:val="0"/>
        <w:autoSpaceDE/>
        <w:autoSpaceDN/>
        <w:bidi w:val="0"/>
        <w:adjustRightInd/>
        <w:snapToGrid/>
        <w:ind w:firstLine="440" w:firstLineChars="200"/>
        <w:textAlignment w:val="auto"/>
        <w:rPr>
          <w:rFonts w:hint="eastAsia"/>
          <w:sz w:val="22"/>
          <w:szCs w:val="22"/>
          <w:lang w:val="en-US"/>
        </w:rPr>
      </w:pPr>
      <w:r>
        <w:rPr>
          <w:rFonts w:hint="eastAsia"/>
          <w:sz w:val="22"/>
          <w:szCs w:val="22"/>
          <w:lang w:val="en-US"/>
        </w:rPr>
        <w:t>Bidirectional message exchange provides the most information on clock parameters and achieves higher synchronization accuracy. However, each synchronization cycle requires two message exchanges, resulting in higher energy and computational demands, as well as paired operations.</w:t>
      </w:r>
    </w:p>
    <w:p>
      <w:pPr>
        <w:keepNext w:val="0"/>
        <w:keepLines w:val="0"/>
        <w:pageBreakBefore w:val="0"/>
        <w:widowControl/>
        <w:kinsoku/>
        <w:wordWrap/>
        <w:overflowPunct/>
        <w:topLinePunct w:val="0"/>
        <w:autoSpaceDE/>
        <w:autoSpaceDN/>
        <w:bidi w:val="0"/>
        <w:adjustRightInd/>
        <w:snapToGrid/>
        <w:ind w:firstLine="440" w:firstLineChars="200"/>
        <w:textAlignment w:val="auto"/>
        <w:rPr>
          <w:rFonts w:hint="eastAsia"/>
          <w:sz w:val="22"/>
          <w:szCs w:val="22"/>
          <w:lang w:val="en-US"/>
        </w:rPr>
      </w:pPr>
      <w:r>
        <w:rPr>
          <w:rFonts w:hint="eastAsia"/>
          <w:sz w:val="22"/>
          <w:szCs w:val="22"/>
          <w:lang w:val="en-US"/>
        </w:rPr>
        <w:t>Receiver-receiver synchronization schemes refer to methods or strategies in environmental IoT networks used to synchronize different receivers to ensure mutual alignment in time and frequency. This method can achieve higher precision but requires more energy and computational resources. The favorable properties of bidirectional message exchange and unidirectional message propagation are combined in receiver-only synchronization. This scheme has lower tolerance for node failures but lower power requirements, and achieves high synchronization accuracy. The characteristics of these four message exchange schemes imply that if one has the freedom to choose the message transmission scheme, decisions can be made based on given energy and computational resource budgets. However, for most IoT deployments, system designers must select off-the-shelf components integrated into the system. In this regard, another criterion to consider is the level of modification required for a system to comply with standards. For such deployments, receiver-receiver synchronization is an attractive option because it eliminates delays on the transmitter side without requiring special timestamps.</w:t>
      </w:r>
    </w:p>
    <w:p>
      <w:pPr>
        <w:keepNext w:val="0"/>
        <w:keepLines w:val="0"/>
        <w:pageBreakBefore w:val="0"/>
        <w:widowControl/>
        <w:kinsoku/>
        <w:wordWrap/>
        <w:overflowPunct/>
        <w:topLinePunct w:val="0"/>
        <w:autoSpaceDE/>
        <w:autoSpaceDN/>
        <w:bidi w:val="0"/>
        <w:adjustRightInd/>
        <w:snapToGrid/>
        <w:ind w:firstLine="440" w:firstLineChars="200"/>
        <w:textAlignment w:val="auto"/>
        <w:rPr>
          <w:rFonts w:hint="eastAsia"/>
          <w:sz w:val="22"/>
          <w:szCs w:val="22"/>
          <w:lang w:val="en-US"/>
        </w:rPr>
      </w:pPr>
      <w:r>
        <w:rPr>
          <w:rFonts w:hint="eastAsia"/>
          <w:sz w:val="22"/>
          <w:szCs w:val="22"/>
          <w:lang w:val="en-US"/>
        </w:rPr>
        <w:t>If some nodes can support more resources than others, receiver-only synchronization can be used. Bidirectional message exchange is the preferred scheme when deployments can support bidirectional message propagation. Therefore, IoT practitioners must take into account various practical factors such as multi-hop synchronization support when selecting message transmission schemes.</w:t>
      </w:r>
    </w:p>
    <w:p>
      <w:pPr>
        <w:keepNext w:val="0"/>
        <w:keepLines w:val="0"/>
        <w:pageBreakBefore w:val="0"/>
        <w:widowControl/>
        <w:kinsoku/>
        <w:wordWrap/>
        <w:overflowPunct/>
        <w:topLinePunct w:val="0"/>
        <w:autoSpaceDE/>
        <w:autoSpaceDN/>
        <w:bidi w:val="0"/>
        <w:adjustRightInd/>
        <w:snapToGrid/>
        <w:ind w:firstLine="440" w:firstLineChars="200"/>
        <w:textAlignment w:val="auto"/>
        <w:rPr>
          <w:rFonts w:hint="eastAsia"/>
          <w:sz w:val="22"/>
          <w:szCs w:val="22"/>
          <w:lang w:val="en-US"/>
        </w:rPr>
      </w:pPr>
      <w:r>
        <w:rPr>
          <w:rFonts w:hint="eastAsia"/>
          <w:sz w:val="22"/>
          <w:szCs w:val="22"/>
          <w:lang w:val="en-US"/>
        </w:rPr>
        <w:t>In multi-hop synchronization schemes, there are Cluster-Based Synchronization approaches, which achieve very simple network-wide time synchronization by forming synchronization node clusters around gateway nodes. There are also Spanning-Tree Based Synchronization schemes, as the complexity of cluster-based receiver-receiver multi-hop synchronization prompts researchers to seek smaller alternative solutions. In the work of Van Greunen and Rabaey, hierarchical trees of nodes are formed to achieve time-synchronized network operation. In this approach, the root node (possibly re-elected each time the synchronization protocol runs) initiates the synchronization process by synchronizing with its neighbors within communication range. Then, nodes synchronized with the root node synchronize their time to their child nodes, which cannot receive synchronization messages from the root node. This process continues until all nodes are synchronized with the root node. The described process disseminates the root node's reference time information throughout the network by forming hierarchical relationships of nodes. Flooding provides a simple way to achieve synchronization networks regardless of the message transmission scheme used to exchange time information. Tiny-Sync and Mini-Sync, Lightweight Time Synchronization (LTS), and Timing-sync Protocol for Sensor Networks (TPSN) use bidirectional message exchange; Spanning-Tree-based Energy-Efficient Time Synchronization (STETS) and its improved versions R-Sync and Self-Recoverable Time Synchronization (SRTS) adopt receiver-only schemes; and the Flooding Time Synchronization Protocol (FTSP), as the de facto standard synchronization protocol in wireless sensor network literature, employs unidirectional message propagation.</w:t>
      </w:r>
    </w:p>
    <w:p>
      <w:pPr>
        <w:rPr>
          <w:b/>
          <w:bCs/>
          <w:i/>
          <w:iCs/>
          <w:sz w:val="22"/>
          <w:szCs w:val="22"/>
        </w:rPr>
      </w:pPr>
      <w:r>
        <w:rPr>
          <w:b/>
          <w:bCs/>
          <w:i/>
          <w:iCs/>
          <w:sz w:val="22"/>
          <w:szCs w:val="22"/>
        </w:rPr>
        <w:t>Proposal 1: Taking into account the characteristics of the message passing schemes and practical needs, it is recommended for environmental Internet of Things deployments to adopt the receiver-receiver synchronization scheme to achieve lower power consumption and high synchronization precision.</w:t>
      </w:r>
    </w:p>
    <w:p>
      <w:pPr>
        <w:rPr>
          <w:sz w:val="22"/>
          <w:szCs w:val="22"/>
          <w:lang w:val="en-US"/>
        </w:rPr>
      </w:pPr>
      <w:r>
        <w:rPr>
          <w:sz w:val="22"/>
          <w:szCs w:val="22"/>
          <w:lang w:val="en-US"/>
        </w:rPr>
        <w:t>Other issues related to synchronization include:</w:t>
      </w:r>
    </w:p>
    <w:p>
      <w:pPr>
        <w:keepNext w:val="0"/>
        <w:keepLines w:val="0"/>
        <w:pageBreakBefore w:val="0"/>
        <w:widowControl/>
        <w:kinsoku/>
        <w:wordWrap/>
        <w:overflowPunct/>
        <w:topLinePunct w:val="0"/>
        <w:autoSpaceDE/>
        <w:autoSpaceDN/>
        <w:bidi w:val="0"/>
        <w:adjustRightInd/>
        <w:snapToGrid/>
        <w:ind w:firstLine="440" w:firstLineChars="200"/>
        <w:textAlignment w:val="auto"/>
        <w:rPr>
          <w:sz w:val="22"/>
          <w:szCs w:val="22"/>
          <w:lang w:val="en-US"/>
        </w:rPr>
      </w:pPr>
      <w:r>
        <w:rPr>
          <w:sz w:val="22"/>
          <w:szCs w:val="22"/>
          <w:lang w:val="en-US"/>
        </w:rPr>
        <w:t>In NR/LTE/NB-IoT systems, User Equipment (UE) can maintain synchronization with the network side by monitoring periodically transmitted synchronization signals (e.g., PSS/SSS/PBCH). For the uplink (UL), alignment of slot/symbol boundaries between the UE and the network side can be achieved by adopting appropriate Timing Advance (TA). However, in the context of environmental Internet of Things, especially for constrained Type I devices with peak power constraints of about 1µW, monitoring such periodic synchronization signals could lead to increased power consumption and may exceed the device's complexity limits. Therefore, maintaining long-term synchronization is a challenging task, at least for this type of device. Moreover, it seems unnecessary to introduce periodic signals for synchronization due to the pursuit of an air interface design coordinated between two types of devices</w:t>
      </w:r>
      <w:r>
        <w:rPr>
          <w:rFonts w:hint="eastAsia" w:eastAsia="宋体"/>
          <w:sz w:val="22"/>
          <w:szCs w:val="22"/>
          <w:lang w:val="en-US" w:eastAsia="zh-CN"/>
        </w:rPr>
        <w:t>[4]</w:t>
      </w:r>
      <w:bookmarkStart w:id="5" w:name="_GoBack"/>
      <w:bookmarkEnd w:id="5"/>
      <w:r>
        <w:rPr>
          <w:sz w:val="22"/>
          <w:szCs w:val="22"/>
          <w:lang w:val="en-US"/>
        </w:rPr>
        <w:t>.</w:t>
      </w:r>
    </w:p>
    <w:p>
      <w:pPr>
        <w:rPr>
          <w:rFonts w:hint="eastAsia"/>
          <w:b/>
          <w:bCs/>
          <w:i/>
          <w:iCs/>
          <w:sz w:val="22"/>
          <w:szCs w:val="22"/>
          <w:lang w:val="en-US"/>
        </w:rPr>
      </w:pPr>
      <w:r>
        <w:rPr>
          <w:b/>
          <w:bCs/>
          <w:i/>
          <w:iCs/>
          <w:sz w:val="22"/>
          <w:szCs w:val="22"/>
          <w:lang w:val="en-US"/>
        </w:rPr>
        <w:t>Proposal 2: Considering the power consumption and complexity constraints of Type I devices, it is not recommended to introduce periodic synchronization signals (such as PSS/SSS/PBCH) to maintain long-term synchronization.</w:t>
      </w:r>
    </w:p>
    <w:p>
      <w:pPr>
        <w:rPr>
          <w:rFonts w:hint="eastAsia"/>
          <w:b/>
          <w:bCs/>
          <w:i/>
          <w:iCs/>
          <w:sz w:val="22"/>
          <w:szCs w:val="22"/>
          <w:lang w:val="en-US"/>
        </w:rPr>
      </w:pPr>
      <w:r>
        <w:rPr>
          <w:b/>
          <w:bCs/>
          <w:i/>
          <w:iCs/>
          <w:sz w:val="22"/>
          <w:szCs w:val="22"/>
          <w:lang w:val="en-US"/>
        </w:rPr>
        <w:t>Proposal 3: For Type I devices, a short-term synchronization method similar to RFID could be considered, such as using predefined preambles/frame synchronization during transmission and reception processes to achieve alignment of transmit/receive timing.</w:t>
      </w:r>
    </w:p>
    <w:p>
      <w:pPr>
        <w:rPr>
          <w:rFonts w:hint="eastAsia"/>
          <w:b/>
          <w:bCs/>
          <w:i/>
          <w:iCs/>
          <w:sz w:val="22"/>
          <w:szCs w:val="22"/>
          <w:lang w:val="en-US"/>
        </w:rPr>
      </w:pPr>
      <w:r>
        <w:rPr>
          <w:b/>
          <w:bCs/>
          <w:i/>
          <w:iCs/>
          <w:sz w:val="22"/>
          <w:szCs w:val="22"/>
          <w:lang w:val="en-US"/>
        </w:rPr>
        <w:t>Proposal 4: RAN1 should investigate how to achieve timing alignment in the DL/UL transmission/reception processes in environmental IoT.</w:t>
      </w:r>
    </w:p>
    <w:p>
      <w:pPr>
        <w:rPr>
          <w:rFonts w:hint="eastAsia" w:ascii="Segoe UI" w:hAnsi="Segoe UI" w:cs="Segoe UI" w:eastAsiaTheme="minorEastAsia"/>
          <w:b/>
          <w:bCs/>
          <w:i/>
          <w:iCs/>
          <w:sz w:val="22"/>
          <w:szCs w:val="22"/>
          <w:lang w:val="en-US"/>
        </w:rPr>
      </w:pPr>
      <w:r>
        <w:rPr>
          <w:b/>
          <w:bCs/>
          <w:i/>
          <w:iCs/>
          <w:sz w:val="22"/>
          <w:szCs w:val="22"/>
          <w:lang w:val="en-US"/>
        </w:rPr>
        <w:t>Proposal 5: The introduction of UL and DL preambles/frame synchronization similar to those used in RFID could be considered. This could facilitate effective communication between environmental IoT devices and the network side while avoiding excessive impacts on device complexity and power consumption.</w:t>
      </w:r>
    </w:p>
    <w:p>
      <w:pPr>
        <w:pStyle w:val="52"/>
        <w:numPr>
          <w:ilvl w:val="0"/>
          <w:numId w:val="6"/>
        </w:numPr>
        <w:spacing w:line="288" w:lineRule="auto"/>
        <w:jc w:val="both"/>
        <w:rPr>
          <w:rFonts w:cs="Arial"/>
          <w:b/>
          <w:sz w:val="32"/>
          <w:szCs w:val="32"/>
        </w:rPr>
      </w:pPr>
      <w:r>
        <w:rPr>
          <w:rFonts w:cs="Arial"/>
          <w:b/>
          <w:sz w:val="32"/>
          <w:szCs w:val="32"/>
        </w:rPr>
        <w:t>References</w:t>
      </w:r>
    </w:p>
    <w:p>
      <w:pPr>
        <w:pStyle w:val="48"/>
        <w:numPr>
          <w:ilvl w:val="0"/>
          <w:numId w:val="7"/>
        </w:numPr>
        <w:tabs>
          <w:tab w:val="left" w:pos="360"/>
          <w:tab w:val="clear" w:pos="2061"/>
        </w:tabs>
        <w:ind w:left="360"/>
        <w:rPr>
          <w:rFonts w:hint="eastAsia"/>
          <w:sz w:val="24"/>
          <w:szCs w:val="24"/>
        </w:rPr>
      </w:pPr>
      <w:bookmarkStart w:id="2" w:name="_Ref155353773"/>
      <w:r>
        <w:rPr>
          <w:rFonts w:hint="eastAsia"/>
          <w:sz w:val="24"/>
          <w:szCs w:val="24"/>
        </w:rPr>
        <w:t xml:space="preserve"> Khan, O.; Burnett, D.C.; Maksimovic, F.; Wheeler, B.; Mesri, S.; Sundararajan, A.; Zhou, B.L.; Niknejad,</w:t>
      </w:r>
      <w:r>
        <w:rPr>
          <w:rFonts w:hint="eastAsia"/>
          <w:sz w:val="24"/>
          <w:szCs w:val="24"/>
          <w:lang w:val="en-US" w:eastAsia="zh-CN"/>
        </w:rPr>
        <w:t xml:space="preserve"> </w:t>
      </w:r>
      <w:r>
        <w:rPr>
          <w:rFonts w:hint="eastAsia"/>
          <w:sz w:val="24"/>
          <w:szCs w:val="24"/>
        </w:rPr>
        <w:t>A.M.; Pister, K.S.J. Time Keeping Ability of Crystal-Free Radios. IEEE Internet Things J. 2019, 6, 2390–2399.</w:t>
      </w:r>
      <w:bookmarkEnd w:id="2"/>
      <w:bookmarkStart w:id="3" w:name="_Ref155593651"/>
    </w:p>
    <w:p>
      <w:pPr>
        <w:pStyle w:val="48"/>
        <w:numPr>
          <w:ilvl w:val="0"/>
          <w:numId w:val="7"/>
        </w:numPr>
        <w:tabs>
          <w:tab w:val="left" w:pos="360"/>
          <w:tab w:val="clear" w:pos="2061"/>
        </w:tabs>
        <w:ind w:left="360"/>
        <w:rPr>
          <w:sz w:val="24"/>
          <w:szCs w:val="24"/>
        </w:rPr>
      </w:pPr>
      <w:r>
        <w:rPr>
          <w:rFonts w:hint="eastAsia"/>
          <w:sz w:val="24"/>
          <w:szCs w:val="24"/>
        </w:rPr>
        <w:t>Suciu, I.; Maksimovic, F.; Burnett, D.; Khan, O.; Wheeler, B.; Sundararajan, A.; Watteyne, T.; Vilajosana, X.;Pister, K. Experimental Clock Calibration on a Crystal-Free Mote-on-a-Chip. In Proceedings of the IEEEINFOCOM 2019—IEEE Conference on Computer Communications Workshops (INFOCOM WKSHPS), Paris,France, 29 April–2 May 2019; pp. 608–613.</w:t>
      </w:r>
      <w:r>
        <w:rPr>
          <w:sz w:val="24"/>
          <w:szCs w:val="24"/>
        </w:rPr>
        <w:t>)</w:t>
      </w:r>
      <w:bookmarkEnd w:id="3"/>
      <w:bookmarkStart w:id="4" w:name="_Ref157427731"/>
      <w:r>
        <w:rPr>
          <w:sz w:val="24"/>
          <w:szCs w:val="24"/>
        </w:rPr>
        <w:t xml:space="preserve">“EPC Radio-Frequency Identity Protocols Generation-2 UHF RFID Specification for RFID Air Interface Protocol for Communications at 860 MHz – 960 MHz”, Version 2.0.1 Ratified. </w:t>
      </w:r>
      <w:bookmarkEnd w:id="4"/>
    </w:p>
    <w:p>
      <w:pPr>
        <w:pStyle w:val="48"/>
        <w:numPr>
          <w:ilvl w:val="0"/>
          <w:numId w:val="7"/>
        </w:numPr>
        <w:tabs>
          <w:tab w:val="left" w:pos="360"/>
          <w:tab w:val="clear" w:pos="2061"/>
        </w:tabs>
        <w:ind w:left="360"/>
        <w:rPr>
          <w:rFonts w:hint="eastAsia"/>
          <w:sz w:val="24"/>
          <w:szCs w:val="24"/>
        </w:rPr>
      </w:pPr>
      <w:r>
        <w:rPr>
          <w:rFonts w:hint="eastAsia"/>
          <w:sz w:val="24"/>
          <w:szCs w:val="24"/>
        </w:rPr>
        <w:t>Elson, J.; Girod, L.; Estrin, D. Fine-grained network time synchronization using reference broadcasts.ACM SIGOPS Oper. Syst. Rev. 2002, 36, 147–163.</w:t>
      </w:r>
    </w:p>
    <w:p>
      <w:pPr>
        <w:ind w:left="480" w:hanging="480" w:hangingChars="200"/>
        <w:rPr>
          <w:rFonts w:hint="default" w:eastAsia="宋体"/>
          <w:lang w:val="en-US" w:eastAsia="zh-CN"/>
        </w:rPr>
      </w:pPr>
      <w:r>
        <w:rPr>
          <w:rFonts w:hint="eastAsia" w:eastAsia="宋体"/>
          <w:lang w:val="en-US" w:eastAsia="zh-CN"/>
        </w:rPr>
        <w:t>[4] Jain, S.; Sharma, Y. Optimal performance reference broadcast synchronization (OPRBS) for time synchronization in wireless sensor networks. In Proceedings of the International Conference on Computer,Communication and Electrical Technology (ICCCET), Tamilnadu, India, 18–19 March 2011; pp. 171–175.</w:t>
      </w:r>
    </w:p>
    <w:p>
      <w:pPr>
        <w:rPr>
          <w:rFonts w:hint="default" w:eastAsia="宋体"/>
          <w:lang w:val="en-US" w:eastAsia="zh-CN"/>
        </w:rPr>
      </w:pPr>
    </w:p>
    <w:p>
      <w:pPr>
        <w:ind w:left="480" w:hanging="480" w:hangingChars="200"/>
        <w:rPr>
          <w:rFonts w:hint="default" w:eastAsia="宋体"/>
          <w:lang w:val="en-US" w:eastAsia="zh-CN"/>
        </w:rPr>
      </w:pPr>
    </w:p>
    <w:sectPr>
      <w:footnotePr>
        <w:numRestart w:val="eachSect"/>
      </w:footnotePr>
      <w:pgSz w:w="11907" w:h="16840"/>
      <w:pgMar w:top="1411" w:right="1138" w:bottom="1138" w:left="1138" w:header="850" w:footer="346"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12"/>
      <w:lvlText w:val=""/>
      <w:lvlJc w:val="left"/>
      <w:pPr>
        <w:tabs>
          <w:tab w:val="left" w:pos="360"/>
        </w:tabs>
        <w:ind w:left="360" w:hanging="360"/>
      </w:pPr>
      <w:rPr>
        <w:rFonts w:hint="default" w:ascii="Symbol" w:hAnsi="Symbol"/>
      </w:rPr>
    </w:lvl>
  </w:abstractNum>
  <w:abstractNum w:abstractNumId="1">
    <w:nsid w:val="FFFFFFFE"/>
    <w:multiLevelType w:val="singleLevel"/>
    <w:tmpl w:val="FFFFFFFE"/>
    <w:lvl w:ilvl="0" w:tentative="0">
      <w:start w:val="0"/>
      <w:numFmt w:val="decimal"/>
      <w:lvlText w:val="*"/>
      <w:lvlJc w:val="left"/>
    </w:lvl>
  </w:abstractNum>
  <w:abstractNum w:abstractNumId="2">
    <w:nsid w:val="3A877D64"/>
    <w:multiLevelType w:val="singleLevel"/>
    <w:tmpl w:val="3A877D64"/>
    <w:lvl w:ilvl="0" w:tentative="0">
      <w:start w:val="1"/>
      <w:numFmt w:val="decimal"/>
      <w:lvlText w:val="[%1]"/>
      <w:lvlJc w:val="left"/>
      <w:pPr>
        <w:tabs>
          <w:tab w:val="left" w:pos="2061"/>
        </w:tabs>
        <w:ind w:left="2061" w:hanging="360"/>
      </w:pPr>
    </w:lvl>
  </w:abstractNum>
  <w:abstractNum w:abstractNumId="3">
    <w:nsid w:val="43FF5F2B"/>
    <w:multiLevelType w:val="multilevel"/>
    <w:tmpl w:val="43FF5F2B"/>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3978"/>
        </w:tabs>
        <w:ind w:left="3978" w:hanging="576"/>
      </w:pPr>
      <w:rPr>
        <w:rFonts w:hint="default"/>
      </w:rPr>
    </w:lvl>
    <w:lvl w:ilvl="2" w:tentative="0">
      <w:start w:val="1"/>
      <w:numFmt w:val="decimal"/>
      <w:lvlText w:val="%1.%2.%3"/>
      <w:lvlJc w:val="left"/>
      <w:pPr>
        <w:tabs>
          <w:tab w:val="left" w:pos="720"/>
        </w:tabs>
        <w:ind w:left="720" w:hanging="720"/>
      </w:pPr>
      <w:rPr>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lvlText w:val="%1.%2.%3.%4"/>
      <w:lvlJc w:val="left"/>
      <w:pPr>
        <w:tabs>
          <w:tab w:val="left" w:pos="864"/>
        </w:tabs>
        <w:ind w:left="864" w:hanging="864"/>
      </w:pPr>
      <w:rPr>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4" w:tentative="0">
      <w:start w:val="1"/>
      <w:numFmt w:val="decimal"/>
      <w:lvlText w:val="%1.%2.%3.%4.%5"/>
      <w:lvlJc w:val="left"/>
      <w:pPr>
        <w:tabs>
          <w:tab w:val="left" w:pos="2988"/>
        </w:tabs>
        <w:ind w:left="2988" w:hanging="1008"/>
      </w:pPr>
      <w:rPr>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5" w:tentative="0">
      <w:start w:val="1"/>
      <w:numFmt w:val="decimal"/>
      <w:lvlText w:val="%1.%2.%3.%4.%5.%6"/>
      <w:lvlJc w:val="left"/>
      <w:pPr>
        <w:tabs>
          <w:tab w:val="left" w:pos="1152"/>
        </w:tabs>
        <w:ind w:left="1152" w:hanging="1152"/>
      </w:pPr>
      <w:rPr>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4A55685D"/>
    <w:multiLevelType w:val="singleLevel"/>
    <w:tmpl w:val="4A55685D"/>
    <w:lvl w:ilvl="0" w:tentative="0">
      <w:start w:val="1"/>
      <w:numFmt w:val="bullet"/>
      <w:pStyle w:val="44"/>
      <w:lvlText w:val=""/>
      <w:lvlJc w:val="left"/>
      <w:pPr>
        <w:tabs>
          <w:tab w:val="left" w:pos="992"/>
        </w:tabs>
        <w:ind w:left="992" w:hanging="425"/>
      </w:pPr>
      <w:rPr>
        <w:rFonts w:hint="default" w:ascii="Symbol" w:hAnsi="Symbol"/>
      </w:rPr>
    </w:lvl>
  </w:abstractNum>
  <w:abstractNum w:abstractNumId="6">
    <w:nsid w:val="7BC330F5"/>
    <w:multiLevelType w:val="multilevel"/>
    <w:tmpl w:val="7BC330F5"/>
    <w:lvl w:ilvl="0" w:tentative="0">
      <w:start w:val="1"/>
      <w:numFmt w:val="bullet"/>
      <w:pStyle w:val="4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lvlOverride w:ilvl="0">
      <w:lvl w:ilvl="0" w:tentative="1">
        <w:start w:val="1"/>
        <w:numFmt w:val="bullet"/>
        <w:pStyle w:val="45"/>
        <w:lvlText w:val=""/>
        <w:legacy w:legacy="1" w:legacySpace="0" w:legacyIndent="283"/>
        <w:lvlJc w:val="left"/>
        <w:pPr>
          <w:ind w:left="567" w:hanging="283"/>
        </w:pPr>
        <w:rPr>
          <w:rFonts w:hint="default" w:ascii="Symbol" w:hAnsi="Symbol"/>
        </w:rPr>
      </w:lvl>
    </w:lvlOverride>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ExZDAwYWYyOWQzYTYxNDJhMzY2Mjg2MzhhYjE5N2IifQ=="/>
  </w:docVars>
  <w:rsids>
    <w:rsidRoot w:val="00CA46B7"/>
    <w:rsid w:val="000010ED"/>
    <w:rsid w:val="00002327"/>
    <w:rsid w:val="00013FCC"/>
    <w:rsid w:val="0001569C"/>
    <w:rsid w:val="00015870"/>
    <w:rsid w:val="0002411C"/>
    <w:rsid w:val="00027771"/>
    <w:rsid w:val="0003009D"/>
    <w:rsid w:val="0003303C"/>
    <w:rsid w:val="00034225"/>
    <w:rsid w:val="0004051B"/>
    <w:rsid w:val="0004650E"/>
    <w:rsid w:val="00053D33"/>
    <w:rsid w:val="00055088"/>
    <w:rsid w:val="00057366"/>
    <w:rsid w:val="00057477"/>
    <w:rsid w:val="00063265"/>
    <w:rsid w:val="00066CD0"/>
    <w:rsid w:val="0007246F"/>
    <w:rsid w:val="00073D33"/>
    <w:rsid w:val="000761EC"/>
    <w:rsid w:val="00077ECA"/>
    <w:rsid w:val="00082A87"/>
    <w:rsid w:val="000947EA"/>
    <w:rsid w:val="000A2B49"/>
    <w:rsid w:val="000B173A"/>
    <w:rsid w:val="000B1C4C"/>
    <w:rsid w:val="000B2E2D"/>
    <w:rsid w:val="000B611F"/>
    <w:rsid w:val="000B654B"/>
    <w:rsid w:val="000B7B59"/>
    <w:rsid w:val="000C12DE"/>
    <w:rsid w:val="000C53EB"/>
    <w:rsid w:val="000C574C"/>
    <w:rsid w:val="000D2F24"/>
    <w:rsid w:val="000F0C32"/>
    <w:rsid w:val="000F6DB0"/>
    <w:rsid w:val="000F6E1D"/>
    <w:rsid w:val="0010201D"/>
    <w:rsid w:val="0010227F"/>
    <w:rsid w:val="00103B90"/>
    <w:rsid w:val="00107286"/>
    <w:rsid w:val="001170DF"/>
    <w:rsid w:val="00122D64"/>
    <w:rsid w:val="0012665C"/>
    <w:rsid w:val="001273C9"/>
    <w:rsid w:val="00152503"/>
    <w:rsid w:val="001535C3"/>
    <w:rsid w:val="00154C2C"/>
    <w:rsid w:val="00156542"/>
    <w:rsid w:val="00157A93"/>
    <w:rsid w:val="00157D3E"/>
    <w:rsid w:val="00163B83"/>
    <w:rsid w:val="001663B1"/>
    <w:rsid w:val="00172372"/>
    <w:rsid w:val="00175303"/>
    <w:rsid w:val="00187DB1"/>
    <w:rsid w:val="001957E5"/>
    <w:rsid w:val="00195F89"/>
    <w:rsid w:val="001A0CC5"/>
    <w:rsid w:val="001A411B"/>
    <w:rsid w:val="001B1290"/>
    <w:rsid w:val="001B3C6E"/>
    <w:rsid w:val="001B42DB"/>
    <w:rsid w:val="001B5A93"/>
    <w:rsid w:val="001B7145"/>
    <w:rsid w:val="001B74A7"/>
    <w:rsid w:val="001B7AEA"/>
    <w:rsid w:val="001C2CA8"/>
    <w:rsid w:val="001C4CF4"/>
    <w:rsid w:val="001E1018"/>
    <w:rsid w:val="001E4165"/>
    <w:rsid w:val="001E62F1"/>
    <w:rsid w:val="001F2496"/>
    <w:rsid w:val="001F6BCD"/>
    <w:rsid w:val="00203633"/>
    <w:rsid w:val="00205096"/>
    <w:rsid w:val="0021072F"/>
    <w:rsid w:val="0021134D"/>
    <w:rsid w:val="00212294"/>
    <w:rsid w:val="00214E95"/>
    <w:rsid w:val="002214D7"/>
    <w:rsid w:val="00222C74"/>
    <w:rsid w:val="00223472"/>
    <w:rsid w:val="00227BD1"/>
    <w:rsid w:val="0023119D"/>
    <w:rsid w:val="00234796"/>
    <w:rsid w:val="00235EB5"/>
    <w:rsid w:val="002403A5"/>
    <w:rsid w:val="002405DE"/>
    <w:rsid w:val="00243031"/>
    <w:rsid w:val="00246719"/>
    <w:rsid w:val="00247824"/>
    <w:rsid w:val="00251490"/>
    <w:rsid w:val="00253327"/>
    <w:rsid w:val="002534CB"/>
    <w:rsid w:val="002577BC"/>
    <w:rsid w:val="002624F7"/>
    <w:rsid w:val="00262EFB"/>
    <w:rsid w:val="002666F8"/>
    <w:rsid w:val="0027246C"/>
    <w:rsid w:val="002732CD"/>
    <w:rsid w:val="00283BE2"/>
    <w:rsid w:val="0028407A"/>
    <w:rsid w:val="002872C1"/>
    <w:rsid w:val="00292A68"/>
    <w:rsid w:val="00294279"/>
    <w:rsid w:val="002952F6"/>
    <w:rsid w:val="00295F53"/>
    <w:rsid w:val="002963AB"/>
    <w:rsid w:val="00296A3A"/>
    <w:rsid w:val="002A0C67"/>
    <w:rsid w:val="002A59C2"/>
    <w:rsid w:val="002A641D"/>
    <w:rsid w:val="002B0EC8"/>
    <w:rsid w:val="002B63D5"/>
    <w:rsid w:val="002C0010"/>
    <w:rsid w:val="002D56DF"/>
    <w:rsid w:val="002D606A"/>
    <w:rsid w:val="002D6840"/>
    <w:rsid w:val="002E0AD1"/>
    <w:rsid w:val="0030708F"/>
    <w:rsid w:val="00321C3A"/>
    <w:rsid w:val="0032661C"/>
    <w:rsid w:val="0032783B"/>
    <w:rsid w:val="00327972"/>
    <w:rsid w:val="003332C9"/>
    <w:rsid w:val="00333D2D"/>
    <w:rsid w:val="0034119B"/>
    <w:rsid w:val="00341A2E"/>
    <w:rsid w:val="003445C0"/>
    <w:rsid w:val="003458EF"/>
    <w:rsid w:val="003511BA"/>
    <w:rsid w:val="00351A22"/>
    <w:rsid w:val="00364DC4"/>
    <w:rsid w:val="00365AF8"/>
    <w:rsid w:val="003821FC"/>
    <w:rsid w:val="00391DB4"/>
    <w:rsid w:val="00395943"/>
    <w:rsid w:val="003A4EED"/>
    <w:rsid w:val="003B09E8"/>
    <w:rsid w:val="003B34BE"/>
    <w:rsid w:val="003B4522"/>
    <w:rsid w:val="003B508E"/>
    <w:rsid w:val="003C1F0F"/>
    <w:rsid w:val="003C49FB"/>
    <w:rsid w:val="003C6BC5"/>
    <w:rsid w:val="003D16E8"/>
    <w:rsid w:val="003D3B74"/>
    <w:rsid w:val="003D4D97"/>
    <w:rsid w:val="003E03A8"/>
    <w:rsid w:val="003E16F1"/>
    <w:rsid w:val="003E185F"/>
    <w:rsid w:val="003E6405"/>
    <w:rsid w:val="003F2076"/>
    <w:rsid w:val="003F5371"/>
    <w:rsid w:val="00405042"/>
    <w:rsid w:val="0040548F"/>
    <w:rsid w:val="004102FB"/>
    <w:rsid w:val="004104E0"/>
    <w:rsid w:val="00417F12"/>
    <w:rsid w:val="00426C7A"/>
    <w:rsid w:val="004335C2"/>
    <w:rsid w:val="0043373B"/>
    <w:rsid w:val="00437D22"/>
    <w:rsid w:val="00440DE0"/>
    <w:rsid w:val="004456E1"/>
    <w:rsid w:val="00447EBE"/>
    <w:rsid w:val="00451468"/>
    <w:rsid w:val="00451C1A"/>
    <w:rsid w:val="00452085"/>
    <w:rsid w:val="004528DE"/>
    <w:rsid w:val="00455120"/>
    <w:rsid w:val="00455C54"/>
    <w:rsid w:val="00455FCD"/>
    <w:rsid w:val="00456C55"/>
    <w:rsid w:val="004576D1"/>
    <w:rsid w:val="00466977"/>
    <w:rsid w:val="004708A9"/>
    <w:rsid w:val="004763A3"/>
    <w:rsid w:val="0048408A"/>
    <w:rsid w:val="00484611"/>
    <w:rsid w:val="00490309"/>
    <w:rsid w:val="004941CE"/>
    <w:rsid w:val="00495346"/>
    <w:rsid w:val="0049538E"/>
    <w:rsid w:val="004B3D5A"/>
    <w:rsid w:val="004B43DC"/>
    <w:rsid w:val="004B4E3C"/>
    <w:rsid w:val="004C069D"/>
    <w:rsid w:val="004C3415"/>
    <w:rsid w:val="004D1106"/>
    <w:rsid w:val="004D4088"/>
    <w:rsid w:val="004D4156"/>
    <w:rsid w:val="004E1A12"/>
    <w:rsid w:val="004E4322"/>
    <w:rsid w:val="004E5134"/>
    <w:rsid w:val="004E7891"/>
    <w:rsid w:val="004F5186"/>
    <w:rsid w:val="004F57F3"/>
    <w:rsid w:val="004F6564"/>
    <w:rsid w:val="004F7AE0"/>
    <w:rsid w:val="00501615"/>
    <w:rsid w:val="00511B02"/>
    <w:rsid w:val="00513E59"/>
    <w:rsid w:val="00521D5D"/>
    <w:rsid w:val="00527D13"/>
    <w:rsid w:val="005309CE"/>
    <w:rsid w:val="0053302D"/>
    <w:rsid w:val="00534F63"/>
    <w:rsid w:val="00541627"/>
    <w:rsid w:val="00541F74"/>
    <w:rsid w:val="00542379"/>
    <w:rsid w:val="00545ADA"/>
    <w:rsid w:val="00555316"/>
    <w:rsid w:val="00556722"/>
    <w:rsid w:val="005632FD"/>
    <w:rsid w:val="0056606E"/>
    <w:rsid w:val="0056638A"/>
    <w:rsid w:val="00571412"/>
    <w:rsid w:val="005742EF"/>
    <w:rsid w:val="00574706"/>
    <w:rsid w:val="005749B3"/>
    <w:rsid w:val="00580DE8"/>
    <w:rsid w:val="00581633"/>
    <w:rsid w:val="00582D8A"/>
    <w:rsid w:val="00586C5F"/>
    <w:rsid w:val="0059180A"/>
    <w:rsid w:val="00593B2C"/>
    <w:rsid w:val="005A2610"/>
    <w:rsid w:val="005A5F85"/>
    <w:rsid w:val="005A7E49"/>
    <w:rsid w:val="005B4013"/>
    <w:rsid w:val="005C1857"/>
    <w:rsid w:val="005C33D2"/>
    <w:rsid w:val="005D34A5"/>
    <w:rsid w:val="005D6081"/>
    <w:rsid w:val="005D7D50"/>
    <w:rsid w:val="005E12FE"/>
    <w:rsid w:val="005E2C41"/>
    <w:rsid w:val="005E4A3E"/>
    <w:rsid w:val="005E700E"/>
    <w:rsid w:val="006044CF"/>
    <w:rsid w:val="00607426"/>
    <w:rsid w:val="00610785"/>
    <w:rsid w:val="00622575"/>
    <w:rsid w:val="0062399D"/>
    <w:rsid w:val="00624BA3"/>
    <w:rsid w:val="00631B54"/>
    <w:rsid w:val="00634F36"/>
    <w:rsid w:val="00635C4F"/>
    <w:rsid w:val="00635EF8"/>
    <w:rsid w:val="00637847"/>
    <w:rsid w:val="00640011"/>
    <w:rsid w:val="006465DF"/>
    <w:rsid w:val="0064771C"/>
    <w:rsid w:val="0065357D"/>
    <w:rsid w:val="00660435"/>
    <w:rsid w:val="00661B26"/>
    <w:rsid w:val="00661CFE"/>
    <w:rsid w:val="0066435A"/>
    <w:rsid w:val="00670008"/>
    <w:rsid w:val="0067286F"/>
    <w:rsid w:val="00677407"/>
    <w:rsid w:val="00682307"/>
    <w:rsid w:val="006826E0"/>
    <w:rsid w:val="006829F9"/>
    <w:rsid w:val="00683DB5"/>
    <w:rsid w:val="0068581C"/>
    <w:rsid w:val="006931EA"/>
    <w:rsid w:val="0069694C"/>
    <w:rsid w:val="006B10B2"/>
    <w:rsid w:val="006B4F9B"/>
    <w:rsid w:val="006B5582"/>
    <w:rsid w:val="006C0237"/>
    <w:rsid w:val="006C0391"/>
    <w:rsid w:val="006C1877"/>
    <w:rsid w:val="006C3AC5"/>
    <w:rsid w:val="006C58D5"/>
    <w:rsid w:val="006E0811"/>
    <w:rsid w:val="006E1786"/>
    <w:rsid w:val="006E76E1"/>
    <w:rsid w:val="006F0ED3"/>
    <w:rsid w:val="006F15A3"/>
    <w:rsid w:val="006F1968"/>
    <w:rsid w:val="006F1F29"/>
    <w:rsid w:val="006F360D"/>
    <w:rsid w:val="006F4CF7"/>
    <w:rsid w:val="006F5E9E"/>
    <w:rsid w:val="00701875"/>
    <w:rsid w:val="00701E90"/>
    <w:rsid w:val="00705D35"/>
    <w:rsid w:val="00707124"/>
    <w:rsid w:val="0071776F"/>
    <w:rsid w:val="007330A1"/>
    <w:rsid w:val="00741A72"/>
    <w:rsid w:val="00742647"/>
    <w:rsid w:val="0074429C"/>
    <w:rsid w:val="00746B75"/>
    <w:rsid w:val="00746C4C"/>
    <w:rsid w:val="00751CF1"/>
    <w:rsid w:val="00754342"/>
    <w:rsid w:val="00755631"/>
    <w:rsid w:val="007604E8"/>
    <w:rsid w:val="00764065"/>
    <w:rsid w:val="00765F32"/>
    <w:rsid w:val="00770BA4"/>
    <w:rsid w:val="0077202E"/>
    <w:rsid w:val="007751C5"/>
    <w:rsid w:val="00776A43"/>
    <w:rsid w:val="007779C3"/>
    <w:rsid w:val="007A08D5"/>
    <w:rsid w:val="007A126A"/>
    <w:rsid w:val="007A6B2C"/>
    <w:rsid w:val="007B0399"/>
    <w:rsid w:val="007B4DCD"/>
    <w:rsid w:val="007B7C77"/>
    <w:rsid w:val="007C0662"/>
    <w:rsid w:val="007C2949"/>
    <w:rsid w:val="007C5170"/>
    <w:rsid w:val="007C769D"/>
    <w:rsid w:val="007D19A4"/>
    <w:rsid w:val="007D58AE"/>
    <w:rsid w:val="007D7554"/>
    <w:rsid w:val="007E1FBC"/>
    <w:rsid w:val="007E5861"/>
    <w:rsid w:val="007E7B20"/>
    <w:rsid w:val="007F00FC"/>
    <w:rsid w:val="007F2CFB"/>
    <w:rsid w:val="007F5091"/>
    <w:rsid w:val="007F7EEC"/>
    <w:rsid w:val="0080186C"/>
    <w:rsid w:val="00804C52"/>
    <w:rsid w:val="00804F1F"/>
    <w:rsid w:val="00810A05"/>
    <w:rsid w:val="00811D4B"/>
    <w:rsid w:val="008127F3"/>
    <w:rsid w:val="0081705E"/>
    <w:rsid w:val="0082032C"/>
    <w:rsid w:val="00821C82"/>
    <w:rsid w:val="00827384"/>
    <w:rsid w:val="008310A1"/>
    <w:rsid w:val="00831606"/>
    <w:rsid w:val="008324AB"/>
    <w:rsid w:val="0083264F"/>
    <w:rsid w:val="00835E2A"/>
    <w:rsid w:val="00841467"/>
    <w:rsid w:val="00842E4B"/>
    <w:rsid w:val="00843A30"/>
    <w:rsid w:val="00847B35"/>
    <w:rsid w:val="00847CF4"/>
    <w:rsid w:val="00855AB6"/>
    <w:rsid w:val="00861982"/>
    <w:rsid w:val="00870923"/>
    <w:rsid w:val="00870B8F"/>
    <w:rsid w:val="00880740"/>
    <w:rsid w:val="00881614"/>
    <w:rsid w:val="008833A5"/>
    <w:rsid w:val="0088575D"/>
    <w:rsid w:val="008947DC"/>
    <w:rsid w:val="00896201"/>
    <w:rsid w:val="008A0429"/>
    <w:rsid w:val="008A057E"/>
    <w:rsid w:val="008A1F83"/>
    <w:rsid w:val="008A6308"/>
    <w:rsid w:val="008B06A5"/>
    <w:rsid w:val="008B2749"/>
    <w:rsid w:val="008C2B17"/>
    <w:rsid w:val="008C4313"/>
    <w:rsid w:val="008C4375"/>
    <w:rsid w:val="008C4B90"/>
    <w:rsid w:val="008C5379"/>
    <w:rsid w:val="008C720F"/>
    <w:rsid w:val="008D639D"/>
    <w:rsid w:val="008E157C"/>
    <w:rsid w:val="008F3E86"/>
    <w:rsid w:val="008F6AA6"/>
    <w:rsid w:val="00901066"/>
    <w:rsid w:val="009018BF"/>
    <w:rsid w:val="00902E04"/>
    <w:rsid w:val="00905A83"/>
    <w:rsid w:val="0090605D"/>
    <w:rsid w:val="00907BF7"/>
    <w:rsid w:val="009135CE"/>
    <w:rsid w:val="00917494"/>
    <w:rsid w:val="0092436A"/>
    <w:rsid w:val="00927470"/>
    <w:rsid w:val="00932F2A"/>
    <w:rsid w:val="009335AE"/>
    <w:rsid w:val="00934079"/>
    <w:rsid w:val="00934A0A"/>
    <w:rsid w:val="00934FF8"/>
    <w:rsid w:val="00941D9F"/>
    <w:rsid w:val="009422ED"/>
    <w:rsid w:val="009478DE"/>
    <w:rsid w:val="009503DE"/>
    <w:rsid w:val="009530DD"/>
    <w:rsid w:val="009544A7"/>
    <w:rsid w:val="00954ED0"/>
    <w:rsid w:val="00957B6C"/>
    <w:rsid w:val="00962296"/>
    <w:rsid w:val="009651C9"/>
    <w:rsid w:val="00966C90"/>
    <w:rsid w:val="0097205B"/>
    <w:rsid w:val="00972A2C"/>
    <w:rsid w:val="00975D65"/>
    <w:rsid w:val="00985B45"/>
    <w:rsid w:val="0099126D"/>
    <w:rsid w:val="00992DCC"/>
    <w:rsid w:val="00996C27"/>
    <w:rsid w:val="009A0B6B"/>
    <w:rsid w:val="009A2EFF"/>
    <w:rsid w:val="009A7A99"/>
    <w:rsid w:val="009B2694"/>
    <w:rsid w:val="009B3DCF"/>
    <w:rsid w:val="009B5312"/>
    <w:rsid w:val="009B6630"/>
    <w:rsid w:val="009B75B5"/>
    <w:rsid w:val="009C0F57"/>
    <w:rsid w:val="009C60E2"/>
    <w:rsid w:val="009D0E03"/>
    <w:rsid w:val="009D4AE0"/>
    <w:rsid w:val="009D72B4"/>
    <w:rsid w:val="009E2A77"/>
    <w:rsid w:val="009E57D3"/>
    <w:rsid w:val="009E59BE"/>
    <w:rsid w:val="009F296C"/>
    <w:rsid w:val="009F732C"/>
    <w:rsid w:val="00A01B41"/>
    <w:rsid w:val="00A03B80"/>
    <w:rsid w:val="00A0426F"/>
    <w:rsid w:val="00A05CE1"/>
    <w:rsid w:val="00A0618D"/>
    <w:rsid w:val="00A06C0F"/>
    <w:rsid w:val="00A14722"/>
    <w:rsid w:val="00A14B4D"/>
    <w:rsid w:val="00A14DE5"/>
    <w:rsid w:val="00A15497"/>
    <w:rsid w:val="00A2083A"/>
    <w:rsid w:val="00A211FC"/>
    <w:rsid w:val="00A30AF7"/>
    <w:rsid w:val="00A321DA"/>
    <w:rsid w:val="00A32625"/>
    <w:rsid w:val="00A37A59"/>
    <w:rsid w:val="00A419DD"/>
    <w:rsid w:val="00A42CD8"/>
    <w:rsid w:val="00A454D8"/>
    <w:rsid w:val="00A469B7"/>
    <w:rsid w:val="00A46C16"/>
    <w:rsid w:val="00A4791F"/>
    <w:rsid w:val="00A55477"/>
    <w:rsid w:val="00A60D4A"/>
    <w:rsid w:val="00A61285"/>
    <w:rsid w:val="00A6228F"/>
    <w:rsid w:val="00A6358E"/>
    <w:rsid w:val="00A659DA"/>
    <w:rsid w:val="00A6635E"/>
    <w:rsid w:val="00A676A8"/>
    <w:rsid w:val="00A7217D"/>
    <w:rsid w:val="00A729B8"/>
    <w:rsid w:val="00A74D00"/>
    <w:rsid w:val="00A74DA7"/>
    <w:rsid w:val="00A800B1"/>
    <w:rsid w:val="00A80404"/>
    <w:rsid w:val="00A87506"/>
    <w:rsid w:val="00A93750"/>
    <w:rsid w:val="00AA335E"/>
    <w:rsid w:val="00AA365A"/>
    <w:rsid w:val="00AB1CB8"/>
    <w:rsid w:val="00AC2087"/>
    <w:rsid w:val="00AC2DE6"/>
    <w:rsid w:val="00AC3D17"/>
    <w:rsid w:val="00AD4143"/>
    <w:rsid w:val="00AD4261"/>
    <w:rsid w:val="00AF1C7C"/>
    <w:rsid w:val="00AF1CC2"/>
    <w:rsid w:val="00AF3053"/>
    <w:rsid w:val="00B0203F"/>
    <w:rsid w:val="00B10D6E"/>
    <w:rsid w:val="00B14699"/>
    <w:rsid w:val="00B154B6"/>
    <w:rsid w:val="00B2110C"/>
    <w:rsid w:val="00B226DD"/>
    <w:rsid w:val="00B23B17"/>
    <w:rsid w:val="00B25C27"/>
    <w:rsid w:val="00B31864"/>
    <w:rsid w:val="00B339C5"/>
    <w:rsid w:val="00B3416A"/>
    <w:rsid w:val="00B34845"/>
    <w:rsid w:val="00B373E2"/>
    <w:rsid w:val="00B479AF"/>
    <w:rsid w:val="00B51802"/>
    <w:rsid w:val="00B6033A"/>
    <w:rsid w:val="00B84829"/>
    <w:rsid w:val="00B84DD5"/>
    <w:rsid w:val="00BA03C8"/>
    <w:rsid w:val="00BA1651"/>
    <w:rsid w:val="00BA41A2"/>
    <w:rsid w:val="00BA7437"/>
    <w:rsid w:val="00BB0E1F"/>
    <w:rsid w:val="00BB0F0C"/>
    <w:rsid w:val="00BB1B90"/>
    <w:rsid w:val="00BB5673"/>
    <w:rsid w:val="00BB62A9"/>
    <w:rsid w:val="00BC03AD"/>
    <w:rsid w:val="00BC2032"/>
    <w:rsid w:val="00BC2610"/>
    <w:rsid w:val="00BC589F"/>
    <w:rsid w:val="00BD0726"/>
    <w:rsid w:val="00BD38E3"/>
    <w:rsid w:val="00BE0A41"/>
    <w:rsid w:val="00BE1A53"/>
    <w:rsid w:val="00BE1D44"/>
    <w:rsid w:val="00BE6415"/>
    <w:rsid w:val="00BF3305"/>
    <w:rsid w:val="00BF5F9E"/>
    <w:rsid w:val="00BF626D"/>
    <w:rsid w:val="00BF687F"/>
    <w:rsid w:val="00BF7353"/>
    <w:rsid w:val="00C01370"/>
    <w:rsid w:val="00C0192C"/>
    <w:rsid w:val="00C0499E"/>
    <w:rsid w:val="00C05370"/>
    <w:rsid w:val="00C05CAC"/>
    <w:rsid w:val="00C10B55"/>
    <w:rsid w:val="00C11DF4"/>
    <w:rsid w:val="00C12944"/>
    <w:rsid w:val="00C1547F"/>
    <w:rsid w:val="00C321E1"/>
    <w:rsid w:val="00C32CD8"/>
    <w:rsid w:val="00C34AEF"/>
    <w:rsid w:val="00C42572"/>
    <w:rsid w:val="00C451A3"/>
    <w:rsid w:val="00C47E82"/>
    <w:rsid w:val="00C507EA"/>
    <w:rsid w:val="00C5138C"/>
    <w:rsid w:val="00C51925"/>
    <w:rsid w:val="00C54F99"/>
    <w:rsid w:val="00C55C43"/>
    <w:rsid w:val="00C6036C"/>
    <w:rsid w:val="00C635A8"/>
    <w:rsid w:val="00C63F8F"/>
    <w:rsid w:val="00C71ED3"/>
    <w:rsid w:val="00C73BF7"/>
    <w:rsid w:val="00C80423"/>
    <w:rsid w:val="00C83BE2"/>
    <w:rsid w:val="00C9166F"/>
    <w:rsid w:val="00C93FE6"/>
    <w:rsid w:val="00C9447B"/>
    <w:rsid w:val="00C96BDF"/>
    <w:rsid w:val="00C96CA3"/>
    <w:rsid w:val="00C97F5F"/>
    <w:rsid w:val="00CA2E12"/>
    <w:rsid w:val="00CA35C6"/>
    <w:rsid w:val="00CA46B7"/>
    <w:rsid w:val="00CA5351"/>
    <w:rsid w:val="00CA7CDA"/>
    <w:rsid w:val="00CA7F1A"/>
    <w:rsid w:val="00CA7FED"/>
    <w:rsid w:val="00CB699A"/>
    <w:rsid w:val="00CC1A2E"/>
    <w:rsid w:val="00CC2F5B"/>
    <w:rsid w:val="00CC3347"/>
    <w:rsid w:val="00CC477B"/>
    <w:rsid w:val="00CD2ADF"/>
    <w:rsid w:val="00CD2FD8"/>
    <w:rsid w:val="00CD461D"/>
    <w:rsid w:val="00CE21B1"/>
    <w:rsid w:val="00CE2B72"/>
    <w:rsid w:val="00CE6647"/>
    <w:rsid w:val="00CE7582"/>
    <w:rsid w:val="00CF0724"/>
    <w:rsid w:val="00CF196A"/>
    <w:rsid w:val="00CF21E3"/>
    <w:rsid w:val="00CF2467"/>
    <w:rsid w:val="00CF3380"/>
    <w:rsid w:val="00CF6F26"/>
    <w:rsid w:val="00D01579"/>
    <w:rsid w:val="00D02AC6"/>
    <w:rsid w:val="00D062F4"/>
    <w:rsid w:val="00D1152C"/>
    <w:rsid w:val="00D1294A"/>
    <w:rsid w:val="00D165CB"/>
    <w:rsid w:val="00D2305D"/>
    <w:rsid w:val="00D33602"/>
    <w:rsid w:val="00D35DAC"/>
    <w:rsid w:val="00D36DB8"/>
    <w:rsid w:val="00D37DCF"/>
    <w:rsid w:val="00D400C2"/>
    <w:rsid w:val="00D41720"/>
    <w:rsid w:val="00D43A6F"/>
    <w:rsid w:val="00D51495"/>
    <w:rsid w:val="00D5675D"/>
    <w:rsid w:val="00D6442B"/>
    <w:rsid w:val="00D64D4A"/>
    <w:rsid w:val="00D748E3"/>
    <w:rsid w:val="00D84925"/>
    <w:rsid w:val="00D90010"/>
    <w:rsid w:val="00D92DB5"/>
    <w:rsid w:val="00D95772"/>
    <w:rsid w:val="00DA00D0"/>
    <w:rsid w:val="00DA39B8"/>
    <w:rsid w:val="00DA41C1"/>
    <w:rsid w:val="00DA7B1F"/>
    <w:rsid w:val="00DC26D5"/>
    <w:rsid w:val="00DD04CF"/>
    <w:rsid w:val="00DD292C"/>
    <w:rsid w:val="00DD473A"/>
    <w:rsid w:val="00DE2420"/>
    <w:rsid w:val="00DE2711"/>
    <w:rsid w:val="00DF49F7"/>
    <w:rsid w:val="00DF66C4"/>
    <w:rsid w:val="00E0089C"/>
    <w:rsid w:val="00E0549D"/>
    <w:rsid w:val="00E05E7B"/>
    <w:rsid w:val="00E05F0C"/>
    <w:rsid w:val="00E11A2C"/>
    <w:rsid w:val="00E121F1"/>
    <w:rsid w:val="00E136B1"/>
    <w:rsid w:val="00E154F6"/>
    <w:rsid w:val="00E16D2F"/>
    <w:rsid w:val="00E22ADB"/>
    <w:rsid w:val="00E24FE9"/>
    <w:rsid w:val="00E310E6"/>
    <w:rsid w:val="00E31CC8"/>
    <w:rsid w:val="00E458A5"/>
    <w:rsid w:val="00E53967"/>
    <w:rsid w:val="00E565BD"/>
    <w:rsid w:val="00E60A14"/>
    <w:rsid w:val="00E61A9D"/>
    <w:rsid w:val="00E61EF8"/>
    <w:rsid w:val="00E646A1"/>
    <w:rsid w:val="00E64C9E"/>
    <w:rsid w:val="00E6552F"/>
    <w:rsid w:val="00E65A29"/>
    <w:rsid w:val="00E6650E"/>
    <w:rsid w:val="00E67127"/>
    <w:rsid w:val="00E70FBD"/>
    <w:rsid w:val="00E744D0"/>
    <w:rsid w:val="00E7457D"/>
    <w:rsid w:val="00E74697"/>
    <w:rsid w:val="00E7753D"/>
    <w:rsid w:val="00E87B0C"/>
    <w:rsid w:val="00E91BE9"/>
    <w:rsid w:val="00E921DF"/>
    <w:rsid w:val="00E96174"/>
    <w:rsid w:val="00EA03A6"/>
    <w:rsid w:val="00EA1D7C"/>
    <w:rsid w:val="00EA6FCF"/>
    <w:rsid w:val="00EB1A25"/>
    <w:rsid w:val="00EB3DFE"/>
    <w:rsid w:val="00EB4C7F"/>
    <w:rsid w:val="00EB7E32"/>
    <w:rsid w:val="00EC0F10"/>
    <w:rsid w:val="00EC0F68"/>
    <w:rsid w:val="00EC4B5E"/>
    <w:rsid w:val="00ED1575"/>
    <w:rsid w:val="00ED2B66"/>
    <w:rsid w:val="00ED683A"/>
    <w:rsid w:val="00ED6E87"/>
    <w:rsid w:val="00EE5E12"/>
    <w:rsid w:val="00EF1799"/>
    <w:rsid w:val="00EF1AB8"/>
    <w:rsid w:val="00EF23C2"/>
    <w:rsid w:val="00EF2B8B"/>
    <w:rsid w:val="00EF6BFF"/>
    <w:rsid w:val="00F03326"/>
    <w:rsid w:val="00F05B7B"/>
    <w:rsid w:val="00F06010"/>
    <w:rsid w:val="00F07A24"/>
    <w:rsid w:val="00F1295E"/>
    <w:rsid w:val="00F14E18"/>
    <w:rsid w:val="00F1546C"/>
    <w:rsid w:val="00F15FE3"/>
    <w:rsid w:val="00F2183F"/>
    <w:rsid w:val="00F22D39"/>
    <w:rsid w:val="00F247E0"/>
    <w:rsid w:val="00F27F9E"/>
    <w:rsid w:val="00F311AD"/>
    <w:rsid w:val="00F316AA"/>
    <w:rsid w:val="00F34ECA"/>
    <w:rsid w:val="00F3560F"/>
    <w:rsid w:val="00F35900"/>
    <w:rsid w:val="00F36F02"/>
    <w:rsid w:val="00F37B96"/>
    <w:rsid w:val="00F407AC"/>
    <w:rsid w:val="00F43162"/>
    <w:rsid w:val="00F44546"/>
    <w:rsid w:val="00F44AE7"/>
    <w:rsid w:val="00F47363"/>
    <w:rsid w:val="00F50EC6"/>
    <w:rsid w:val="00F52A1D"/>
    <w:rsid w:val="00F52D84"/>
    <w:rsid w:val="00F534F5"/>
    <w:rsid w:val="00F5393B"/>
    <w:rsid w:val="00F56E0E"/>
    <w:rsid w:val="00F5780B"/>
    <w:rsid w:val="00F7244C"/>
    <w:rsid w:val="00F7631E"/>
    <w:rsid w:val="00F80AD2"/>
    <w:rsid w:val="00F847D9"/>
    <w:rsid w:val="00F87A22"/>
    <w:rsid w:val="00F955DE"/>
    <w:rsid w:val="00FA5256"/>
    <w:rsid w:val="00FA78D9"/>
    <w:rsid w:val="00FB0D4F"/>
    <w:rsid w:val="00FB1DA3"/>
    <w:rsid w:val="00FC3824"/>
    <w:rsid w:val="00FC49C7"/>
    <w:rsid w:val="00FD576B"/>
    <w:rsid w:val="00FE038D"/>
    <w:rsid w:val="00FE352F"/>
    <w:rsid w:val="00FE3699"/>
    <w:rsid w:val="00FE76CF"/>
    <w:rsid w:val="00FE772B"/>
    <w:rsid w:val="00FF59F1"/>
    <w:rsid w:val="00FF5C24"/>
    <w:rsid w:val="12B535AD"/>
    <w:rsid w:val="26C51935"/>
    <w:rsid w:val="3EAB41B0"/>
    <w:rsid w:val="3FAF1545"/>
    <w:rsid w:val="41612030"/>
    <w:rsid w:val="48E547BE"/>
    <w:rsid w:val="4E663951"/>
    <w:rsid w:val="66255573"/>
    <w:rsid w:val="6B5070DD"/>
    <w:rsid w:val="717D53CF"/>
    <w:rsid w:val="7D5D078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180"/>
      <w:jc w:val="both"/>
    </w:pPr>
    <w:rPr>
      <w:rFonts w:ascii="Times New Roman" w:hAnsi="Times New Roman" w:eastAsia="Segoe UI" w:cs="Times New Roman"/>
      <w:color w:val="0D0D0D"/>
      <w:sz w:val="24"/>
      <w:szCs w:val="24"/>
      <w:shd w:val="clear" w:color="auto" w:fill="FFFFFF"/>
      <w:lang w:val="en-GB" w:eastAsia="zh-CN" w:bidi="ar-SA"/>
    </w:rPr>
  </w:style>
  <w:style w:type="paragraph" w:styleId="2">
    <w:name w:val="heading 1"/>
    <w:next w:val="1"/>
    <w:link w:val="26"/>
    <w:autoRedefine/>
    <w:qFormat/>
    <w:uiPriority w:val="9"/>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7"/>
    <w:autoRedefine/>
    <w:qFormat/>
    <w:uiPriority w:val="9"/>
    <w:pPr>
      <w:numPr>
        <w:ilvl w:val="1"/>
      </w:numPr>
      <w:pBdr>
        <w:top w:val="none" w:color="auto" w:sz="0" w:space="0"/>
      </w:pBdr>
      <w:spacing w:before="180"/>
      <w:outlineLvl w:val="1"/>
    </w:pPr>
    <w:rPr>
      <w:sz w:val="32"/>
    </w:rPr>
  </w:style>
  <w:style w:type="paragraph" w:styleId="4">
    <w:name w:val="heading 3"/>
    <w:basedOn w:val="3"/>
    <w:next w:val="1"/>
    <w:link w:val="28"/>
    <w:autoRedefine/>
    <w:qFormat/>
    <w:uiPriority w:val="0"/>
    <w:pPr>
      <w:numPr>
        <w:ilvl w:val="2"/>
      </w:numPr>
      <w:spacing w:before="120"/>
      <w:outlineLvl w:val="2"/>
    </w:pPr>
    <w:rPr>
      <w:sz w:val="28"/>
    </w:rPr>
  </w:style>
  <w:style w:type="paragraph" w:styleId="5">
    <w:name w:val="heading 4"/>
    <w:basedOn w:val="4"/>
    <w:next w:val="1"/>
    <w:link w:val="29"/>
    <w:autoRedefine/>
    <w:qFormat/>
    <w:uiPriority w:val="9"/>
    <w:pPr>
      <w:numPr>
        <w:ilvl w:val="3"/>
      </w:numPr>
      <w:outlineLvl w:val="3"/>
    </w:pPr>
    <w:rPr>
      <w:sz w:val="24"/>
    </w:rPr>
  </w:style>
  <w:style w:type="paragraph" w:styleId="6">
    <w:name w:val="heading 5"/>
    <w:basedOn w:val="5"/>
    <w:next w:val="1"/>
    <w:link w:val="30"/>
    <w:autoRedefine/>
    <w:qFormat/>
    <w:uiPriority w:val="9"/>
    <w:pPr>
      <w:numPr>
        <w:ilvl w:val="5"/>
      </w:numPr>
      <w:outlineLvl w:val="4"/>
    </w:pPr>
    <w:rPr>
      <w:sz w:val="22"/>
    </w:rPr>
  </w:style>
  <w:style w:type="paragraph" w:styleId="7">
    <w:name w:val="heading 6"/>
    <w:basedOn w:val="1"/>
    <w:next w:val="1"/>
    <w:link w:val="50"/>
    <w:autoRedefine/>
    <w:qFormat/>
    <w:uiPriority w:val="9"/>
    <w:pPr>
      <w:tabs>
        <w:tab w:val="left" w:pos="1152"/>
      </w:tabs>
      <w:spacing w:before="240" w:after="60"/>
      <w:ind w:left="1152" w:hanging="1152"/>
      <w:outlineLvl w:val="5"/>
    </w:pPr>
    <w:rPr>
      <w:rFonts w:eastAsia="Batang"/>
      <w:b/>
      <w:bCs/>
      <w:i/>
      <w:sz w:val="20"/>
      <w:szCs w:val="22"/>
    </w:rPr>
  </w:style>
  <w:style w:type="paragraph" w:styleId="8">
    <w:name w:val="heading 7"/>
    <w:basedOn w:val="1"/>
    <w:next w:val="1"/>
    <w:link w:val="51"/>
    <w:autoRedefine/>
    <w:qFormat/>
    <w:uiPriority w:val="9"/>
    <w:pPr>
      <w:tabs>
        <w:tab w:val="left" w:pos="1296"/>
      </w:tabs>
      <w:spacing w:before="240" w:after="60"/>
      <w:ind w:left="1296" w:hanging="1296"/>
      <w:outlineLvl w:val="6"/>
    </w:pPr>
    <w:rPr>
      <w:rFonts w:eastAsia="Batang"/>
    </w:rPr>
  </w:style>
  <w:style w:type="paragraph" w:styleId="9">
    <w:name w:val="heading 8"/>
    <w:basedOn w:val="2"/>
    <w:next w:val="1"/>
    <w:link w:val="31"/>
    <w:autoRedefine/>
    <w:qFormat/>
    <w:uiPriority w:val="9"/>
    <w:pPr>
      <w:numPr>
        <w:ilvl w:val="7"/>
      </w:numPr>
      <w:outlineLvl w:val="7"/>
    </w:pPr>
  </w:style>
  <w:style w:type="paragraph" w:styleId="10">
    <w:name w:val="heading 9"/>
    <w:basedOn w:val="9"/>
    <w:next w:val="1"/>
    <w:link w:val="32"/>
    <w:autoRedefine/>
    <w:qFormat/>
    <w:uiPriority w:val="9"/>
    <w:pPr>
      <w:numPr>
        <w:ilvl w:val="8"/>
      </w:numPr>
      <w:outlineLvl w:val="8"/>
    </w:pPr>
  </w:style>
  <w:style w:type="character" w:default="1" w:styleId="23">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autoRedefine/>
    <w:unhideWhenUsed/>
    <w:qFormat/>
    <w:uiPriority w:val="35"/>
    <w:pPr>
      <w:spacing w:after="200"/>
    </w:pPr>
    <w:rPr>
      <w:b/>
      <w:bCs/>
      <w:color w:val="4F81BD" w:themeColor="accent1"/>
      <w:sz w:val="18"/>
      <w:szCs w:val="18"/>
      <w14:textFill>
        <w14:solidFill>
          <w14:schemeClr w14:val="accent1"/>
        </w14:solidFill>
      </w14:textFill>
    </w:rPr>
  </w:style>
  <w:style w:type="paragraph" w:styleId="12">
    <w:name w:val="List Bullet"/>
    <w:basedOn w:val="1"/>
    <w:autoRedefine/>
    <w:unhideWhenUsed/>
    <w:qFormat/>
    <w:uiPriority w:val="99"/>
    <w:pPr>
      <w:numPr>
        <w:ilvl w:val="0"/>
        <w:numId w:val="2"/>
      </w:numPr>
      <w:contextualSpacing/>
    </w:pPr>
  </w:style>
  <w:style w:type="paragraph" w:styleId="13">
    <w:name w:val="annotation text"/>
    <w:basedOn w:val="1"/>
    <w:link w:val="38"/>
    <w:autoRedefine/>
    <w:semiHidden/>
    <w:unhideWhenUsed/>
    <w:qFormat/>
    <w:uiPriority w:val="99"/>
    <w:rPr>
      <w:sz w:val="20"/>
    </w:rPr>
  </w:style>
  <w:style w:type="paragraph" w:styleId="14">
    <w:name w:val="Body Text"/>
    <w:basedOn w:val="1"/>
    <w:link w:val="47"/>
    <w:autoRedefine/>
    <w:qFormat/>
    <w:uiPriority w:val="0"/>
    <w:pPr>
      <w:spacing w:after="120"/>
    </w:pPr>
    <w:rPr>
      <w:sz w:val="20"/>
      <w:lang w:val="en-US"/>
    </w:rPr>
  </w:style>
  <w:style w:type="paragraph" w:styleId="15">
    <w:name w:val="Balloon Text"/>
    <w:basedOn w:val="1"/>
    <w:link w:val="39"/>
    <w:autoRedefine/>
    <w:semiHidden/>
    <w:unhideWhenUsed/>
    <w:qFormat/>
    <w:uiPriority w:val="99"/>
    <w:pPr>
      <w:spacing w:after="0"/>
    </w:pPr>
    <w:rPr>
      <w:rFonts w:ascii="Tahoma" w:hAnsi="Tahoma" w:cs="Tahoma"/>
      <w:sz w:val="16"/>
      <w:szCs w:val="16"/>
    </w:rPr>
  </w:style>
  <w:style w:type="paragraph" w:styleId="16">
    <w:name w:val="footer"/>
    <w:basedOn w:val="17"/>
    <w:link w:val="34"/>
    <w:autoRedefine/>
    <w:qFormat/>
    <w:uiPriority w:val="0"/>
    <w:pPr>
      <w:jc w:val="center"/>
    </w:pPr>
    <w:rPr>
      <w:i/>
    </w:rPr>
  </w:style>
  <w:style w:type="paragraph" w:styleId="17">
    <w:name w:val="header"/>
    <w:link w:val="33"/>
    <w:autoRedefine/>
    <w:qFormat/>
    <w:uiPriority w:val="99"/>
    <w:pPr>
      <w:widowControl w:val="0"/>
    </w:pPr>
    <w:rPr>
      <w:rFonts w:ascii="Arial" w:hAnsi="Arial" w:eastAsia="MS Mincho" w:cs="Times New Roman"/>
      <w:b/>
      <w:sz w:val="18"/>
      <w:lang w:val="en-US" w:eastAsia="en-US" w:bidi="ar-SA"/>
    </w:rPr>
  </w:style>
  <w:style w:type="paragraph" w:styleId="18">
    <w:name w:val="List"/>
    <w:basedOn w:val="1"/>
    <w:autoRedefine/>
    <w:semiHidden/>
    <w:unhideWhenUsed/>
    <w:qFormat/>
    <w:uiPriority w:val="99"/>
    <w:pPr>
      <w:ind w:left="283" w:hanging="283"/>
      <w:contextualSpacing/>
    </w:pPr>
  </w:style>
  <w:style w:type="paragraph" w:styleId="19">
    <w:name w:val="Normal (Web)"/>
    <w:basedOn w:val="1"/>
    <w:autoRedefine/>
    <w:unhideWhenUsed/>
    <w:qFormat/>
    <w:uiPriority w:val="99"/>
    <w:pPr>
      <w:spacing w:before="100" w:beforeAutospacing="1" w:after="100" w:afterAutospacing="1"/>
    </w:pPr>
    <w:rPr>
      <w:rFonts w:eastAsia="Times New Roman"/>
      <w:lang w:val="en-US" w:bidi="he-IL"/>
    </w:rPr>
  </w:style>
  <w:style w:type="paragraph" w:styleId="20">
    <w:name w:val="annotation subject"/>
    <w:basedOn w:val="13"/>
    <w:next w:val="13"/>
    <w:link w:val="40"/>
    <w:autoRedefine/>
    <w:semiHidden/>
    <w:unhideWhenUsed/>
    <w:qFormat/>
    <w:uiPriority w:val="99"/>
    <w:rPr>
      <w:b/>
      <w:bCs/>
    </w:rPr>
  </w:style>
  <w:style w:type="table" w:styleId="22">
    <w:name w:val="Table Grid"/>
    <w:basedOn w:val="21"/>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basedOn w:val="23"/>
    <w:autoRedefine/>
    <w:qFormat/>
    <w:uiPriority w:val="0"/>
    <w:rPr>
      <w:color w:val="0000FF"/>
      <w:u w:val="single"/>
    </w:rPr>
  </w:style>
  <w:style w:type="character" w:styleId="25">
    <w:name w:val="annotation reference"/>
    <w:basedOn w:val="23"/>
    <w:autoRedefine/>
    <w:semiHidden/>
    <w:unhideWhenUsed/>
    <w:qFormat/>
    <w:uiPriority w:val="99"/>
    <w:rPr>
      <w:sz w:val="16"/>
      <w:szCs w:val="16"/>
    </w:rPr>
  </w:style>
  <w:style w:type="character" w:customStyle="1" w:styleId="26">
    <w:name w:val="标题 1 字符"/>
    <w:basedOn w:val="23"/>
    <w:link w:val="2"/>
    <w:autoRedefine/>
    <w:qFormat/>
    <w:uiPriority w:val="0"/>
    <w:rPr>
      <w:rFonts w:ascii="Arial" w:hAnsi="Arial" w:eastAsia="MS Mincho" w:cs="Times New Roman"/>
      <w:sz w:val="36"/>
      <w:szCs w:val="20"/>
      <w:lang w:val="en-GB" w:bidi="ar-SA"/>
    </w:rPr>
  </w:style>
  <w:style w:type="character" w:customStyle="1" w:styleId="27">
    <w:name w:val="标题 2 字符"/>
    <w:basedOn w:val="23"/>
    <w:link w:val="3"/>
    <w:autoRedefine/>
    <w:qFormat/>
    <w:uiPriority w:val="0"/>
    <w:rPr>
      <w:rFonts w:ascii="Arial" w:hAnsi="Arial" w:eastAsia="MS Mincho" w:cs="Times New Roman"/>
      <w:sz w:val="32"/>
      <w:szCs w:val="20"/>
      <w:lang w:val="en-GB" w:bidi="ar-SA"/>
    </w:rPr>
  </w:style>
  <w:style w:type="character" w:customStyle="1" w:styleId="28">
    <w:name w:val="标题 3 字符"/>
    <w:basedOn w:val="23"/>
    <w:link w:val="4"/>
    <w:autoRedefine/>
    <w:qFormat/>
    <w:uiPriority w:val="0"/>
    <w:rPr>
      <w:rFonts w:ascii="Arial" w:hAnsi="Arial" w:eastAsia="MS Mincho" w:cs="Times New Roman"/>
      <w:sz w:val="28"/>
      <w:szCs w:val="20"/>
      <w:lang w:val="en-GB" w:bidi="ar-SA"/>
    </w:rPr>
  </w:style>
  <w:style w:type="character" w:customStyle="1" w:styleId="29">
    <w:name w:val="标题 4 字符"/>
    <w:basedOn w:val="23"/>
    <w:link w:val="5"/>
    <w:autoRedefine/>
    <w:qFormat/>
    <w:uiPriority w:val="0"/>
    <w:rPr>
      <w:rFonts w:ascii="Arial" w:hAnsi="Arial" w:eastAsia="MS Mincho" w:cs="Times New Roman"/>
      <w:sz w:val="24"/>
      <w:szCs w:val="20"/>
      <w:lang w:val="en-GB" w:bidi="ar-SA"/>
    </w:rPr>
  </w:style>
  <w:style w:type="character" w:customStyle="1" w:styleId="30">
    <w:name w:val="标题 5 字符"/>
    <w:basedOn w:val="23"/>
    <w:link w:val="6"/>
    <w:autoRedefine/>
    <w:qFormat/>
    <w:uiPriority w:val="0"/>
    <w:rPr>
      <w:rFonts w:ascii="Arial" w:hAnsi="Arial" w:eastAsia="MS Mincho" w:cs="Times New Roman"/>
      <w:szCs w:val="20"/>
      <w:lang w:val="en-GB" w:bidi="ar-SA"/>
    </w:rPr>
  </w:style>
  <w:style w:type="character" w:customStyle="1" w:styleId="31">
    <w:name w:val="标题 8 字符"/>
    <w:basedOn w:val="23"/>
    <w:link w:val="9"/>
    <w:autoRedefine/>
    <w:qFormat/>
    <w:uiPriority w:val="0"/>
    <w:rPr>
      <w:rFonts w:ascii="Arial" w:hAnsi="Arial" w:eastAsia="MS Mincho" w:cs="Times New Roman"/>
      <w:sz w:val="36"/>
      <w:szCs w:val="20"/>
      <w:lang w:val="en-GB" w:bidi="ar-SA"/>
    </w:rPr>
  </w:style>
  <w:style w:type="character" w:customStyle="1" w:styleId="32">
    <w:name w:val="标题 9 字符"/>
    <w:basedOn w:val="23"/>
    <w:link w:val="10"/>
    <w:autoRedefine/>
    <w:qFormat/>
    <w:uiPriority w:val="0"/>
    <w:rPr>
      <w:rFonts w:ascii="Arial" w:hAnsi="Arial" w:eastAsia="MS Mincho" w:cs="Times New Roman"/>
      <w:sz w:val="36"/>
      <w:szCs w:val="20"/>
      <w:lang w:val="en-GB" w:bidi="ar-SA"/>
    </w:rPr>
  </w:style>
  <w:style w:type="character" w:customStyle="1" w:styleId="33">
    <w:name w:val="页眉 字符"/>
    <w:basedOn w:val="23"/>
    <w:link w:val="17"/>
    <w:autoRedefine/>
    <w:qFormat/>
    <w:uiPriority w:val="99"/>
    <w:rPr>
      <w:rFonts w:ascii="Arial" w:hAnsi="Arial" w:eastAsia="MS Mincho" w:cs="Times New Roman"/>
      <w:b/>
      <w:sz w:val="18"/>
      <w:szCs w:val="20"/>
      <w:lang w:bidi="ar-SA"/>
    </w:rPr>
  </w:style>
  <w:style w:type="character" w:customStyle="1" w:styleId="34">
    <w:name w:val="页脚 字符"/>
    <w:basedOn w:val="23"/>
    <w:link w:val="16"/>
    <w:autoRedefine/>
    <w:qFormat/>
    <w:uiPriority w:val="0"/>
    <w:rPr>
      <w:rFonts w:ascii="Arial" w:hAnsi="Arial" w:eastAsia="MS Mincho" w:cs="Times New Roman"/>
      <w:b/>
      <w:i/>
      <w:sz w:val="18"/>
      <w:szCs w:val="20"/>
      <w:lang w:bidi="ar-SA"/>
    </w:rPr>
  </w:style>
  <w:style w:type="paragraph" w:styleId="35">
    <w:name w:val="List Paragraph"/>
    <w:basedOn w:val="1"/>
    <w:link w:val="49"/>
    <w:autoRedefine/>
    <w:qFormat/>
    <w:uiPriority w:val="34"/>
    <w:pPr>
      <w:ind w:left="720"/>
      <w:contextualSpacing/>
    </w:pPr>
  </w:style>
  <w:style w:type="paragraph" w:customStyle="1" w:styleId="36">
    <w:name w:val="B1"/>
    <w:basedOn w:val="18"/>
    <w:link w:val="37"/>
    <w:autoRedefine/>
    <w:qFormat/>
    <w:uiPriority w:val="0"/>
    <w:pPr>
      <w:ind w:left="568" w:hanging="284"/>
      <w:contextualSpacing w:val="0"/>
    </w:pPr>
    <w:rPr>
      <w:rFonts w:eastAsia="Times New Roman"/>
      <w:sz w:val="20"/>
    </w:rPr>
  </w:style>
  <w:style w:type="character" w:customStyle="1" w:styleId="37">
    <w:name w:val="B1 (文字)"/>
    <w:link w:val="36"/>
    <w:autoRedefine/>
    <w:qFormat/>
    <w:locked/>
    <w:uiPriority w:val="99"/>
    <w:rPr>
      <w:rFonts w:ascii="Times New Roman" w:hAnsi="Times New Roman" w:eastAsia="Times New Roman" w:cs="Times New Roman"/>
      <w:sz w:val="20"/>
      <w:szCs w:val="20"/>
      <w:lang w:val="en-GB" w:bidi="ar-SA"/>
    </w:rPr>
  </w:style>
  <w:style w:type="character" w:customStyle="1" w:styleId="38">
    <w:name w:val="批注文字 字符"/>
    <w:basedOn w:val="23"/>
    <w:link w:val="13"/>
    <w:autoRedefine/>
    <w:semiHidden/>
    <w:qFormat/>
    <w:uiPriority w:val="99"/>
    <w:rPr>
      <w:rFonts w:ascii="Times New Roman" w:hAnsi="Times New Roman" w:eastAsia="MS Mincho" w:cs="Times New Roman"/>
      <w:sz w:val="20"/>
      <w:szCs w:val="20"/>
      <w:lang w:val="en-GB" w:bidi="ar-SA"/>
    </w:rPr>
  </w:style>
  <w:style w:type="character" w:customStyle="1" w:styleId="39">
    <w:name w:val="批注框文本 字符"/>
    <w:basedOn w:val="23"/>
    <w:link w:val="15"/>
    <w:autoRedefine/>
    <w:semiHidden/>
    <w:qFormat/>
    <w:uiPriority w:val="99"/>
    <w:rPr>
      <w:rFonts w:ascii="Tahoma" w:hAnsi="Tahoma" w:eastAsia="MS Mincho" w:cs="Tahoma"/>
      <w:sz w:val="16"/>
      <w:szCs w:val="16"/>
      <w:lang w:val="en-GB" w:bidi="ar-SA"/>
    </w:rPr>
  </w:style>
  <w:style w:type="character" w:customStyle="1" w:styleId="40">
    <w:name w:val="批注主题 字符"/>
    <w:basedOn w:val="38"/>
    <w:link w:val="20"/>
    <w:autoRedefine/>
    <w:semiHidden/>
    <w:qFormat/>
    <w:uiPriority w:val="99"/>
    <w:rPr>
      <w:rFonts w:ascii="Times New Roman" w:hAnsi="Times New Roman" w:eastAsia="MS Mincho" w:cs="Times New Roman"/>
      <w:b/>
      <w:bCs/>
      <w:sz w:val="20"/>
      <w:szCs w:val="20"/>
      <w:lang w:val="en-GB" w:bidi="ar-SA"/>
    </w:rPr>
  </w:style>
  <w:style w:type="paragraph" w:customStyle="1" w:styleId="41">
    <w:name w:val="修订1"/>
    <w:autoRedefine/>
    <w:hidden/>
    <w:semiHidden/>
    <w:qFormat/>
    <w:uiPriority w:val="99"/>
    <w:rPr>
      <w:rFonts w:ascii="Times New Roman" w:hAnsi="Times New Roman" w:eastAsia="MS Mincho" w:cs="Times New Roman"/>
      <w:sz w:val="22"/>
      <w:lang w:val="en-GB" w:eastAsia="en-US" w:bidi="ar-SA"/>
    </w:rPr>
  </w:style>
  <w:style w:type="character" w:customStyle="1" w:styleId="42">
    <w:name w:val="B1 Char1"/>
    <w:basedOn w:val="23"/>
    <w:autoRedefine/>
    <w:qFormat/>
    <w:locked/>
    <w:uiPriority w:val="0"/>
    <w:rPr>
      <w:lang w:eastAsia="en-GB"/>
    </w:rPr>
  </w:style>
  <w:style w:type="paragraph" w:customStyle="1" w:styleId="43">
    <w:name w:val="B2"/>
    <w:basedOn w:val="1"/>
    <w:autoRedefine/>
    <w:qFormat/>
    <w:uiPriority w:val="0"/>
    <w:pPr>
      <w:overflowPunct w:val="0"/>
      <w:autoSpaceDE w:val="0"/>
      <w:autoSpaceDN w:val="0"/>
      <w:ind w:left="851" w:hanging="284"/>
    </w:pPr>
    <w:rPr>
      <w:rFonts w:eastAsiaTheme="minorHAnsi"/>
      <w:sz w:val="20"/>
      <w:lang w:val="en-US" w:eastAsia="en-GB" w:bidi="he-IL"/>
    </w:rPr>
  </w:style>
  <w:style w:type="paragraph" w:customStyle="1" w:styleId="44">
    <w:name w:val="text intend 1"/>
    <w:basedOn w:val="1"/>
    <w:autoRedefine/>
    <w:qFormat/>
    <w:uiPriority w:val="0"/>
    <w:pPr>
      <w:numPr>
        <w:ilvl w:val="0"/>
        <w:numId w:val="3"/>
      </w:numPr>
      <w:overflowPunct w:val="0"/>
      <w:autoSpaceDE w:val="0"/>
      <w:autoSpaceDN w:val="0"/>
      <w:adjustRightInd w:val="0"/>
      <w:spacing w:after="120"/>
      <w:textAlignment w:val="baseline"/>
    </w:pPr>
    <w:rPr>
      <w:lang w:val="en-US" w:eastAsia="en-GB"/>
    </w:rPr>
  </w:style>
  <w:style w:type="paragraph" w:customStyle="1" w:styleId="45">
    <w:name w:val="Char Char3 Char Char Char Char Char Char"/>
    <w:autoRedefine/>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6">
    <w:name w:val="Char Char Char Char Char Char"/>
    <w:autoRedefine/>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47">
    <w:name w:val="正文文本 字符"/>
    <w:basedOn w:val="23"/>
    <w:link w:val="14"/>
    <w:autoRedefine/>
    <w:qFormat/>
    <w:uiPriority w:val="0"/>
    <w:rPr>
      <w:rFonts w:ascii="Times New Roman" w:hAnsi="Times New Roman" w:eastAsia="MS Mincho" w:cs="Times New Roman"/>
      <w:sz w:val="20"/>
      <w:szCs w:val="24"/>
      <w:lang w:bidi="ar-SA"/>
    </w:rPr>
  </w:style>
  <w:style w:type="paragraph" w:customStyle="1" w:styleId="48">
    <w:name w:val="References"/>
    <w:basedOn w:val="1"/>
    <w:next w:val="1"/>
    <w:autoRedefine/>
    <w:qFormat/>
    <w:uiPriority w:val="0"/>
    <w:pPr>
      <w:autoSpaceDE w:val="0"/>
      <w:autoSpaceDN w:val="0"/>
      <w:snapToGrid w:val="0"/>
      <w:spacing w:after="60"/>
    </w:pPr>
    <w:rPr>
      <w:rFonts w:eastAsia="宋体"/>
      <w:sz w:val="20"/>
      <w:szCs w:val="16"/>
      <w:lang w:val="en-US"/>
    </w:rPr>
  </w:style>
  <w:style w:type="character" w:customStyle="1" w:styleId="49">
    <w:name w:val="列表段落 字符"/>
    <w:link w:val="35"/>
    <w:autoRedefine/>
    <w:qFormat/>
    <w:locked/>
    <w:uiPriority w:val="34"/>
    <w:rPr>
      <w:rFonts w:ascii="Times New Roman" w:hAnsi="Times New Roman" w:eastAsia="MS Mincho" w:cs="Times New Roman"/>
      <w:szCs w:val="20"/>
      <w:lang w:val="en-GB" w:bidi="ar-SA"/>
    </w:rPr>
  </w:style>
  <w:style w:type="character" w:customStyle="1" w:styleId="50">
    <w:name w:val="标题 6 字符"/>
    <w:basedOn w:val="23"/>
    <w:link w:val="7"/>
    <w:autoRedefine/>
    <w:qFormat/>
    <w:uiPriority w:val="9"/>
    <w:rPr>
      <w:rFonts w:eastAsia="Batang"/>
      <w:b/>
      <w:bCs/>
      <w:i/>
      <w:szCs w:val="22"/>
      <w:lang w:val="en-GB"/>
    </w:rPr>
  </w:style>
  <w:style w:type="character" w:customStyle="1" w:styleId="51">
    <w:name w:val="标题 7 字符"/>
    <w:basedOn w:val="23"/>
    <w:link w:val="8"/>
    <w:autoRedefine/>
    <w:qFormat/>
    <w:uiPriority w:val="9"/>
    <w:rPr>
      <w:rFonts w:eastAsia="Batang"/>
      <w:sz w:val="24"/>
      <w:szCs w:val="24"/>
      <w:lang w:val="en-GB"/>
    </w:rPr>
  </w:style>
  <w:style w:type="paragraph" w:customStyle="1" w:styleId="52">
    <w:name w:val="3GPP H1"/>
    <w:basedOn w:val="2"/>
    <w:next w:val="1"/>
    <w:link w:val="53"/>
    <w:autoRedefine/>
    <w:qFormat/>
    <w:uiPriority w:val="0"/>
    <w:pPr>
      <w:overflowPunct w:val="0"/>
      <w:autoSpaceDE w:val="0"/>
      <w:autoSpaceDN w:val="0"/>
      <w:adjustRightInd w:val="0"/>
      <w:spacing w:after="120"/>
      <w:textAlignment w:val="baseline"/>
    </w:pPr>
    <w:rPr>
      <w:rFonts w:eastAsiaTheme="minorEastAsia"/>
    </w:rPr>
  </w:style>
  <w:style w:type="character" w:customStyle="1" w:styleId="53">
    <w:name w:val="3GPP H1 Char"/>
    <w:link w:val="52"/>
    <w:autoRedefine/>
    <w:qFormat/>
    <w:uiPriority w:val="0"/>
    <w:rPr>
      <w:rFonts w:ascii="Arial" w:hAnsi="Arial" w:eastAsiaTheme="minorEastAsia"/>
      <w:sz w:val="36"/>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61A88DB5-1F3D-4FD2-9F82-8939B33C9A01}">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1319</Words>
  <Characters>7519</Characters>
  <Lines>62</Lines>
  <Paragraphs>17</Paragraphs>
  <TotalTime>1</TotalTime>
  <ScaleCrop>false</ScaleCrop>
  <LinksUpToDate>false</LinksUpToDate>
  <CharactersWithSpaces>8821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2024-03-31T13:41:00Z</dcterms:created>
  <dc:creator>Efstathios Katranaras</dc:creator>
  <cp:lastModifiedBy>admin</cp:lastModifiedBy>
  <dcterms:modified xsi:type="dcterms:W3CDTF">2024-04-02T08:07:45Z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9621039F3CCC45959FED8211CE08B34E_12</vt:lpwstr>
  </property>
</Properties>
</file>