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left"/>
        <w:rPr>
          <w:rFonts w:ascii="Times New Roman" w:hAnsi="Times New Roman" w:eastAsia="宋体"/>
          <w:b/>
          <w:sz w:val="22"/>
        </w:rPr>
      </w:pPr>
      <w:r>
        <w:rPr>
          <w:rFonts w:ascii="Times New Roman" w:hAnsi="Times New Roman" w:eastAsia="宋体"/>
          <w:b/>
          <w:sz w:val="22"/>
        </w:rPr>
        <w:t>3GPP TSG RAN WG1 #116</w:t>
      </w:r>
      <w:r>
        <w:rPr>
          <w:rFonts w:ascii="Times New Roman" w:hAnsi="Times New Roman" w:eastAsia="宋体"/>
          <w:b/>
          <w:sz w:val="2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FxhEQSgFAACn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pPB9HOm+fDosk1V&#10;aqbiW/D0Aao2wc37JrzuQiPj4oeFtvC2GVvy+5oKZqHitoLKL8KuC+HX6I7rQXEASX44sxjO0CoB&#10;UbHVWPB9U81ZAz1Ysq5FvspgJ/ORqfh7qBaXuarttH5Gq7YD75ea8vatVT2QDvsa9fi+fPY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hint="eastAsia" w:ascii="Times New Roman" w:hAnsi="Times New Roman" w:eastAsia="宋体"/>
          <w:b/>
          <w:sz w:val="22"/>
        </w:rPr>
        <w:t xml:space="preserve">                                                                                   </w:t>
      </w:r>
      <w:bookmarkStart w:id="11" w:name="_GoBack"/>
      <w:bookmarkEnd w:id="11"/>
      <w:r>
        <w:rPr>
          <w:rFonts w:hint="eastAsia" w:ascii="Times New Roman" w:hAnsi="Times New Roman" w:eastAsia="宋体"/>
          <w:b/>
          <w:sz w:val="22"/>
        </w:rPr>
        <w:t>R1-2400784</w:t>
      </w:r>
    </w:p>
    <w:p>
      <w:pPr>
        <w:tabs>
          <w:tab w:val="right" w:pos="9216"/>
        </w:tabs>
        <w:spacing w:after="156" w:afterLines="50"/>
        <w:jc w:val="left"/>
        <w:rPr>
          <w:rFonts w:ascii="Times New Roman" w:hAnsi="Times New Roman" w:eastAsia="宋体"/>
          <w:b/>
          <w:sz w:val="22"/>
        </w:rPr>
      </w:pPr>
      <w:bookmarkStart w:id="0" w:name="_Hlk145670493"/>
      <w:r>
        <w:rPr>
          <w:rFonts w:ascii="Times New Roman" w:hAnsi="Times New Roman" w:eastAsia="宋体"/>
          <w:b/>
          <w:sz w:val="22"/>
          <w:lang w:eastAsia="ja-JP"/>
        </w:rPr>
        <w:t>Athens, Greece, February 26</w:t>
      </w:r>
      <w:r>
        <w:rPr>
          <w:rFonts w:hint="eastAsia" w:ascii="Times New Roman" w:hAnsi="Times New Roman" w:eastAsia="宋体"/>
          <w:b/>
          <w:sz w:val="22"/>
          <w:lang w:eastAsia="ko-KR"/>
        </w:rPr>
        <w:t>th</w:t>
      </w:r>
      <w:r>
        <w:rPr>
          <w:rFonts w:ascii="Times New Roman" w:hAnsi="Times New Roman" w:eastAsia="宋体"/>
          <w:b/>
          <w:sz w:val="22"/>
          <w:lang w:eastAsia="ja-JP"/>
        </w:rPr>
        <w:t xml:space="preserve"> </w:t>
      </w:r>
      <w:r>
        <w:rPr>
          <w:rFonts w:ascii="Times New Roman" w:hAnsi="Times New Roman" w:eastAsia="宋体"/>
          <w:b/>
          <w:sz w:val="22"/>
        </w:rPr>
        <w:t>– March 1st</w:t>
      </w:r>
      <w:r>
        <w:rPr>
          <w:rFonts w:ascii="Times New Roman" w:hAnsi="Times New Roman" w:eastAsia="宋体"/>
          <w:b/>
          <w:sz w:val="22"/>
          <w:lang w:eastAsia="ja-JP"/>
        </w:rPr>
        <w:t>, 2024</w:t>
      </w:r>
      <w:bookmarkEnd w:id="0"/>
    </w:p>
    <w:p>
      <w:pPr>
        <w:pBdr>
          <w:top w:val="single" w:color="auto" w:sz="4" w:space="1"/>
        </w:pBdr>
        <w:jc w:val="left"/>
        <w:rPr>
          <w:rFonts w:ascii="Times New Roman" w:hAnsi="Times New Roman" w:eastAsia="宋体"/>
          <w:b/>
          <w:sz w:val="16"/>
          <w:szCs w:val="16"/>
        </w:rPr>
      </w:pPr>
    </w:p>
    <w:p>
      <w:pPr>
        <w:ind w:left="1553" w:hanging="1553"/>
        <w:jc w:val="left"/>
        <w:rPr>
          <w:rFonts w:ascii="Times New Roman" w:hAnsi="Times New Roman" w:eastAsia="宋体"/>
          <w:b/>
          <w:sz w:val="22"/>
        </w:rPr>
      </w:pPr>
      <w:r>
        <w:rPr>
          <w:rFonts w:ascii="Times New Roman" w:hAnsi="Times New Roman" w:eastAsia="宋体"/>
          <w:b/>
          <w:sz w:val="22"/>
        </w:rPr>
        <w:t>Agenda Item:</w:t>
      </w:r>
      <w:r>
        <w:rPr>
          <w:rFonts w:ascii="Times New Roman" w:hAnsi="Times New Roman" w:eastAsia="宋体"/>
          <w:b/>
          <w:sz w:val="22"/>
        </w:rPr>
        <w:tab/>
      </w:r>
      <w:r>
        <w:rPr>
          <w:rFonts w:ascii="Times New Roman" w:hAnsi="Times New Roman" w:eastAsia="宋体"/>
          <w:b/>
          <w:sz w:val="22"/>
        </w:rPr>
        <w:t>9.</w:t>
      </w:r>
      <w:r>
        <w:rPr>
          <w:rFonts w:hint="eastAsia" w:ascii="Times New Roman" w:hAnsi="Times New Roman" w:eastAsia="宋体"/>
          <w:b/>
          <w:sz w:val="22"/>
        </w:rPr>
        <w:t>4.2.2</w:t>
      </w:r>
    </w:p>
    <w:p>
      <w:pPr>
        <w:ind w:left="1553" w:hanging="1553"/>
        <w:jc w:val="left"/>
        <w:rPr>
          <w:rFonts w:ascii="Times New Roman" w:hAnsi="Times New Roman" w:eastAsia="宋体"/>
          <w:b/>
          <w:sz w:val="22"/>
        </w:rPr>
      </w:pPr>
      <w:r>
        <w:rPr>
          <w:rFonts w:ascii="Times New Roman" w:hAnsi="Times New Roman" w:eastAsia="宋体"/>
          <w:b/>
          <w:sz w:val="22"/>
        </w:rPr>
        <w:t>Source:</w:t>
      </w:r>
      <w:r>
        <w:rPr>
          <w:rFonts w:ascii="Times New Roman" w:hAnsi="Times New Roman" w:eastAsia="宋体"/>
          <w:b/>
          <w:sz w:val="22"/>
        </w:rPr>
        <w:tab/>
      </w:r>
      <w:r>
        <w:rPr>
          <w:rFonts w:ascii="Times New Roman" w:hAnsi="Times New Roman" w:eastAsia="宋体"/>
          <w:b/>
          <w:sz w:val="22"/>
        </w:rPr>
        <w:t>BUPT</w:t>
      </w:r>
    </w:p>
    <w:p>
      <w:pPr>
        <w:ind w:left="1553" w:hanging="1553"/>
        <w:jc w:val="left"/>
        <w:rPr>
          <w:rFonts w:ascii="Times New Roman" w:hAnsi="Times New Roman" w:eastAsia="宋体"/>
          <w:b/>
          <w:sz w:val="22"/>
        </w:rPr>
      </w:pPr>
      <w:r>
        <w:rPr>
          <w:rFonts w:ascii="Times New Roman" w:hAnsi="Times New Roman" w:eastAsia="宋体"/>
          <w:b/>
          <w:sz w:val="22"/>
        </w:rPr>
        <w:t>Title:</w:t>
      </w:r>
      <w:r>
        <w:rPr>
          <w:rFonts w:ascii="Times New Roman" w:hAnsi="Times New Roman" w:eastAsia="宋体"/>
          <w:b/>
          <w:sz w:val="22"/>
        </w:rPr>
        <w:tab/>
      </w:r>
      <w:r>
        <w:rPr>
          <w:rFonts w:ascii="Times New Roman" w:hAnsi="Times New Roman" w:eastAsia="宋体"/>
          <w:b/>
          <w:sz w:val="22"/>
        </w:rPr>
        <w:t>Discussion on</w:t>
      </w:r>
      <w:r>
        <w:rPr>
          <w:rFonts w:hint="eastAsia" w:ascii="Times New Roman" w:hAnsi="Times New Roman" w:eastAsia="宋体"/>
          <w:b/>
          <w:sz w:val="22"/>
        </w:rPr>
        <w:t> frame structure and timing aspects for Ambient IoT</w:t>
      </w:r>
    </w:p>
    <w:p>
      <w:pPr>
        <w:ind w:left="1553" w:hanging="1553"/>
        <w:jc w:val="left"/>
        <w:rPr>
          <w:rFonts w:ascii="Times New Roman" w:hAnsi="Times New Roman" w:eastAsia="宋体"/>
          <w:b/>
          <w:sz w:val="22"/>
        </w:rPr>
      </w:pPr>
      <w:r>
        <w:rPr>
          <w:rFonts w:ascii="Times New Roman" w:hAnsi="Times New Roman" w:eastAsia="宋体"/>
          <w:b/>
          <w:sz w:val="22"/>
        </w:rPr>
        <w:t>Document for:</w:t>
      </w:r>
      <w:r>
        <w:rPr>
          <w:rFonts w:ascii="Times New Roman" w:hAnsi="Times New Roman" w:eastAsia="宋体"/>
          <w:b/>
          <w:sz w:val="22"/>
        </w:rPr>
        <w:tab/>
      </w:r>
      <w:r>
        <w:rPr>
          <w:rFonts w:ascii="Times New Roman" w:hAnsi="Times New Roman" w:eastAsia="宋体"/>
          <w:b/>
          <w:sz w:val="22"/>
        </w:rPr>
        <w:t xml:space="preserve">Discussion </w:t>
      </w:r>
    </w:p>
    <w:p>
      <w:pPr>
        <w:pBdr>
          <w:bottom w:val="single" w:color="auto" w:sz="4" w:space="1"/>
        </w:pBdr>
        <w:jc w:val="left"/>
        <w:rPr>
          <w:rFonts w:ascii="Times New Roman" w:hAnsi="Times New Roman" w:eastAsia="宋体"/>
          <w:b/>
          <w:sz w:val="16"/>
          <w:szCs w:val="16"/>
        </w:rPr>
      </w:pPr>
    </w:p>
    <w:p>
      <w:pPr>
        <w:pStyle w:val="2"/>
        <w:rPr>
          <w:rFonts w:ascii="Times New Roman" w:hAnsi="Times New Roman" w:eastAsia="宋体"/>
        </w:rPr>
      </w:pPr>
      <w:bookmarkStart w:id="1" w:name="_Ref124589705"/>
      <w:bookmarkStart w:id="2" w:name="_Ref129681862"/>
      <w:r>
        <w:rPr>
          <w:rFonts w:ascii="Times New Roman" w:hAnsi="Times New Roman" w:eastAsia="宋体"/>
        </w:rPr>
        <w:t>Introduction</w:t>
      </w:r>
      <w:bookmarkEnd w:id="1"/>
      <w:bookmarkEnd w:id="2"/>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In 5G NR ambient IoT, NR utilizes special synchronization signals (SSBs, Synchronization Signal Blocks) to assist devices in initial synchronization. Devices can understand the system's clock and frequency synchronization status by detecting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In 5G New Radio (NR), the role of SSBs (Synchronization Signal Blocks) is to carry specific signals for establishing downlink synchronization.</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In the 5G NR ambient IoT environment, the network architecture for time synchronization using SSBs typically includes the following elements: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gNB (Base Station): The gNB is one of the core components of the 5G NR network, responsible for managing and controlling communication with IoT devices. The gNB broadcasts SSB signals, provides time synchronization information, and communicates with IoT devices.</w:t>
      </w:r>
    </w:p>
    <w:p>
      <w:pPr>
        <w:ind w:firstLine="420" w:firstLineChars="200"/>
        <w:jc w:val="center"/>
        <w:rPr>
          <w:rFonts w:ascii="Times New Roman" w:hAnsi="Times New Roman" w:eastAsia="宋体" w:cs="Times New Roman"/>
          <w:sz w:val="24"/>
          <w:szCs w:val="24"/>
          <w:shd w:val="clear" w:color="auto" w:fill="FFFFFF"/>
        </w:rPr>
      </w:pPr>
      <w:r>
        <w:rPr>
          <w:rFonts w:ascii="Times New Roman" w:hAnsi="Times New Roman" w:eastAsia="宋体"/>
        </w:rPr>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54580" cy="1623060"/>
                    </a:xfrm>
                    <a:prstGeom prst="rect">
                      <a:avLst/>
                    </a:prstGeom>
                    <a:noFill/>
                    <a:ln>
                      <a:noFill/>
                    </a:ln>
                  </pic:spPr>
                </pic:pic>
              </a:graphicData>
            </a:graphic>
          </wp:inline>
        </w:drawing>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IoT devices: This includes various IoT terminal devices such as sensors, controllers, wireless modules, etc. IoT devices obtain time synchronization information by listening to SSB signals to ensure that their local clocks are synchronized with the network clock.</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 SSB is a special signal block used for synchronization and broadcasting. In 5G NR, SSBs are typically broadcasted at certain intervals, containing information related to time synchronization. IoT devices obtain time synchronization information by listening to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 transmission period and index: The transmission period and index of SSBs are key parameters for IoT devices to perform time synchronization. The transmission period defines the interval at which SSBs are broadcasted, while the index indicates the position of SSBs within the transmission period. IoT devices perform time synchronization by measuring the strength of SSB signals and identifying the index.</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System broadcast: 5G NR networks can provide time synchronization information to IoT devices through system broadcasts. This may include information related to SSB transmission period, index, and overall system clock. System broadcasts help IoT devices to perform more accurate time synchronization.</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The key characteristics of SSBs in NR include:</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Components: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PSS (Primary Synchronization Signal)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SSS (Secondary Synchronization Signal)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PBCH (Physical Broadcast Channel)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Each SSB occupies 240 subcarriers (frequency domain) and 4 symbols (time domain). It contains the Primary Synchronization Signal (PSS), Secondary Synchronization Signal (SSS), and Physical Broadcast Channel (PBCH).</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Similar to LTE, PSS and SSS in 5G NR represent the Physical Cell Identity (PCI), while PBCH carries the Master Information Block (MIB) and some additional payload bits.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When amplified to the subcarrier level, one can also observe Demodulation Reference Signals (DM-RS). IoT devices use DM-RS for channel estimation to demodulate PBCH. The position of DM-RS signals on PBCH is determined by PCI.</w:t>
      </w:r>
    </w:p>
    <w:p>
      <w:pPr>
        <w:ind w:firstLine="420" w:firstLineChars="200"/>
        <w:jc w:val="center"/>
        <w:rPr>
          <w:rFonts w:ascii="Times New Roman" w:hAnsi="Times New Roman" w:eastAsia="宋体" w:cs="Times New Roman"/>
          <w:sz w:val="24"/>
          <w:szCs w:val="24"/>
          <w:shd w:val="clear" w:color="auto" w:fill="FFFFFF"/>
        </w:rPr>
      </w:pPr>
      <w:r>
        <w:rPr>
          <w:rFonts w:ascii="Times New Roman" w:hAnsi="Times New Roman" w:eastAsia="宋体"/>
        </w:rPr>
        <w:drawing>
          <wp:inline distT="0" distB="0" distL="0" distR="0">
            <wp:extent cx="2861945" cy="1811655"/>
            <wp:effectExtent l="0" t="0" r="0" b="0"/>
            <wp:docPr id="306537105" name="图片 30653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537105" name="图片 3065371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861945" cy="1811655"/>
                    </a:xfrm>
                    <a:prstGeom prst="rect">
                      <a:avLst/>
                    </a:prstGeom>
                    <a:noFill/>
                    <a:ln>
                      <a:noFill/>
                    </a:ln>
                  </pic:spPr>
                </pic:pic>
              </a:graphicData>
            </a:graphic>
          </wp:inline>
        </w:drawing>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SSBs are periodically transmitted from each cell. 3GPP defines five transmission modes: A to E. The frequency range, maximum number of SSB transmissions, subcarrier spacing, and starting OFDM symbol define these modes.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SSBs are organized into burst sets, where each burst set consists of one or more SSBs. Lmax represents the maximum number of SSBs that can be configured for different scenarios. For higher frequencies, this number is significantly higher than in the frequency range below 1 GHz (Lmax = 64), reflecting the need for more and smaller beams in the cm/mm wave spectrum. Each SSB has an index, whose value increments from 0 to Lmax - 1.</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The periodicity (20 milliseconds) can vary between 5 milliseconds and 160 milliseconds (5, 10, 20, 40, 80, 160 milliseconds). The 3GPP standard recommends using a periodicity of 20 milliseconds for SSBs defining the cell. Higher periodicities, such as 80 milliseconds or 160 milliseconds, are often used for SSBs in mmWave networks to provide more time for the transmission of additional SSBs in scenarios D and E.</w:t>
      </w:r>
    </w:p>
    <w:p>
      <w:pPr>
        <w:ind w:firstLine="480" w:firstLineChars="200"/>
        <w:rPr>
          <w:rFonts w:ascii="Times New Roman" w:hAnsi="Times New Roman" w:eastAsia="宋体" w:cs="Times New Roman"/>
          <w:sz w:val="24"/>
          <w:szCs w:val="24"/>
          <w:shd w:val="clear" w:color="auto" w:fill="FFFFFF"/>
        </w:rPr>
      </w:pP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Beamforming is a fundamental method to overcome increased path loss when using higher frequencies. This is also used for SSBs, which can be formed by individual beams and prioritize coverage of a specific geographic area.</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Frequency domain position:</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Variable and configurable. It does not need to be at the center frequency, providing flexibility in frequency planning.</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 transmission period:</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The transmission period of SSBs can be configured and has different values. Common values include ms5, ms10, ms20, ms40, ms80, and ms160, with ms20 (20-millisecond interval) being the most common.</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Maximum number of consecutive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For frequency band 1 (FR1, up to 3 GHz): 4 or 8 consecutive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For frequency band 2 (FR2, 3 GHz to 100 GHz): 64 consecutive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The main purpose of consecutive SSBs: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Beam management, where each consecutive SSB is transmitted in different beams. This is particularly important for beamforming and improving system performance, especially in mmWave frequency bands.</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RRC parameters for SSB sequence and SSB interval: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ssb-PositionsInBurst: An RRC parameter that informs Ambient IoT devices about the position of SSBs in a burst.</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ssb-periodicityServingCell: An RRC parameter that specifies the periodicity of SSB transmission for the serving cell.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SSBs are crucial for downlink synchronization in NR. They include synchronization signals and broadcast channel information, transmitted at configurable intervals, with specific frequency positioning, beam management, and other parameters guided by RRC configuration.</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SS Block (SSB) stands for Synchronization Signal Block, referring to the synchronization/PBCH block, as synchronization signals and the PBCH channel are packed into a single block that always moves together. The components of this block include:</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Synchronization signals: PSS (Primary Synchronization Signal), SSS (Secondary Synchronization Signal)</w:t>
      </w:r>
    </w:p>
    <w:p>
      <w:pPr>
        <w:ind w:firstLine="480"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sz w:val="24"/>
          <w:szCs w:val="24"/>
          <w:shd w:val="clear" w:color="auto" w:fill="FFFFFF"/>
        </w:rPr>
        <w:t>PBCH: PBCH DMRS and PBCH (Data)</w:t>
      </w:r>
    </w:p>
    <w:p>
      <w:pPr>
        <w:ind w:firstLine="482" w:firstLineChars="200"/>
        <w:rPr>
          <w:rFonts w:ascii="Times New Roman" w:hAnsi="Times New Roman" w:eastAsia="宋体" w:cs="Times New Roman"/>
          <w:sz w:val="24"/>
          <w:szCs w:val="24"/>
          <w:shd w:val="clear" w:color="auto" w:fill="FFFFFF"/>
        </w:rPr>
      </w:pPr>
      <w:r>
        <w:rPr>
          <w:rFonts w:ascii="Times New Roman" w:hAnsi="Times New Roman" w:eastAsia="宋体" w:cs="Times New Roman"/>
          <w:b/>
          <w:bCs/>
          <w:i/>
          <w:iCs/>
          <w:sz w:val="24"/>
          <w:szCs w:val="24"/>
          <w:shd w:val="clear" w:color="auto" w:fill="FFFFFF"/>
        </w:rPr>
        <w:t>Proposal 1: Regarding the SSB synchronization mechanism for IoT devices in the 5G NR environment, it is recommended to optimize the SSB transmission period and frequency domain position to enhance downlink synchronization efficiency and system performance.</w:t>
      </w:r>
    </w:p>
    <w:p>
      <w:pPr>
        <w:pStyle w:val="2"/>
        <w:spacing w:line="276" w:lineRule="auto"/>
        <w:rPr>
          <w:rFonts w:ascii="Times New Roman" w:hAnsi="Times New Roman" w:eastAsia="宋体"/>
        </w:rPr>
      </w:pPr>
      <w:r>
        <w:rPr>
          <w:rFonts w:hint="eastAsia" w:ascii="Times New Roman" w:hAnsi="Times New Roman" w:eastAsia="宋体"/>
        </w:rPr>
        <w:t>LTE SS Block vs NR SS Block</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following illustration highlights some high-level differences between LTE Synchronization Signal (SS) blocks and NR SS blocks (LTE does not use the term 'SS block,' but LTE also employs PSS/SSS and PBCH, which can be referred to as SS blocks).</w:t>
      </w:r>
    </w:p>
    <w:p>
      <w:pPr>
        <w:ind w:firstLine="480" w:firstLineChars="200"/>
        <w:rPr>
          <w:rFonts w:ascii="Times New Roman" w:hAnsi="Times New Roman" w:eastAsia="宋体" w:cs="Times New Roman"/>
          <w:sz w:val="24"/>
          <w:szCs w:val="24"/>
        </w:rPr>
      </w:pP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main difference between LTE SS (PSS, SSS) and PBCH lies in the periodicity of each channel. In LTE, SS (PSS, SSS) is transmitted every 5 milliseconds, while PBCH is transmitted every 10 milliseconds. In other words, in LTE, the periodicity of SS and PBCH is different. However, in NR, SS and PBCH are transmitted simultaneously, meaning their periodicity is the same. The typical periodicity of SSB (SS + PBCH) in NR is 20 milliseconds, but according to the 3GPP specification, the periodicity may vary.</w:t>
      </w:r>
    </w:p>
    <w:p>
      <w:pPr>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5274310" cy="343344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3433993"/>
                    </a:xfrm>
                    <a:prstGeom prst="rect">
                      <a:avLst/>
                    </a:prstGeom>
                    <a:noFill/>
                    <a:ln>
                      <a:noFill/>
                    </a:ln>
                  </pic:spPr>
                </pic:pic>
              </a:graphicData>
            </a:graphic>
          </wp:inline>
        </w:drawing>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temporal transmission patterns of SS blocks in NR are more complex compared to SS blocks in LTE (in fact, LTE has only one SSB transmission mode in the time domain, as indicated by the LTE frame structure. In LTE, the subframe number and the OFDM symbol numbers within a subframe are always the same in any circumstance). In NR, there are many different SSB transmission time domain patterns, as follows:</w:t>
      </w:r>
    </w:p>
    <w:p>
      <w:pPr>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5274310" cy="4907915"/>
            <wp:effectExtent l="0" t="0" r="254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4908139"/>
                    </a:xfrm>
                    <a:prstGeom prst="rect">
                      <a:avLst/>
                    </a:prstGeom>
                    <a:noFill/>
                    <a:ln>
                      <a:noFill/>
                    </a:ln>
                  </pic:spPr>
                </pic:pic>
              </a:graphicData>
            </a:graphic>
          </wp:inline>
        </w:drawing>
      </w:r>
    </w:p>
    <w:p>
      <w:pPr>
        <w:ind w:firstLine="480" w:firstLineChars="200"/>
        <w:rPr>
          <w:rFonts w:ascii="Times New Roman" w:hAnsi="Times New Roman" w:eastAsia="宋体" w:cs="Times New Roman"/>
          <w:sz w:val="24"/>
          <w:szCs w:val="24"/>
        </w:rPr>
      </w:pPr>
      <w:bookmarkStart w:id="3" w:name="SSB_Transmission_Pattern"/>
      <w:r>
        <w:rPr>
          <w:rFonts w:ascii="Times New Roman" w:hAnsi="Times New Roman" w:eastAsia="宋体" w:cs="Times New Roman"/>
          <w:sz w:val="24"/>
          <w:szCs w:val="24"/>
        </w:rPr>
        <w:t>The transmission of SS (Primary Synchronization Signal) / PBCH (Physical Broadcast Channel) within an SS/PBCH set is constrained within a 5-millisecond window. Within an SS/PBCH set (i.e., within a 5-millisecond period), the maximum number of SS/PBCHs is specified as 4 below 3 GHz, 8 between 3 and 6 GHz, and 64 between 6 and 52.6 GHz. This specification is made to strike a balance between coverage range and resource overhead. Additionally, the actual number of SS/PBCHs transmitted is configurable and may be less than the maximum number. This option is particularly useful in reducing the processing burden on gNBs, especially in cases where multiple SS/PBCHs need to be transmitted across multiple carriers within a single slot.</w:t>
      </w:r>
    </w:p>
    <w:bookmarkEnd w:id="3"/>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 Transmission Modes (SSB Bitmap)</w:t>
      </w:r>
      <w:r>
        <w:rPr>
          <w:rFonts w:hint="eastAsia" w:ascii="Times New Roman" w:hAnsi="Times New Roman" w:eastAsia="宋体" w:cs="Times New Roman"/>
          <w:sz w:val="24"/>
          <w:szCs w:val="24"/>
        </w:rPr>
        <w:t>：</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schematic diagram of SSB transmission above illustrates the scenario where all SSBs are transmitted, but it is not mandatory to transmit all SSBs. Depending on the network requirements, it is possible to selectively transmit only a portion of the SSBs and inform the Ambient IoT devices about which SSBs are being transmitted and which ones are not. This transmission mode is notified through a Radio Resource Control (RRC) information element (IE) called ssb-PositionInBurst.</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Mode 1: Used for Standalone (SA) and configured in the SIB1 message.</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SIB1 message is a System Information Block used in LTE and 5G networks to broadcast the basic configuration and parameters of the system. System Information Blocks are information elements broadcast periodically on the radio channel, containing some fundamental information about a specific cell in the network, allowing nearby Ambient IoT devices to properly configure and connect to that cell.</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In LTE and 5G, the SIB1 message typically includes the following:</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Cell configuration information: such as Cell ID, Public Land Mobile Network (PLMN) identity, etc.</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Cell frequency information: cell's center frequency and bandwidth configuration.</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Physical layer configuration: such as synchronization signal configuration, random access parameters, etc.</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Neighboring cell information: information about nearby other cells, used for device selection of suitable cells.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Therefore, the SIB1 message is a special system information block used to broadcast basic cell configuration information. Devices retrieve necessary configuration information from the broadcasted SIB1 message when connecting to the network, ensuring correct connection and communication.</w:t>
      </w:r>
      <w:r>
        <w:rPr>
          <w:rFonts w:hint="eastAsia" w:ascii="Times New Roman" w:hAnsi="Times New Roman" w:eastAsia="宋体" w:cs="Times New Roman"/>
          <w:sz w:val="24"/>
          <w:szCs w:val="24"/>
        </w:rPr>
        <w:t>。</w:t>
      </w:r>
    </w:p>
    <w:p>
      <w:pPr>
        <w:ind w:firstLine="480" w:firstLineChars="200"/>
        <w:rPr>
          <w:rFonts w:ascii="Times New Roman" w:hAnsi="Times New Roman" w:eastAsia="宋体" w:cs="Times New Roman"/>
          <w:sz w:val="24"/>
          <w:szCs w:val="24"/>
        </w:rPr>
      </w:pPr>
    </w:p>
    <w:p>
      <w:pPr>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drawing>
          <wp:inline distT="0" distB="0" distL="0" distR="0">
            <wp:extent cx="5274310" cy="962025"/>
            <wp:effectExtent l="0" t="0" r="2540" b="9525"/>
            <wp:docPr id="6578065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806504"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962025"/>
                    </a:xfrm>
                    <a:prstGeom prst="rect">
                      <a:avLst/>
                    </a:prstGeom>
                  </pic:spPr>
                </pic:pic>
              </a:graphicData>
            </a:graphic>
          </wp:inline>
        </w:drawing>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This is the configuration for Standalone (SA) mode, in which IoT devices can fully utilize the new features and capabilities of 5G NR without relying on the previous LTE network. It is configured in the SIB1 message. The ServingCellConfigCommonSIB mentioned above is a part of the SIB1 message used to configure common parameters of the serving cell. Here is an explanation of some of the fields: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ssb-PositionsInBurst: A SEQ AMBIENT IOT DEVICE structure containing two fields: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inOneGroup: An 8-bit BIT STRING used to represent the position of SSBs within a burst.</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groupPresence: An optional 8-bit BIT STRING, only present in the frequency range above 6 GHz, used to indicate the presence of SSB groups.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ssb-periodicityServingCell: An ENUMERATED type used to represent the periodicity of SSB transmission for the serving cell. Selectable values include ms5, ms10, ms20, ms40, ms80, ms160, and two reserved values.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These parameters allow flexible adjustment of SSB transmission for the serving cell in SA mode, including the position of SSBs, the presence of groups, and the transmission periodicity. This is crucial for optimizing system performance and adapting to different network requirements.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Note: In FR1, inOneGroup can specify all possible SSB bitmaps, while in FR2, inOneGroup cannot specify all possible SSB bitmaps because the maximum SSB bitmap in FR2 is 64 bits, but inOneGroup can only specify 8 bits. The groupPresence information element (IE) is used to handle this situation. The 64-bit bitmap is divided into 8 groups, each containing 8 bits. Each group bitmap is specified by groupPresence. By combining these two information elements, inOneGroup and groupPresence, any 64-bit bitmap can be specified.</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Mode 2: Used for Non-Standalone (NSA) mode configuration, with configuration information included in the RRC Connection Reconfiguration of the LTE anchor.</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RRC Connection Reconfiguration of the LTE anchor refers to the LTE network updating and adjusting device RRC connections in NSA scenarios to achieve better network performance and service experience. This is part of the collaboration between LTE and 5G, ensuring smooth handover and connection of devices in a hybrid LTE and 5G network.</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When the LTE network serves as the primary anchor, it updates and adjusts network connections via RRC (Radio Resource Control) Connection Reconfiguration.</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In NSA deployment, mobile devices are simultaneously connected to both LTE and 5G networks. When devices need to switch, reconfigure, or change other connection parameters, the network notifies them through RRC Connection Reconfiguration. This process is carried out through wireless signaling, containing new network configuration parameters, cell information, and other connection-related information.)</w:t>
      </w:r>
    </w:p>
    <w:p>
      <w:pPr>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drawing>
          <wp:inline distT="0" distB="0" distL="0" distR="0">
            <wp:extent cx="5274310" cy="988060"/>
            <wp:effectExtent l="0" t="0" r="2540" b="2540"/>
            <wp:docPr id="20417904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790464"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274310" cy="988060"/>
                    </a:xfrm>
                    <a:prstGeom prst="rect">
                      <a:avLst/>
                    </a:prstGeom>
                  </pic:spPr>
                </pic:pic>
              </a:graphicData>
            </a:graphic>
          </wp:inline>
        </w:drawing>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ServingCellConfigCommon is a System Information Block (SIB) in LTE networks that contains basic configuration information for the serving cell. In Non-Standalone (NSA) mode, this configuration is used when the LTE network serves as the primary anchor point instead of a fully independent 5G network.</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ssb-PositionsInBurst: This is a CHOICE, and depending on the scenario, one of the following options can be selected:</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shortBitmap: Used to specify the bitmap for short periodic SSBs, with a length of 4 bits.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mediumBitmap: Used to specify the bitmap for medium periodic SSBs, with a length of 8 bits.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longBitmap: Used to specify the bitmap for long periodic SSBs, with a length of 64 bits.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ssb-periodicityServingCell: This is an ENUMERATED type that indicates the periodicity of SSB transmission for the serving cell. The selectable values include ms5, ms10, ms20, ms40, ms80, ms160, and two spare values.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Configuring these parameters in NSA mode adjusts the serving cell, which serves as the primary anchor point in the LTE network, to ensure its coordination with 5G cells. This is crucial for providing enhanced performance and connectivity experience in hybrid LTE and 5G networks.</w:t>
      </w:r>
      <w:r>
        <w:rPr>
          <w:rFonts w:hint="eastAsia" w:ascii="Times New Roman" w:hAnsi="Times New Roman" w:eastAsia="宋体" w:cs="Times New Roman"/>
          <w:sz w:val="24"/>
          <w:szCs w:val="24"/>
        </w:rPr>
        <w:t>。</w:t>
      </w:r>
    </w:p>
    <w:p>
      <w:pPr>
        <w:ind w:firstLine="482" w:firstLineChars="200"/>
        <w:rPr>
          <w:rFonts w:ascii="Times New Roman" w:hAnsi="Times New Roman" w:eastAsia="宋体" w:cs="Times New Roman"/>
          <w:b/>
          <w:bCs/>
          <w:sz w:val="24"/>
          <w:szCs w:val="24"/>
        </w:rPr>
      </w:pPr>
      <w:r>
        <w:rPr>
          <w:rFonts w:ascii="Times New Roman" w:hAnsi="Times New Roman" w:eastAsia="宋体" w:cs="Times New Roman"/>
          <w:b/>
          <w:bCs/>
          <w:i/>
          <w:iCs/>
          <w:sz w:val="24"/>
          <w:szCs w:val="24"/>
        </w:rPr>
        <w:t>Proposal 2: Considering the differences in the periodicity of SS block transmission between LTE and NR, it is proposed to flexibly configure the transmission periodicity of SSBs in both NSA and SA modes to achieve better coordination between LTE and 5G networks.</w:t>
      </w:r>
    </w:p>
    <w:p>
      <w:pPr>
        <w:pStyle w:val="2"/>
        <w:spacing w:line="276" w:lineRule="auto"/>
        <w:rPr>
          <w:rFonts w:ascii="Times New Roman" w:hAnsi="Times New Roman" w:eastAsia="宋体"/>
        </w:rPr>
      </w:pPr>
      <w:r>
        <w:rPr>
          <w:rFonts w:ascii="Times New Roman" w:hAnsi="Times New Roman" w:eastAsia="宋体"/>
        </w:rPr>
        <w:t>SS Block</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synchronization signal block (SSB) is a small data packet existing within a radio frame, but it comprises many different components.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The SSB is mapped to 4 OFDM symbols in the time domain, corresponding to 20 BRs (240 subcarriers) in the frequency domain. In 5G NR, the concept of beam scanning is adopted, with multiple SSBs transmitted regularly, approximately every 20 milliseconds. Within an SSB Burst Set period, around 64 SSBs are transmitted using different beams. The transmission of individual SSBs within an SSB Burst Set is limited to approximately a 5-millisecond time window. The frequency position of SSBs is configured by the upper-layer protocol stack to support a sparser search grid for detecting SSBs.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SSB Transmission and Measurement:</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Multiple SSBs are transmitted at regular intervals.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Each SSB is uniquely identified by an SSB index number.</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Each SSB is transmitted through a specific beam in a particular direction.</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Ambient IoT devices measure and identify the optimal beam:</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 Multiple Ambient IoT devices are distributed around the gNB at different locations.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 Ambient IoT devices measure the signal strength of each detected SSB within a certain period (an SSB set's time period).</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 Based on the measurement results, Ambient IoT devices identify the SSB index with the strongest signal strength, which represents the optimal beam chosen by the Ambient IoT device.</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Determination of the Number of Beams: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The number of SSBs transmitted in an SSB Burst Set (a group of SSBs transmitted within a 5-millisecond window of SSB transmission) is determined by the Lmax parameter.</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For frequencies below 6 GHz, Lmax is set to 4 or 8, while for mmWave, it is 64.</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In other words, for frequencies below 6 GHz, up to 4 or 8 different beams can be used, and they are scanned in one dimension (either horizontal or vertical).</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In mmWave, up to 64 different beams can be used, and they can be scanned in two dimensions (both horizontal and vertical).</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Through this mechanism, Ambient IoT devices can select the optimal beam based on signal strength measurements, optimizing communication performance and coverage range. This is crucial for ensuring optimal communication quality for Ambient IoT devices in different locations.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Each SSB has a unique index number that can be identified by measuring the signal strength of the SSBs. The SSB index indicates the position of the SSB within the transmission period. IoT devices can use the previously mentioned beam scanning method to listen to SSB signals and measure their signal strength for time synchronization. Based on the detected signal strength in the SSBs, devices can determine the SSB index, thereby understanding the position of the current time period.</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By identifying the SSB index, IoT devices can calculate the offset between the current time and the system time. This offset can be used to adjust the device's local clock to synchronize with the network clock. The network can then assist in more accurate time synchronization by broadcasting system time information via SSBs. System broadcasts may include time information related to SSB transmission periods and indices.</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Specifically, by detecting and decoding SSBs, Ambient IoT devices can obtain the Physical Cell Identity, achieve downlink synchronization in time/frequency domains, and acquire the timing of the PBCH channel. The center frequency of PSS/SSS aligns with the center frequency of PBCH. PBCH carries the necessary 5G NR system information for Ambient IoT devices. Any 5G NR-compatible Ambient IoT device must decode the information in PBCH to access the 5G cell.</w:t>
      </w:r>
      <w:r>
        <w:rPr>
          <w:rFonts w:hint="eastAsia" w:ascii="Times New Roman" w:hAnsi="Times New Roman" w:eastAsia="宋体" w:cs="Times New Roman"/>
          <w:sz w:val="24"/>
          <w:szCs w:val="24"/>
        </w:rPr>
        <w:t>。</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3: Optimize the beam scanning mechanism for SSB transmission and measurement in 5G NR to ensure that IoT devices can quickly and accurately select the optimal beam, thereby optimizing communication performance.</w:t>
      </w:r>
    </w:p>
    <w:p>
      <w:pPr>
        <w:pStyle w:val="2"/>
        <w:spacing w:line="276" w:lineRule="auto"/>
        <w:rPr>
          <w:rFonts w:ascii="Times New Roman" w:hAnsi="Times New Roman" w:eastAsia="宋体"/>
        </w:rPr>
      </w:pPr>
      <w:r>
        <w:rPr>
          <w:rFonts w:ascii="Times New Roman" w:hAnsi="Times New Roman" w:eastAsia="宋体"/>
        </w:rPr>
        <w:t>Downlink synchronization</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In 5G NR networks, maintaining downlink synchronization is crucial, traditionally achieved by transmitting several Synchronization Signal Blocks (SSBs). However, this approach has some drawbacks, one of which is the wide bandwidth of SSBs, leading to significant resource consumption. Due to the broadband nature of these signals, UE measurement of SSBs requires considerable power consumption and adds complexity.</w:t>
      </w:r>
    </w:p>
    <w:p>
      <w:pPr>
        <w:ind w:firstLine="482" w:firstLineChars="200"/>
        <w:rPr>
          <w:rFonts w:ascii="Times New Roman" w:hAnsi="Times New Roman" w:eastAsia="宋体" w:cs="Times New Roman"/>
          <w:b/>
          <w:bCs/>
          <w:i/>
          <w:iCs/>
          <w:sz w:val="24"/>
          <w:szCs w:val="24"/>
        </w:rPr>
      </w:pPr>
      <w:bookmarkStart w:id="4" w:name="_Hlk159013654"/>
      <w:r>
        <w:rPr>
          <w:rFonts w:ascii="Times New Roman" w:hAnsi="Times New Roman" w:eastAsia="宋体" w:cs="Times New Roman"/>
          <w:b/>
          <w:bCs/>
          <w:i/>
          <w:iCs/>
          <w:sz w:val="24"/>
          <w:szCs w:val="24"/>
        </w:rPr>
        <w:t>Proposal 4: To reduce power consumption and complexity, we need to consider adopting a new downlink synchronization process.</w:t>
      </w:r>
    </w:p>
    <w:bookmarkEnd w:id="4"/>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On the other hand, in the traditional NR random access procedure, there exist two complex random access mechanisms. This complexity may be unnecessary for Ambient IoT devices as it increases device processing burden and power consumption. To simplify the random access process and enhance the efficiency of IoT devices, we need to research and explore new uplink random access procedures.</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5: Research and development should be conducted to devise new downlink synchronization procedures and new uplink random access procedures to enhance system efficiency and performance.</w:t>
      </w:r>
    </w:p>
    <w:p>
      <w:pPr>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In terms of scheduling and timing relationships, we can draw inspiration from the scheduling and Hybrid Automatic Repeat Request (HARQ) procedures in RFID technology. RFID technology has been widely adopted in the Internet of Things (IoT) domain, and its scheduling and HARQ procedures have proven to be efficient and reliable. Therefore, we can consider using RFID-like scheduling and HARQ procedures as a starting point for discussion, further optimizing and refining these technical aspects.</w:t>
      </w:r>
    </w:p>
    <w:p>
      <w:pPr>
        <w:ind w:firstLine="482" w:firstLineChars="200"/>
        <w:rPr>
          <w:rFonts w:ascii="Times New Roman" w:hAnsi="Times New Roman" w:eastAsia="宋体" w:cs="Times New Roman"/>
          <w:b/>
          <w:bCs/>
          <w:i/>
          <w:iCs/>
          <w:sz w:val="24"/>
          <w:szCs w:val="24"/>
        </w:rPr>
      </w:pPr>
      <w:bookmarkStart w:id="5" w:name="_Hlk159013669"/>
      <w:r>
        <w:rPr>
          <w:rFonts w:ascii="Times New Roman" w:hAnsi="Times New Roman" w:eastAsia="宋体" w:cs="Times New Roman"/>
          <w:b/>
          <w:bCs/>
          <w:i/>
          <w:iCs/>
          <w:sz w:val="24"/>
          <w:szCs w:val="24"/>
        </w:rPr>
        <w:t>Proposal 6: Researching new synchronization and random access processes, while drawing inspiration from RFID-like scheduling and HARQ procedures, can bring about more efficient and reliable communication solutions for the ambient Internet of Things domain.</w:t>
      </w:r>
    </w:p>
    <w:bookmarkEnd w:id="5"/>
    <w:p>
      <w:pPr>
        <w:pStyle w:val="2"/>
        <w:spacing w:line="276" w:lineRule="auto"/>
        <w:rPr>
          <w:rFonts w:ascii="Times New Roman" w:hAnsi="Times New Roman" w:eastAsia="宋体"/>
        </w:rPr>
      </w:pPr>
      <w:bookmarkStart w:id="6" w:name="_Hlk135044258"/>
      <w:r>
        <w:rPr>
          <w:rFonts w:ascii="Times New Roman" w:hAnsi="Times New Roman" w:eastAsia="宋体"/>
        </w:rPr>
        <w:t>Conclusions</w:t>
      </w:r>
    </w:p>
    <w:p>
      <w:pPr>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In this discussion, we present our views on frame structure and timing aspects for Ambient IoT. Based on the discussion, we have the following proposals:</w:t>
      </w:r>
    </w:p>
    <w:p>
      <w:pPr>
        <w:ind w:firstLine="482" w:firstLineChars="200"/>
        <w:rPr>
          <w:rFonts w:ascii="Times New Roman" w:hAnsi="Times New Roman" w:eastAsia="宋体" w:cs="Times New Roman"/>
          <w:b/>
          <w:bCs/>
          <w:i/>
          <w:iCs/>
          <w:sz w:val="24"/>
          <w:szCs w:val="24"/>
        </w:rPr>
      </w:pPr>
      <w:r>
        <w:rPr>
          <w:rFonts w:ascii="Times New Roman" w:hAnsi="Times New Roman" w:eastAsia="宋体"/>
          <w:b/>
          <w:i/>
          <w:sz w:val="24"/>
          <w:szCs w:val="24"/>
        </w:rPr>
        <w:t>Proposal 1: Regarding the SSB synchronization mechanism for IoT devices in the 5G NR environment, it is recommended to optimize the SSB transmission period and frequency domain position to enhance downlink synchronization efficiency and system performance.</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2: Considering the differences in the periodicity of SS block transmission between LTE and NR, it is proposed to flexibly configure the transmission periodicity of SSBs in both NSA and SA modes to achieve better coordination between LTE and 5G networks</w:t>
      </w:r>
      <w:r>
        <w:rPr>
          <w:rFonts w:hint="eastAsia" w:ascii="Times New Roman" w:hAnsi="Times New Roman" w:eastAsia="宋体" w:cs="Times New Roman"/>
          <w:b/>
          <w:bCs/>
          <w:i/>
          <w:iCs/>
          <w:sz w:val="24"/>
          <w:szCs w:val="24"/>
        </w:rPr>
        <w:t>.</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3: Optimize the beam scanning mechanism for SSB transmission and measurement in 5G NR to ensure that IoT devices can quickly and accurately select the optimal beam, thereby optimizing communication performance.</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4: To reduce power consumption and complexity, we need to consider adopting a new downlink synchronization process.</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5: Research and development should be conducted to devise new downlink synchronization procedures and new uplink random access procedures to enhance system efficiency and performance.</w:t>
      </w:r>
    </w:p>
    <w:p>
      <w:pPr>
        <w:ind w:firstLine="482" w:firstLineChars="200"/>
        <w:rPr>
          <w:rFonts w:ascii="Times New Roman" w:hAnsi="Times New Roman" w:eastAsia="宋体" w:cs="Times New Roman"/>
          <w:b/>
          <w:bCs/>
          <w:i/>
          <w:iCs/>
          <w:sz w:val="24"/>
          <w:szCs w:val="24"/>
        </w:rPr>
      </w:pPr>
      <w:r>
        <w:rPr>
          <w:rFonts w:ascii="Times New Roman" w:hAnsi="Times New Roman" w:eastAsia="宋体" w:cs="Times New Roman"/>
          <w:b/>
          <w:bCs/>
          <w:i/>
          <w:iCs/>
          <w:sz w:val="24"/>
          <w:szCs w:val="24"/>
        </w:rPr>
        <w:t>Proposal 6: Researching new synchronization and random access processes, while drawing inspiration from RFID-like scheduling and HARQ procedures, can bring about more efficient and reliable communication solutions for the ambient Internet of Things domain.</w:t>
      </w:r>
    </w:p>
    <w:bookmarkEnd w:id="6"/>
    <w:p>
      <w:pPr>
        <w:pStyle w:val="2"/>
        <w:numPr>
          <w:ilvl w:val="0"/>
          <w:numId w:val="0"/>
        </w:numPr>
        <w:spacing w:line="276" w:lineRule="auto"/>
        <w:ind w:left="432" w:hanging="432"/>
        <w:rPr>
          <w:rFonts w:ascii="Times New Roman" w:hAnsi="Times New Roman" w:eastAsia="宋体" w:cs="Times New Roman"/>
          <w:sz w:val="24"/>
          <w:szCs w:val="24"/>
        </w:rPr>
      </w:pPr>
      <w:bookmarkStart w:id="7" w:name="_Ref124671424"/>
      <w:bookmarkStart w:id="8" w:name="_Ref71620620"/>
      <w:bookmarkStart w:id="9" w:name="_Ref124589665"/>
      <w:r>
        <w:rPr>
          <w:rFonts w:ascii="Times New Roman" w:hAnsi="Times New Roman" w:eastAsia="宋体"/>
        </w:rPr>
        <w:t>References</w:t>
      </w:r>
      <w:bookmarkEnd w:id="7"/>
      <w:bookmarkEnd w:id="8"/>
      <w:bookmarkEnd w:id="9"/>
    </w:p>
    <w:p>
      <w:pPr>
        <w:pStyle w:val="9"/>
        <w:numPr>
          <w:ilvl w:val="0"/>
          <w:numId w:val="2"/>
        </w:numPr>
        <w:ind w:firstLineChars="0"/>
        <w:rPr>
          <w:rFonts w:ascii="Times New Roman" w:hAnsi="Times New Roman" w:eastAsia="宋体" w:cs="Times New Roman"/>
          <w:sz w:val="24"/>
          <w:szCs w:val="24"/>
        </w:rPr>
      </w:pPr>
      <w:bookmarkStart w:id="10" w:name="_Ref157874913"/>
      <w:r>
        <w:rPr>
          <w:rFonts w:ascii="Times New Roman" w:hAnsi="Times New Roman" w:eastAsia="宋体" w:cs="Times New Roman"/>
          <w:sz w:val="24"/>
          <w:szCs w:val="24"/>
        </w:rPr>
        <w:t>Rohde &amp; Schwarz White paper</w:t>
      </w:r>
      <w:bookmarkEnd w:id="10"/>
    </w:p>
    <w:p>
      <w:pPr>
        <w:rPr>
          <w:rFonts w:ascii="Times New Roman" w:hAnsi="Times New Roman" w:eastAsia="微软雅黑"/>
          <w:sz w:val="24"/>
          <w:szCs w:val="24"/>
        </w:rPr>
      </w:pPr>
      <w:r>
        <w:rPr>
          <w:rFonts w:ascii="Times New Roman" w:hAnsi="Times New Roman" w:eastAsia="微软雅黑"/>
          <w:sz w:val="24"/>
          <w:szCs w:val="24"/>
        </w:rPr>
        <w:t>[2] RP-234058, “New SID: Study on solutions for Ambient IoT (Internet of Things) in NR,” Huawei, TSG RAN Meeting #102, Edinburgh, UK, Dec. 2023</w:t>
      </w:r>
    </w:p>
    <w:p>
      <w:pPr>
        <w:rPr>
          <w:rFonts w:ascii="Times New Roman" w:hAnsi="Times New Roman" w:eastAsia="微软雅黑"/>
          <w:sz w:val="24"/>
          <w:szCs w:val="24"/>
        </w:rPr>
      </w:pPr>
      <w:r>
        <w:rPr>
          <w:rFonts w:ascii="Times New Roman" w:hAnsi="Times New Roman" w:eastAsia="微软雅黑"/>
          <w:sz w:val="24"/>
          <w:szCs w:val="24"/>
        </w:rPr>
        <w:t>[3] RP-233571, “Views on Rel-19 Ambient IoT,” China Telecom, TSG RAN Meeting #102, Edinburgh, Scotland, Dec. 2023</w:t>
      </w:r>
    </w:p>
    <w:p>
      <w:pPr>
        <w:rPr>
          <w:rFonts w:ascii="Times New Roman" w:hAnsi="Times New Roman" w:eastAsia="微软雅黑"/>
          <w:sz w:val="24"/>
          <w:szCs w:val="24"/>
        </w:rPr>
      </w:pPr>
      <w:r>
        <w:rPr>
          <w:rFonts w:ascii="Times New Roman" w:hAnsi="Times New Roman" w:eastAsia="微软雅黑"/>
          <w:sz w:val="24"/>
          <w:szCs w:val="24"/>
        </w:rPr>
        <w:t>[4] RP-233518, “Multiple access and backscatter consideration for R19 ambient IoT,” BJTU, TSG RAN Meeting #102, Edinburgh, Scotland, Dec. 2023</w:t>
      </w:r>
    </w:p>
    <w:p>
      <w:pPr>
        <w:rPr>
          <w:rFonts w:ascii="Times New Roman" w:hAnsi="Times New Roman" w:eastAsia="宋体" w:cs="Times New Roman"/>
          <w:sz w:val="24"/>
          <w:szCs w:val="24"/>
        </w:rPr>
      </w:pPr>
      <w:r>
        <w:rPr>
          <w:rFonts w:ascii="Times New Roman" w:hAnsi="Times New Roman" w:eastAsia="宋体" w:cs="Times New Roman"/>
          <w:sz w:val="24"/>
          <w:szCs w:val="24"/>
        </w:rPr>
        <w:t>[5] Youtube:5G Technology Explained: Synchronization Signal Blocks (SSB) in 5G New Radio (NR)</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5091086"/>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593D3E4E"/>
    <w:multiLevelType w:val="multilevel"/>
    <w:tmpl w:val="593D3E4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JmMjVkYWQ2ODVkYzhlMGQ4YjQyZTA1Mjc0MmNmNWUifQ=="/>
  </w:docVars>
  <w:rsids>
    <w:rsidRoot w:val="003D6618"/>
    <w:rsid w:val="00002CB3"/>
    <w:rsid w:val="000135E6"/>
    <w:rsid w:val="000812E7"/>
    <w:rsid w:val="000B232B"/>
    <w:rsid w:val="000F46B8"/>
    <w:rsid w:val="00121460"/>
    <w:rsid w:val="00163677"/>
    <w:rsid w:val="001B00B6"/>
    <w:rsid w:val="001B1278"/>
    <w:rsid w:val="001D3E49"/>
    <w:rsid w:val="00223210"/>
    <w:rsid w:val="00247342"/>
    <w:rsid w:val="002500DE"/>
    <w:rsid w:val="002A7AB7"/>
    <w:rsid w:val="002B1BF9"/>
    <w:rsid w:val="002E47E8"/>
    <w:rsid w:val="002F6E36"/>
    <w:rsid w:val="00310E02"/>
    <w:rsid w:val="003340D3"/>
    <w:rsid w:val="003D6618"/>
    <w:rsid w:val="00453594"/>
    <w:rsid w:val="0048670F"/>
    <w:rsid w:val="005238D3"/>
    <w:rsid w:val="00581E1F"/>
    <w:rsid w:val="005C45C5"/>
    <w:rsid w:val="005C64BF"/>
    <w:rsid w:val="00616576"/>
    <w:rsid w:val="00655330"/>
    <w:rsid w:val="006B175A"/>
    <w:rsid w:val="006C2DBD"/>
    <w:rsid w:val="00723CA3"/>
    <w:rsid w:val="0076332C"/>
    <w:rsid w:val="00770A5B"/>
    <w:rsid w:val="00771968"/>
    <w:rsid w:val="00792F8C"/>
    <w:rsid w:val="007C5687"/>
    <w:rsid w:val="007D5083"/>
    <w:rsid w:val="007E308B"/>
    <w:rsid w:val="00803D5A"/>
    <w:rsid w:val="0081606E"/>
    <w:rsid w:val="008177E3"/>
    <w:rsid w:val="00827F31"/>
    <w:rsid w:val="008460C3"/>
    <w:rsid w:val="00905A6D"/>
    <w:rsid w:val="009141A9"/>
    <w:rsid w:val="00953882"/>
    <w:rsid w:val="009E0FF4"/>
    <w:rsid w:val="00A26CB9"/>
    <w:rsid w:val="00A26E8C"/>
    <w:rsid w:val="00A565A9"/>
    <w:rsid w:val="00A94137"/>
    <w:rsid w:val="00AC06F1"/>
    <w:rsid w:val="00AC3264"/>
    <w:rsid w:val="00AD17C5"/>
    <w:rsid w:val="00AE121F"/>
    <w:rsid w:val="00B240B7"/>
    <w:rsid w:val="00BA0421"/>
    <w:rsid w:val="00BA19BC"/>
    <w:rsid w:val="00BE2AB1"/>
    <w:rsid w:val="00BE665E"/>
    <w:rsid w:val="00C15435"/>
    <w:rsid w:val="00C2725D"/>
    <w:rsid w:val="00C66C43"/>
    <w:rsid w:val="00C72CC4"/>
    <w:rsid w:val="00CD34B2"/>
    <w:rsid w:val="00CE4D21"/>
    <w:rsid w:val="00D22148"/>
    <w:rsid w:val="00D346E4"/>
    <w:rsid w:val="00D92BDE"/>
    <w:rsid w:val="00DA55AD"/>
    <w:rsid w:val="00DC0264"/>
    <w:rsid w:val="00DC3519"/>
    <w:rsid w:val="00DD172F"/>
    <w:rsid w:val="00E85F58"/>
    <w:rsid w:val="00EE7DD5"/>
    <w:rsid w:val="00EF410A"/>
    <w:rsid w:val="00F044BC"/>
    <w:rsid w:val="00F556BA"/>
    <w:rsid w:val="00F90D88"/>
    <w:rsid w:val="00F91864"/>
    <w:rsid w:val="00FF18B8"/>
    <w:rsid w:val="00FF3D45"/>
    <w:rsid w:val="02574B81"/>
    <w:rsid w:val="282C0181"/>
    <w:rsid w:val="3C693FA1"/>
    <w:rsid w:val="45537F33"/>
    <w:rsid w:val="55044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numPr>
        <w:ilvl w:val="0"/>
        <w:numId w:val="1"/>
      </w:numPr>
      <w:spacing w:before="120"/>
      <w:outlineLvl w:val="0"/>
    </w:pPr>
    <w:rPr>
      <w:b/>
      <w:bCs/>
      <w:sz w:val="28"/>
      <w:szCs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E030E-918F-4D35-B8E1-EF3B182DB1A6}">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10</Pages>
  <Words>3292</Words>
  <Characters>18769</Characters>
  <Lines>156</Lines>
  <Paragraphs>44</Paragraphs>
  <TotalTime>1360</TotalTime>
  <ScaleCrop>false</ScaleCrop>
  <LinksUpToDate>false</LinksUpToDate>
  <CharactersWithSpaces>22017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2024-02-16T14:08:00Z</dcterms:created>
  <dc:creator>子都 田</dc:creator>
  <cp:lastModifiedBy>FANG</cp:lastModifiedBy>
  <dcterms:modified xsi:type="dcterms:W3CDTF">2024-02-19T06:09:25Z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C5169718B04A44239F59C55A1B7BBC02_13</vt:lpwstr>
  </property>
</Properties>
</file>