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25F00" w14:textId="41151906" w:rsidR="00B46098" w:rsidRPr="00B46098" w:rsidRDefault="00B46098" w:rsidP="00B4609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B46098">
        <w:rPr>
          <w:rFonts w:ascii="Arial" w:eastAsia="Batang" w:hAnsi="Arial" w:cs="Arial"/>
          <w:b/>
          <w:bCs/>
          <w:sz w:val="28"/>
          <w:szCs w:val="24"/>
          <w:lang w:eastAsia="en-US"/>
        </w:rPr>
        <w:t>3GPP TSG RAN WG1 #115</w:t>
      </w:r>
      <w:r w:rsidRPr="00B46098">
        <w:rPr>
          <w:rFonts w:ascii="Arial" w:eastAsia="Batang" w:hAnsi="Arial" w:cs="Arial"/>
          <w:b/>
          <w:bCs/>
          <w:sz w:val="28"/>
          <w:szCs w:val="24"/>
          <w:lang w:eastAsia="en-US"/>
        </w:rPr>
        <w:tab/>
      </w:r>
      <w:r w:rsidRPr="00B46098">
        <w:rPr>
          <w:rFonts w:ascii="Arial" w:eastAsia="Batang" w:hAnsi="Arial" w:cs="Arial"/>
          <w:b/>
          <w:bCs/>
          <w:sz w:val="28"/>
          <w:szCs w:val="24"/>
          <w:lang w:eastAsia="en-US"/>
        </w:rPr>
        <w:tab/>
      </w:r>
      <w:r w:rsidRPr="00B46098">
        <w:rPr>
          <w:rFonts w:ascii="Arial" w:eastAsia="Batang" w:hAnsi="Arial" w:cs="Arial"/>
          <w:b/>
          <w:bCs/>
          <w:sz w:val="28"/>
          <w:szCs w:val="24"/>
          <w:lang w:eastAsia="en-US"/>
        </w:rPr>
        <w:tab/>
        <w:t>R1-2310</w:t>
      </w:r>
      <w:r>
        <w:rPr>
          <w:rFonts w:ascii="Arial" w:eastAsia="Batang" w:hAnsi="Arial" w:cs="Arial"/>
          <w:b/>
          <w:bCs/>
          <w:sz w:val="28"/>
          <w:szCs w:val="24"/>
          <w:lang w:eastAsia="en-US"/>
        </w:rPr>
        <w:t>800</w:t>
      </w:r>
    </w:p>
    <w:p w14:paraId="7E93459C" w14:textId="77777777" w:rsidR="00B46098" w:rsidRPr="00B46098" w:rsidRDefault="00B46098" w:rsidP="00B4609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B46098">
        <w:rPr>
          <w:rFonts w:ascii="Arial" w:eastAsia="MS Mincho" w:hAnsi="Arial" w:cs="Arial"/>
          <w:b/>
          <w:bCs/>
          <w:sz w:val="28"/>
          <w:szCs w:val="24"/>
          <w:lang w:eastAsia="ja-JP"/>
        </w:rPr>
        <w:t>Chicago, USA, November 13</w:t>
      </w:r>
      <w:r w:rsidRPr="00B46098">
        <w:rPr>
          <w:rFonts w:ascii="Malgun Gothic" w:eastAsia="Malgun Gothic" w:hAnsi="Malgun Gothic" w:cs="Malgun Gothic" w:hint="eastAsia"/>
          <w:b/>
          <w:bCs/>
          <w:sz w:val="28"/>
          <w:szCs w:val="24"/>
          <w:vertAlign w:val="superscript"/>
          <w:lang w:eastAsia="ko-KR"/>
        </w:rPr>
        <w:t>th</w:t>
      </w:r>
      <w:r w:rsidRPr="00B46098">
        <w:rPr>
          <w:rFonts w:ascii="Arial" w:eastAsia="MS Mincho" w:hAnsi="Arial" w:cs="Arial"/>
          <w:b/>
          <w:bCs/>
          <w:sz w:val="28"/>
          <w:szCs w:val="24"/>
          <w:lang w:eastAsia="ja-JP"/>
        </w:rPr>
        <w:t xml:space="preserve"> </w:t>
      </w:r>
      <w:r w:rsidRPr="00B46098">
        <w:rPr>
          <w:rFonts w:ascii="Arial" w:eastAsia="Batang" w:hAnsi="Arial" w:cs="Arial"/>
          <w:b/>
          <w:bCs/>
          <w:sz w:val="28"/>
          <w:szCs w:val="24"/>
          <w:lang w:eastAsia="en-US"/>
        </w:rPr>
        <w:t>– November</w:t>
      </w:r>
      <w:r w:rsidRPr="00B46098">
        <w:rPr>
          <w:rFonts w:ascii="Arial" w:eastAsia="MS Mincho" w:hAnsi="Arial" w:cs="Arial"/>
          <w:b/>
          <w:bCs/>
          <w:sz w:val="28"/>
          <w:szCs w:val="24"/>
          <w:lang w:eastAsia="ja-JP"/>
        </w:rPr>
        <w:t xml:space="preserve"> 17</w:t>
      </w:r>
      <w:r w:rsidRPr="00B46098">
        <w:rPr>
          <w:rFonts w:ascii="Arial" w:eastAsia="MS Mincho" w:hAnsi="Arial" w:cs="Arial"/>
          <w:b/>
          <w:bCs/>
          <w:sz w:val="28"/>
          <w:szCs w:val="24"/>
          <w:vertAlign w:val="superscript"/>
          <w:lang w:eastAsia="ja-JP"/>
        </w:rPr>
        <w:t>th</w:t>
      </w:r>
      <w:r w:rsidRPr="00B46098">
        <w:rPr>
          <w:rFonts w:ascii="Arial" w:eastAsia="MS Mincho" w:hAnsi="Arial" w:cs="Arial"/>
          <w:b/>
          <w:bCs/>
          <w:sz w:val="28"/>
          <w:szCs w:val="24"/>
          <w:lang w:eastAsia="ja-JP"/>
        </w:rPr>
        <w:t>, 2023</w:t>
      </w:r>
    </w:p>
    <w:bookmarkEnd w:id="0"/>
    <w:p w14:paraId="18417D91" w14:textId="77777777" w:rsidR="00B46098" w:rsidRDefault="00B46098" w:rsidP="00497C8F">
      <w:pPr>
        <w:pStyle w:val="a1"/>
      </w:pPr>
    </w:p>
    <w:p w14:paraId="599F4271" w14:textId="2397F93E"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10</w:t>
      </w:r>
      <w:r w:rsidR="00510756">
        <w:rPr>
          <w:rFonts w:cs="Arial"/>
          <w:szCs w:val="22"/>
        </w:rPr>
        <w:t>8bis</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t>R4-</w:t>
      </w:r>
      <w:r w:rsidR="00C31654" w:rsidRPr="00C31654">
        <w:t>231</w:t>
      </w:r>
      <w:r w:rsidR="00A80DB1">
        <w:t>7768</w:t>
      </w:r>
    </w:p>
    <w:p w14:paraId="4DC4C74F" w14:textId="32534F8D" w:rsidR="00767D46" w:rsidRPr="00510756" w:rsidRDefault="00510756" w:rsidP="00497C8F">
      <w:pPr>
        <w:rPr>
          <w:rFonts w:ascii="Arial" w:eastAsia="Arial" w:hAnsi="Arial"/>
          <w:b/>
          <w:bCs/>
          <w:noProof/>
          <w:sz w:val="22"/>
          <w:lang w:eastAsia="en-US"/>
        </w:rPr>
      </w:pPr>
      <w:r w:rsidRPr="00510756">
        <w:rPr>
          <w:rFonts w:ascii="Arial" w:eastAsia="Arial" w:hAnsi="Arial"/>
          <w:b/>
          <w:bCs/>
          <w:noProof/>
          <w:sz w:val="22"/>
          <w:lang w:eastAsia="en-US"/>
        </w:rPr>
        <w:t>Xiamen, China, October 09 – 13, 202</w:t>
      </w:r>
      <w:r w:rsidR="006F76F6">
        <w:rPr>
          <w:rFonts w:ascii="Arial" w:eastAsia="Arial" w:hAnsi="Arial"/>
          <w:b/>
          <w:bCs/>
          <w:noProof/>
          <w:sz w:val="22"/>
          <w:lang w:eastAsia="en-US"/>
        </w:rPr>
        <w:t>3</w:t>
      </w:r>
    </w:p>
    <w:p w14:paraId="111F0EDF" w14:textId="77777777" w:rsidR="00767D46" w:rsidRDefault="00767D46" w:rsidP="00767D46"/>
    <w:p w14:paraId="6F8A4D70" w14:textId="2D6CCC19"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6556C1C4"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2A4A93">
        <w:rPr>
          <w:rFonts w:ascii="Arial" w:hAnsi="Arial" w:cs="Arial"/>
          <w:bCs/>
          <w:sz w:val="22"/>
          <w:szCs w:val="22"/>
        </w:rPr>
        <w:t>5008</w:t>
      </w:r>
      <w:r w:rsidR="004D6C22">
        <w:rPr>
          <w:rFonts w:ascii="Arial" w:hAnsi="Arial" w:cs="Arial"/>
          <w:bCs/>
          <w:sz w:val="22"/>
          <w:szCs w:val="22"/>
        </w:rPr>
        <w:t xml:space="preserve"> (R1-2308561)</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453BB386"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r w:rsidR="00B46098">
        <w:rPr>
          <w:rFonts w:ascii="Arial" w:hAnsi="Arial" w:cs="Arial"/>
          <w:sz w:val="22"/>
          <w:lang w:val="en-US"/>
        </w:rPr>
        <w:t>-Core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4A4AEB79"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D6C22">
        <w:rPr>
          <w:rFonts w:ascii="Arial" w:hAnsi="Arial" w:cs="Arial"/>
          <w:sz w:val="22"/>
          <w:szCs w:val="22"/>
        </w:rPr>
        <w:t xml:space="preserve">TSG RAN WG1, </w:t>
      </w:r>
      <w:r w:rsidR="00510756">
        <w:rPr>
          <w:rFonts w:ascii="Arial" w:hAnsi="Arial" w:cs="Arial"/>
          <w:sz w:val="22"/>
          <w:szCs w:val="22"/>
        </w:rPr>
        <w:t>TSG RAN WG2</w:t>
      </w:r>
    </w:p>
    <w:p w14:paraId="5C5BE15D" w14:textId="30255E7C"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52EDE86" w14:textId="63F8730C" w:rsidR="00767D46" w:rsidRDefault="00767D46" w:rsidP="00767D46">
      <w:pPr>
        <w:pStyle w:val="Heading1"/>
        <w:numPr>
          <w:ilvl w:val="0"/>
          <w:numId w:val="0"/>
        </w:numPr>
      </w:pPr>
      <w:r>
        <w:t>1</w:t>
      </w:r>
      <w:r>
        <w:tab/>
      </w:r>
      <w:r w:rsidR="00022BB8">
        <w:tab/>
      </w:r>
      <w:r>
        <w:t>Overall description</w:t>
      </w:r>
    </w:p>
    <w:p w14:paraId="4992FB38" w14:textId="4AB678C3"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thanks RAN1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limit for CA and DC in R1-2308561.</w:t>
      </w:r>
    </w:p>
    <w:p w14:paraId="7B68C37F" w14:textId="72FC3705"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RAN1, RAN4 would like to share the following answers based on RAN4 latest discussion outcome</w:t>
      </w:r>
      <w:r w:rsidR="00A4204C">
        <w:rPr>
          <w:rFonts w:ascii="Arial" w:hAnsi="Arial" w:cs="Arial"/>
          <w:lang w:val="en-US"/>
        </w:rPr>
        <w:t>s</w:t>
      </w:r>
      <w:r>
        <w:rPr>
          <w:rFonts w:ascii="Arial" w:hAnsi="Arial" w:cs="Arial"/>
          <w:lang w:val="en-US"/>
        </w:rPr>
        <w:t xml:space="preserve"> in R4-2314703.</w:t>
      </w:r>
    </w:p>
    <w:p w14:paraId="63DDD595" w14:textId="3C670090"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Pr="0025409F">
        <w:rPr>
          <w:rFonts w:ascii="Arial" w:eastAsia="Yu Mincho" w:hAnsi="Arial" w:cs="Arial"/>
          <w:iCs/>
          <w:sz w:val="20"/>
          <w:szCs w:val="20"/>
          <w:lang w:val="en-US" w:eastAsia="ja-JP"/>
        </w:rPr>
        <w:t>It is RAN1 understanding that </w:t>
      </w:r>
      <w:r w:rsidRPr="0025409F">
        <w:rPr>
          <w:rFonts w:ascii="Arial" w:eastAsia="Yu Mincho" w:hAnsi="Arial" w:cs="Arial"/>
          <w:iCs/>
          <w:sz w:val="20"/>
          <w:szCs w:val="20"/>
          <w:lang w:val="fr-FR" w:eastAsia="ja-JP"/>
        </w:rPr>
        <w:t>Δ</w:t>
      </w:r>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PowerClass</w:t>
      </w:r>
      <w:r w:rsidRPr="0025409F">
        <w:rPr>
          <w:rFonts w:ascii="Arial" w:eastAsia="Yu Mincho" w:hAnsi="Arial" w:cs="Arial"/>
          <w:iCs/>
          <w:sz w:val="20"/>
          <w:szCs w:val="20"/>
          <w:lang w:val="en-US"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25409F">
        <w:rPr>
          <w:rFonts w:ascii="Arial" w:eastAsia="Yu Mincho" w:hAnsi="Arial" w:cs="Arial"/>
          <w:iCs/>
          <w:sz w:val="20"/>
          <w:szCs w:val="20"/>
          <w:lang w:val="fr-FR" w:eastAsia="ja-JP"/>
        </w:rPr>
        <w:t>Δ</w:t>
      </w:r>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 xml:space="preserve">PowerClass </w:t>
      </w:r>
      <w:r w:rsidRPr="0025409F">
        <w:rPr>
          <w:rFonts w:ascii="Arial" w:eastAsia="Yu Mincho" w:hAnsi="Arial" w:cs="Arial"/>
          <w:iCs/>
          <w:sz w:val="20"/>
          <w:szCs w:val="20"/>
          <w:lang w:val="en-US" w:eastAsia="ja-JP"/>
        </w:rPr>
        <w:t>reporting in PHR MAC CE?</w:t>
      </w:r>
    </w:p>
    <w:p w14:paraId="3ECE07EA" w14:textId="47AAA64E" w:rsidR="00DA0048" w:rsidRPr="001E4E65" w:rsidRDefault="00DA0048" w:rsidP="001E4E65">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1E4E65">
        <w:rPr>
          <w:rFonts w:ascii="Arial" w:eastAsia="Yu Mincho" w:hAnsi="Arial" w:cs="Arial"/>
          <w:b/>
          <w:bCs/>
          <w:iCs/>
          <w:sz w:val="20"/>
          <w:szCs w:val="20"/>
          <w:lang w:eastAsia="ja-JP"/>
        </w:rPr>
        <w:t>Answer from RAN4</w:t>
      </w:r>
      <w:r w:rsidRPr="001E4E65">
        <w:rPr>
          <w:rFonts w:ascii="Arial" w:eastAsia="Yu Mincho" w:hAnsi="Arial" w:cs="Arial"/>
          <w:iCs/>
          <w:sz w:val="20"/>
          <w:szCs w:val="20"/>
          <w:lang w:eastAsia="ja-JP"/>
        </w:rPr>
        <w:t xml:space="preserve">: </w:t>
      </w:r>
      <w:r w:rsidR="001E4E65" w:rsidRPr="001E4E65">
        <w:rPr>
          <w:rFonts w:ascii="Arial" w:eastAsia="Yu Mincho" w:hAnsi="Arial" w:cs="Arial"/>
          <w:iCs/>
          <w:sz w:val="20"/>
          <w:szCs w:val="20"/>
          <w:lang w:val="en-US" w:eastAsia="ja-JP"/>
        </w:rPr>
        <w:t>RAN4 confirms that the cases to enable UE to report ΔP</w:t>
      </w:r>
      <w:r w:rsidR="001E4E65" w:rsidRPr="001E4E65">
        <w:rPr>
          <w:rFonts w:ascii="Arial" w:eastAsia="Yu Mincho" w:hAnsi="Arial" w:cs="Arial"/>
          <w:iCs/>
          <w:sz w:val="20"/>
          <w:szCs w:val="20"/>
          <w:vertAlign w:val="subscript"/>
          <w:lang w:val="en-US" w:eastAsia="ja-JP"/>
        </w:rPr>
        <w:t>PowerClass</w:t>
      </w:r>
      <w:r w:rsidR="001E4E65" w:rsidRPr="001E4E65">
        <w:rPr>
          <w:rFonts w:ascii="Arial" w:eastAsia="Yu Mincho" w:hAnsi="Arial" w:cs="Arial"/>
          <w:iCs/>
          <w:sz w:val="20"/>
          <w:szCs w:val="20"/>
          <w:lang w:val="en-US" w:eastAsia="ja-JP"/>
        </w:rPr>
        <w:t xml:space="preserve"> are limited to occasions when maximum transmission power changes originating from a duty cycle mechanism. This principle applies to not only single carrier case, but also multiple carrier case for CA/DC.</w:t>
      </w:r>
      <w:r w:rsidR="00A404E2" w:rsidRPr="001E4E65">
        <w:rPr>
          <w:rFonts w:ascii="Arial" w:eastAsia="Yu Mincho" w:hAnsi="Arial" w:cs="Arial"/>
          <w:iCs/>
          <w:sz w:val="20"/>
          <w:szCs w:val="20"/>
          <w:lang w:val="en-US" w:eastAsia="ja-JP"/>
        </w:rPr>
        <w:t xml:space="preserve"> </w:t>
      </w:r>
      <w:r w:rsidR="00014351" w:rsidRPr="001E4E65">
        <w:rPr>
          <w:rFonts w:ascii="Arial" w:eastAsia="Yu Mincho" w:hAnsi="Arial" w:cs="Arial"/>
          <w:iCs/>
          <w:sz w:val="20"/>
          <w:szCs w:val="20"/>
          <w:lang w:val="en-US" w:eastAsia="ja-JP"/>
        </w:rPr>
        <w:t xml:space="preserve"> </w:t>
      </w:r>
    </w:p>
    <w:p w14:paraId="721292D4" w14:textId="77777777" w:rsidR="00DA0048" w:rsidRPr="0025409F" w:rsidRDefault="00DA0048" w:rsidP="00DA0048">
      <w:pPr>
        <w:pStyle w:val="ListParagraph"/>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val="en-US" w:eastAsia="ja-JP"/>
        </w:rPr>
      </w:pPr>
    </w:p>
    <w:p w14:paraId="50579F27" w14:textId="77777777"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eastAsia="ja-JP"/>
        </w:rPr>
      </w:pPr>
      <w:r w:rsidRPr="0025409F">
        <w:rPr>
          <w:rFonts w:ascii="Arial" w:eastAsia="Yu Mincho" w:hAnsi="Arial" w:cs="Arial"/>
          <w:b/>
          <w:bCs/>
          <w:iCs/>
          <w:sz w:val="20"/>
          <w:szCs w:val="20"/>
          <w:lang w:eastAsia="ja-JP"/>
        </w:rPr>
        <w:t>Q2</w:t>
      </w:r>
      <w:r w:rsidRPr="0025409F">
        <w:rPr>
          <w:rFonts w:ascii="Arial" w:eastAsia="Yu Mincho" w:hAnsi="Arial" w:cs="Arial"/>
          <w:iCs/>
          <w:sz w:val="20"/>
          <w:szCs w:val="20"/>
          <w:lang w:eastAsia="ja-JP"/>
        </w:rPr>
        <w:t>: In case of duty cycle exceedance, and resulting 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reporting as per recommendation in R4-2310500, is a further 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reporting also allowed when UE returns to advertised PC power capabilities? </w:t>
      </w:r>
    </w:p>
    <w:p w14:paraId="48A12EF8" w14:textId="79E810FE"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553015" w:rsidRPr="0025409F">
        <w:rPr>
          <w:rFonts w:ascii="Arial" w:eastAsia="Yu Mincho" w:hAnsi="Arial" w:cs="Arial"/>
          <w:iCs/>
          <w:sz w:val="20"/>
          <w:szCs w:val="20"/>
          <w:lang w:val="en-US" w:eastAsia="ja-JP"/>
        </w:rPr>
        <w:t xml:space="preserve">As clarified in R4-2314703, </w:t>
      </w:r>
      <w:r w:rsidR="00553015" w:rsidRPr="0025409F">
        <w:rPr>
          <w:rFonts w:ascii="Arial" w:eastAsia="Yu Mincho" w:hAnsi="Arial" w:cs="Arial"/>
          <w:iCs/>
          <w:sz w:val="20"/>
          <w:szCs w:val="20"/>
          <w:lang w:eastAsia="ja-JP"/>
        </w:rPr>
        <w:t>ΔP</w:t>
      </w:r>
      <w:r w:rsidR="00553015" w:rsidRPr="0025409F">
        <w:rPr>
          <w:rFonts w:ascii="Arial" w:eastAsia="Yu Mincho" w:hAnsi="Arial" w:cs="Arial"/>
          <w:iCs/>
          <w:sz w:val="20"/>
          <w:szCs w:val="20"/>
          <w:vertAlign w:val="subscript"/>
          <w:lang w:eastAsia="ja-JP"/>
        </w:rPr>
        <w:t>PowerClass</w:t>
      </w:r>
      <w:r w:rsidR="00553015" w:rsidRPr="0025409F">
        <w:rPr>
          <w:rFonts w:ascii="Arial" w:eastAsia="Yu Mincho" w:hAnsi="Arial" w:cs="Arial"/>
          <w:iCs/>
          <w:sz w:val="20"/>
          <w:szCs w:val="20"/>
          <w:lang w:eastAsia="ja-JP"/>
        </w:rPr>
        <w:t xml:space="preserve"> reporting is also allowed when UE returns to advertised </w:t>
      </w:r>
      <w:r w:rsidR="00593B7F" w:rsidRPr="0025409F">
        <w:rPr>
          <w:rFonts w:ascii="Arial" w:eastAsia="Yu Mincho" w:hAnsi="Arial" w:cs="Arial"/>
          <w:iCs/>
          <w:sz w:val="20"/>
          <w:szCs w:val="20"/>
          <w:lang w:eastAsia="ja-JP"/>
        </w:rPr>
        <w:t>power class</w:t>
      </w:r>
      <w:r w:rsidR="00553015" w:rsidRPr="0025409F">
        <w:rPr>
          <w:rFonts w:ascii="Arial" w:eastAsia="Yu Mincho" w:hAnsi="Arial" w:cs="Arial"/>
          <w:iCs/>
          <w:sz w:val="20"/>
          <w:szCs w:val="20"/>
          <w:lang w:eastAsia="ja-JP"/>
        </w:rPr>
        <w:t xml:space="preserve"> reference after </w:t>
      </w:r>
      <w:r w:rsidR="00553015" w:rsidRPr="0025409F">
        <w:rPr>
          <w:rFonts w:ascii="Arial" w:hAnsi="Arial" w:cs="Arial"/>
          <w:sz w:val="20"/>
          <w:szCs w:val="20"/>
          <w:lang w:eastAsia="ja-JP"/>
        </w:rPr>
        <w:t>duty cycle exceedance.</w:t>
      </w:r>
    </w:p>
    <w:p w14:paraId="65160F7E" w14:textId="77777777" w:rsidR="00DA0048" w:rsidRPr="0025409F" w:rsidRDefault="00DA0048" w:rsidP="00DA0048">
      <w:pPr>
        <w:pStyle w:val="ListParagraph"/>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eastAsia="ja-JP"/>
        </w:rPr>
      </w:pPr>
    </w:p>
    <w:p w14:paraId="3ED56891" w14:textId="6DE0ED19"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confirm the correctness of RAN1’s understanding as per observation b) concerning the recommendation </w:t>
      </w:r>
      <w:r w:rsidRPr="0025409F">
        <w:rPr>
          <w:rFonts w:ascii="Arial" w:eastAsia="Yu Mincho" w:hAnsi="Arial" w:cs="Arial"/>
          <w:bCs/>
          <w:iCs/>
          <w:color w:val="000000" w:themeColor="text1"/>
          <w:sz w:val="20"/>
          <w:szCs w:val="20"/>
          <w:lang w:val="en-US" w:eastAsia="ja-JP"/>
        </w:rPr>
        <w:t xml:space="preserve">of </w:t>
      </w:r>
      <w:r w:rsidRPr="0025409F">
        <w:rPr>
          <w:rFonts w:ascii="Arial" w:eastAsia="Yu Mincho" w:hAnsi="Arial" w:cs="Arial"/>
          <w:bCs/>
          <w:iCs/>
          <w:color w:val="000000" w:themeColor="text1"/>
          <w:sz w:val="20"/>
          <w:szCs w:val="20"/>
          <w:lang w:eastAsia="ja-JP"/>
        </w:rPr>
        <w:t xml:space="preserve">enabling UE report on the </w:t>
      </w:r>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w:t>
      </w:r>
      <w:r w:rsidRPr="0025409F">
        <w:rPr>
          <w:rFonts w:ascii="Arial" w:eastAsia="Yu Mincho" w:hAnsi="Arial" w:cs="Arial"/>
          <w:bCs/>
          <w:iCs/>
          <w:color w:val="000000" w:themeColor="text1"/>
          <w:sz w:val="20"/>
          <w:szCs w:val="20"/>
          <w:lang w:eastAsia="ja-JP"/>
        </w:rPr>
        <w:t>to indicate which power class requirements that the UE is referring to only when duty cycle is exceeded?</w:t>
      </w:r>
    </w:p>
    <w:p w14:paraId="558FE975" w14:textId="4869EDFA"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9C23B9" w:rsidRPr="0025409F">
        <w:rPr>
          <w:rFonts w:ascii="Arial" w:eastAsia="Yu Mincho" w:hAnsi="Arial" w:cs="Arial"/>
          <w:iCs/>
          <w:sz w:val="20"/>
          <w:szCs w:val="20"/>
          <w:lang w:val="en-US" w:eastAsia="ja-JP"/>
        </w:rPr>
        <w:t>RAN4 confirms that observation b) from RAN1 is correct, which means “</w:t>
      </w:r>
      <w:r w:rsidR="009C23B9" w:rsidRPr="0025409F">
        <w:rPr>
          <w:rFonts w:ascii="Arial" w:eastAsia="Yu Mincho" w:hAnsi="Arial" w:cs="Arial"/>
          <w:i/>
          <w:iCs/>
          <w:sz w:val="20"/>
          <w:szCs w:val="20"/>
          <w:lang w:val="en-US" w:eastAsia="ja-JP"/>
        </w:rPr>
        <w:t>occasion of the report</w:t>
      </w:r>
      <w:r w:rsidR="009C23B9" w:rsidRPr="0025409F">
        <w:rPr>
          <w:rFonts w:ascii="Arial" w:eastAsia="Yu Mincho" w:hAnsi="Arial" w:cs="Arial"/>
          <w:iCs/>
          <w:sz w:val="20"/>
          <w:szCs w:val="20"/>
          <w:lang w:val="en-US" w:eastAsia="ja-JP"/>
        </w:rPr>
        <w:t xml:space="preserve">” </w:t>
      </w:r>
      <w:r w:rsidR="009C23B9" w:rsidRPr="0025409F">
        <w:rPr>
          <w:rFonts w:ascii="Arial" w:eastAsia="MS Mincho" w:hAnsi="Arial" w:cs="Arial"/>
          <w:bCs/>
          <w:color w:val="000000" w:themeColor="text1"/>
          <w:sz w:val="20"/>
          <w:szCs w:val="20"/>
        </w:rPr>
        <w:t>refers to the event that triggers the aperiodic PHR report, and not to the actual UL resource to send the MAC-CE carrying the report</w:t>
      </w:r>
      <w:r w:rsidR="00232EB0" w:rsidRPr="0025409F">
        <w:rPr>
          <w:rFonts w:ascii="Arial" w:eastAsia="MS Mincho" w:hAnsi="Arial" w:cs="Arial"/>
          <w:bCs/>
          <w:color w:val="000000" w:themeColor="text1"/>
          <w:sz w:val="20"/>
          <w:szCs w:val="20"/>
        </w:rPr>
        <w:t>.</w:t>
      </w:r>
    </w:p>
    <w:p w14:paraId="6A93B00A" w14:textId="77777777" w:rsidR="00DA0048" w:rsidRPr="0025409F" w:rsidRDefault="00DA0048" w:rsidP="00DA0048">
      <w:pPr>
        <w:pStyle w:val="ListParagraph"/>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color w:val="000000" w:themeColor="text1"/>
          <w:sz w:val="20"/>
          <w:szCs w:val="20"/>
          <w:lang w:eastAsia="ja-JP"/>
        </w:rPr>
      </w:pPr>
    </w:p>
    <w:p w14:paraId="3CB820DF" w14:textId="0B44632E" w:rsidR="00DA0048"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Q4</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clarify the meaning of the recommendation related to the combination of the </w:t>
      </w:r>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w:t>
      </w:r>
      <w:r w:rsidRPr="0025409F">
        <w:rPr>
          <w:rFonts w:ascii="Arial" w:eastAsia="Yu Mincho" w:hAnsi="Arial" w:cs="Arial"/>
          <w:iCs/>
          <w:color w:val="000000" w:themeColor="text1"/>
          <w:sz w:val="20"/>
          <w:szCs w:val="20"/>
          <w:lang w:eastAsia="ja-JP"/>
        </w:rPr>
        <w:t>report with full-power MIMO transmission capability reporting corresponding to the current power class?</w:t>
      </w:r>
    </w:p>
    <w:p w14:paraId="70A47875" w14:textId="6649A1EC" w:rsidR="004833AE" w:rsidRPr="0025409F" w:rsidRDefault="004833AE"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w:t>
      </w:r>
      <w:r>
        <w:rPr>
          <w:rFonts w:ascii="Arial" w:eastAsia="Yu Mincho" w:hAnsi="Arial" w:cs="Arial"/>
          <w:iCs/>
          <w:sz w:val="20"/>
          <w:szCs w:val="20"/>
          <w:lang w:eastAsia="ja-JP"/>
        </w:rPr>
        <w:t xml:space="preserve"> </w:t>
      </w:r>
      <w:r w:rsidRPr="00DE4D13">
        <w:rPr>
          <w:rFonts w:ascii="Arial" w:hAnsi="Arial" w:cs="Arial"/>
        </w:rPr>
        <w:t xml:space="preserve">The intention </w:t>
      </w:r>
      <w:r>
        <w:rPr>
          <w:rFonts w:ascii="Arial" w:hAnsi="Arial" w:cs="Arial"/>
          <w:lang w:val="en-US"/>
        </w:rPr>
        <w:t>is to allow</w:t>
      </w:r>
      <w:r w:rsidRPr="00DE4D13">
        <w:rPr>
          <w:rFonts w:ascii="Arial" w:hAnsi="Arial" w:cs="Arial"/>
        </w:rPr>
        <w:t xml:space="preserve"> UE to report a more suitable mode for ul-FullPowerTransmission depending on ΔP</w:t>
      </w:r>
      <w:r w:rsidRPr="00DE4D13">
        <w:rPr>
          <w:rFonts w:ascii="Arial" w:hAnsi="Arial" w:cs="Arial"/>
          <w:vertAlign w:val="subscript"/>
        </w:rPr>
        <w:t>PowerClass</w:t>
      </w:r>
      <w:r>
        <w:rPr>
          <w:rFonts w:ascii="Arial" w:hAnsi="Arial" w:cs="Arial"/>
          <w:sz w:val="20"/>
          <w:szCs w:val="20"/>
          <w:lang w:val="en-US" w:eastAsia="ja-JP"/>
        </w:rPr>
        <w:t xml:space="preserve">. </w:t>
      </w:r>
      <w:r w:rsidRPr="00CE615D">
        <w:rPr>
          <w:rFonts w:ascii="Arial" w:eastAsia="Yu Mincho" w:hAnsi="Arial" w:cs="Arial" w:hint="eastAsia"/>
          <w:iCs/>
          <w:sz w:val="20"/>
          <w:szCs w:val="20"/>
          <w:lang w:val="en-US" w:eastAsia="ja-JP"/>
        </w:rPr>
        <w:t>A</w:t>
      </w:r>
      <w:r>
        <w:rPr>
          <w:rFonts w:ascii="Arial" w:eastAsia="Yu Mincho" w:hAnsi="Arial" w:cs="Arial"/>
          <w:iCs/>
          <w:sz w:val="20"/>
          <w:szCs w:val="20"/>
          <w:lang w:val="en-US" w:eastAsia="ja-JP"/>
        </w:rPr>
        <w:t>n</w:t>
      </w:r>
      <w:r w:rsidRPr="00CE615D">
        <w:rPr>
          <w:rFonts w:ascii="Arial" w:eastAsia="Yu Mincho" w:hAnsi="Arial" w:cs="Arial"/>
          <w:iCs/>
          <w:sz w:val="20"/>
          <w:szCs w:val="20"/>
          <w:lang w:val="en-US" w:eastAsia="ja-JP"/>
        </w:rPr>
        <w:t xml:space="preserve"> example </w:t>
      </w:r>
      <w:r>
        <w:rPr>
          <w:rFonts w:ascii="Arial" w:eastAsia="Yu Mincho" w:hAnsi="Arial" w:cs="Arial"/>
          <w:iCs/>
          <w:sz w:val="20"/>
          <w:szCs w:val="20"/>
          <w:lang w:val="en-US" w:eastAsia="ja-JP"/>
        </w:rPr>
        <w:t>is</w:t>
      </w:r>
      <w:r w:rsidRPr="00CE615D">
        <w:rPr>
          <w:rFonts w:ascii="Arial" w:eastAsia="Yu Mincho" w:hAnsi="Arial" w:cs="Arial"/>
          <w:iCs/>
          <w:sz w:val="20"/>
          <w:szCs w:val="20"/>
          <w:lang w:val="en-US" w:eastAsia="ja-JP"/>
        </w:rPr>
        <w:t xml:space="preserve"> a UE</w:t>
      </w:r>
      <w:r>
        <w:rPr>
          <w:rFonts w:ascii="Arial" w:eastAsia="Yu Mincho" w:hAnsi="Arial" w:cs="Arial"/>
          <w:iCs/>
          <w:sz w:val="20"/>
          <w:szCs w:val="20"/>
          <w:lang w:val="en-US" w:eastAsia="ja-JP"/>
        </w:rPr>
        <w:t xml:space="preserve"> that</w:t>
      </w:r>
      <w:r w:rsidRPr="00CE615D">
        <w:rPr>
          <w:rFonts w:ascii="Arial" w:eastAsia="Yu Mincho" w:hAnsi="Arial" w:cs="Arial"/>
          <w:iCs/>
          <w:sz w:val="20"/>
          <w:szCs w:val="20"/>
          <w:lang w:val="en-US" w:eastAsia="ja-JP"/>
        </w:rPr>
        <w:t xml:space="preserve"> supports PC1.5 with </w:t>
      </w:r>
      <w:r>
        <w:rPr>
          <w:rFonts w:ascii="Arial" w:eastAsia="Yu Mincho" w:hAnsi="Arial" w:cs="Arial"/>
          <w:i/>
          <w:iCs/>
          <w:sz w:val="20"/>
          <w:szCs w:val="20"/>
          <w:lang w:val="en-US" w:eastAsia="ja-JP"/>
        </w:rPr>
        <w:t>ul-FullPwrMode1</w:t>
      </w:r>
      <w:r w:rsidRPr="00CE615D">
        <w:rPr>
          <w:rFonts w:ascii="Arial" w:eastAsia="Yu Mincho" w:hAnsi="Arial" w:cs="Arial"/>
          <w:i/>
          <w:iCs/>
          <w:sz w:val="20"/>
          <w:szCs w:val="20"/>
          <w:lang w:val="en-US" w:eastAsia="ja-JP"/>
        </w:rPr>
        <w:t>-r16</w:t>
      </w:r>
      <w:r>
        <w:rPr>
          <w:rFonts w:ascii="Arial" w:eastAsia="Yu Mincho" w:hAnsi="Arial" w:cs="Arial"/>
          <w:i/>
          <w:iCs/>
          <w:sz w:val="20"/>
          <w:szCs w:val="20"/>
          <w:lang w:val="en-US" w:eastAsia="ja-JP"/>
        </w:rPr>
        <w:t xml:space="preserve">. </w:t>
      </w:r>
      <w:r>
        <w:rPr>
          <w:rFonts w:ascii="Arial" w:eastAsia="Yu Mincho" w:hAnsi="Arial" w:cs="Arial"/>
          <w:iCs/>
          <w:sz w:val="20"/>
          <w:szCs w:val="20"/>
          <w:lang w:val="en-US" w:eastAsia="ja-JP"/>
        </w:rPr>
        <w:t>This type of UE would be</w:t>
      </w:r>
      <w:r w:rsidRPr="00CE615D">
        <w:rPr>
          <w:rFonts w:ascii="Arial" w:eastAsia="Yu Mincho" w:hAnsi="Arial" w:cs="Arial"/>
          <w:iCs/>
          <w:sz w:val="20"/>
          <w:szCs w:val="20"/>
          <w:lang w:val="en-US" w:eastAsia="ja-JP"/>
        </w:rPr>
        <w:t xml:space="preserve"> allowed to indicate additional </w:t>
      </w:r>
      <w:r>
        <w:rPr>
          <w:rFonts w:ascii="Arial" w:eastAsia="Yu Mincho" w:hAnsi="Arial" w:cs="Arial"/>
          <w:i/>
          <w:iCs/>
          <w:sz w:val="20"/>
          <w:szCs w:val="20"/>
          <w:lang w:val="en-US" w:eastAsia="ja-JP"/>
        </w:rPr>
        <w:t>ul-FullPwrMode</w:t>
      </w:r>
      <w:r w:rsidRPr="00CE615D">
        <w:rPr>
          <w:rFonts w:ascii="Arial" w:eastAsia="Yu Mincho" w:hAnsi="Arial" w:cs="Arial"/>
          <w:i/>
          <w:iCs/>
          <w:sz w:val="20"/>
          <w:szCs w:val="20"/>
          <w:lang w:val="en-US" w:eastAsia="ja-JP"/>
        </w:rPr>
        <w:t>-r16</w:t>
      </w:r>
      <w:r w:rsidRPr="00CE615D">
        <w:rPr>
          <w:rFonts w:ascii="Arial" w:eastAsia="Yu Mincho" w:hAnsi="Arial" w:cs="Arial"/>
          <w:iCs/>
          <w:sz w:val="20"/>
          <w:szCs w:val="20"/>
          <w:lang w:val="en-US" w:eastAsia="ja-JP"/>
        </w:rPr>
        <w:t xml:space="preserve"> capabilit</w:t>
      </w:r>
      <w:r>
        <w:rPr>
          <w:rFonts w:ascii="Arial" w:eastAsia="Yu Mincho" w:hAnsi="Arial" w:cs="Arial"/>
          <w:iCs/>
          <w:sz w:val="20"/>
          <w:szCs w:val="20"/>
          <w:lang w:val="en-US" w:eastAsia="ja-JP"/>
        </w:rPr>
        <w:t xml:space="preserve">ies </w:t>
      </w:r>
      <w:r w:rsidRPr="00CE615D">
        <w:rPr>
          <w:rFonts w:ascii="Arial" w:eastAsia="Yu Mincho" w:hAnsi="Arial" w:cs="Arial"/>
          <w:iCs/>
          <w:sz w:val="20"/>
          <w:szCs w:val="20"/>
          <w:lang w:val="en-US" w:eastAsia="ja-JP"/>
        </w:rPr>
        <w:t xml:space="preserve">which </w:t>
      </w:r>
      <w:r>
        <w:rPr>
          <w:rFonts w:ascii="Arial" w:eastAsia="Yu Mincho" w:hAnsi="Arial" w:cs="Arial"/>
          <w:iCs/>
          <w:sz w:val="20"/>
          <w:szCs w:val="20"/>
          <w:lang w:val="en-US" w:eastAsia="ja-JP"/>
        </w:rPr>
        <w:t>would apply</w:t>
      </w:r>
      <w:r w:rsidRPr="00CE615D">
        <w:rPr>
          <w:rFonts w:ascii="Arial" w:eastAsia="Yu Mincho" w:hAnsi="Arial" w:cs="Arial"/>
          <w:iCs/>
          <w:sz w:val="20"/>
          <w:szCs w:val="20"/>
          <w:lang w:val="en-US" w:eastAsia="ja-JP"/>
        </w:rPr>
        <w:t xml:space="preserve"> only </w:t>
      </w:r>
      <w:r>
        <w:rPr>
          <w:rFonts w:ascii="Arial" w:eastAsia="Yu Mincho" w:hAnsi="Arial" w:cs="Arial"/>
          <w:iCs/>
          <w:sz w:val="20"/>
          <w:szCs w:val="20"/>
          <w:lang w:val="en-US" w:eastAsia="ja-JP"/>
        </w:rPr>
        <w:t xml:space="preserve">when </w:t>
      </w:r>
      <w:r w:rsidRPr="00CE615D">
        <w:rPr>
          <w:rFonts w:ascii="Arial" w:eastAsia="Yu Mincho" w:hAnsi="Arial" w:cs="Arial"/>
          <w:iCs/>
          <w:sz w:val="20"/>
          <w:szCs w:val="20"/>
          <w:lang w:val="en-US" w:eastAsia="ja-JP"/>
        </w:rPr>
        <w:t>ΔP</w:t>
      </w:r>
      <w:r w:rsidRPr="00CE615D">
        <w:rPr>
          <w:rFonts w:ascii="Arial" w:eastAsia="Yu Mincho" w:hAnsi="Arial" w:cs="Arial"/>
          <w:iCs/>
          <w:sz w:val="20"/>
          <w:szCs w:val="20"/>
          <w:vertAlign w:val="subscript"/>
          <w:lang w:val="en-US" w:eastAsia="ja-JP"/>
        </w:rPr>
        <w:t>PowerClass</w:t>
      </w:r>
      <w:r w:rsidRPr="00CE615D">
        <w:rPr>
          <w:rFonts w:ascii="Arial" w:eastAsia="Yu Mincho" w:hAnsi="Arial" w:cs="Arial"/>
          <w:iCs/>
          <w:sz w:val="20"/>
          <w:szCs w:val="20"/>
          <w:lang w:val="en-US" w:eastAsia="ja-JP"/>
        </w:rPr>
        <w:t xml:space="preserve"> = 3 dB or </w:t>
      </w:r>
      <w:r>
        <w:rPr>
          <w:rFonts w:ascii="Arial" w:eastAsia="Yu Mincho" w:hAnsi="Arial" w:cs="Arial"/>
          <w:iCs/>
          <w:sz w:val="20"/>
          <w:szCs w:val="20"/>
          <w:lang w:val="en-US" w:eastAsia="ja-JP"/>
        </w:rPr>
        <w:t xml:space="preserve">when </w:t>
      </w:r>
      <w:r w:rsidRPr="00CE615D">
        <w:rPr>
          <w:rFonts w:ascii="Arial" w:eastAsia="Yu Mincho" w:hAnsi="Arial" w:cs="Arial"/>
          <w:iCs/>
          <w:sz w:val="20"/>
          <w:szCs w:val="20"/>
          <w:lang w:val="en-US" w:eastAsia="ja-JP"/>
        </w:rPr>
        <w:t>ΔP</w:t>
      </w:r>
      <w:r w:rsidRPr="00CE615D">
        <w:rPr>
          <w:rFonts w:ascii="Arial" w:eastAsia="Yu Mincho" w:hAnsi="Arial" w:cs="Arial"/>
          <w:iCs/>
          <w:sz w:val="20"/>
          <w:szCs w:val="20"/>
          <w:vertAlign w:val="subscript"/>
          <w:lang w:val="en-US" w:eastAsia="ja-JP"/>
        </w:rPr>
        <w:t>PowerClass</w:t>
      </w:r>
      <w:r w:rsidRPr="00CE615D">
        <w:rPr>
          <w:rFonts w:ascii="Arial" w:eastAsia="Yu Mincho" w:hAnsi="Arial" w:cs="Arial"/>
          <w:iCs/>
          <w:sz w:val="20"/>
          <w:szCs w:val="20"/>
          <w:lang w:val="en-US" w:eastAsia="ja-JP"/>
        </w:rPr>
        <w:t xml:space="preserve"> = 6 dB</w:t>
      </w:r>
      <w:r>
        <w:rPr>
          <w:rFonts w:ascii="Arial" w:eastAsia="Yu Mincho" w:hAnsi="Arial" w:cs="Arial"/>
          <w:iCs/>
          <w:sz w:val="20"/>
          <w:szCs w:val="20"/>
          <w:lang w:val="en-US" w:eastAsia="ja-JP"/>
        </w:rPr>
        <w:t xml:space="preserve">, i.e. </w:t>
      </w:r>
      <w:r w:rsidRPr="00CE615D">
        <w:rPr>
          <w:rFonts w:ascii="Arial" w:eastAsia="Yu Mincho" w:hAnsi="Arial" w:cs="Arial"/>
          <w:iCs/>
          <w:sz w:val="20"/>
          <w:szCs w:val="20"/>
          <w:lang w:val="en-US" w:eastAsia="ja-JP"/>
        </w:rPr>
        <w:t>where achievable maximum transmission power is capped by 26 dBm or 23 dBm, respectively</w:t>
      </w:r>
      <w:r w:rsidR="00A80DB1">
        <w:rPr>
          <w:rFonts w:ascii="Arial" w:eastAsia="Yu Mincho" w:hAnsi="Arial" w:cs="Arial"/>
          <w:iCs/>
          <w:sz w:val="20"/>
          <w:szCs w:val="20"/>
          <w:lang w:val="en-US" w:eastAsia="ja-JP"/>
        </w:rPr>
        <w:t>.</w:t>
      </w:r>
    </w:p>
    <w:p w14:paraId="01EB3943" w14:textId="53BE682E" w:rsidR="00CE615D" w:rsidRPr="004833AE" w:rsidRDefault="00CE615D" w:rsidP="004833AE">
      <w:pPr>
        <w:pStyle w:val="ListParagraph"/>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eastAsia="ja-JP"/>
        </w:rPr>
      </w:pPr>
    </w:p>
    <w:p w14:paraId="3796E0E1" w14:textId="0CE512A8" w:rsidR="00267E1A" w:rsidRDefault="00CE0701" w:rsidP="00D82841">
      <w:pPr>
        <w:pStyle w:val="ListParagraph"/>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lang w:eastAsia="ja-JP"/>
        </w:rPr>
      </w:pPr>
      <w:r w:rsidRPr="00D82841">
        <w:rPr>
          <w:rFonts w:ascii="Arial" w:eastAsia="Yu Mincho" w:hAnsi="Arial" w:cs="Arial"/>
          <w:iCs/>
          <w:lang w:eastAsia="ja-JP"/>
        </w:rPr>
        <w:t xml:space="preserve">   </w:t>
      </w:r>
      <w:r w:rsidR="00586A19" w:rsidRPr="00D82841">
        <w:rPr>
          <w:rFonts w:ascii="Arial" w:eastAsia="Yu Mincho" w:hAnsi="Arial" w:cs="Arial"/>
          <w:iCs/>
          <w:lang w:eastAsia="ja-JP"/>
        </w:rPr>
        <w:t xml:space="preserve"> </w:t>
      </w:r>
    </w:p>
    <w:p w14:paraId="323DD70E" w14:textId="4D628207" w:rsidR="00767D46" w:rsidRDefault="00767D46" w:rsidP="00767D46">
      <w:pPr>
        <w:pStyle w:val="Heading1"/>
        <w:numPr>
          <w:ilvl w:val="0"/>
          <w:numId w:val="0"/>
        </w:numPr>
      </w:pPr>
      <w:r>
        <w:t>2</w:t>
      </w:r>
      <w:r>
        <w:tab/>
      </w:r>
      <w:r w:rsidR="00022BB8">
        <w:tab/>
      </w:r>
      <w:r>
        <w:t>Actions</w:t>
      </w:r>
    </w:p>
    <w:p w14:paraId="096FFA39" w14:textId="2AB28399" w:rsidR="00767D46" w:rsidRDefault="00767D46" w:rsidP="00767D46">
      <w:pPr>
        <w:spacing w:after="120"/>
        <w:ind w:left="1985" w:hanging="1985"/>
        <w:rPr>
          <w:rFonts w:ascii="Arial" w:hAnsi="Arial" w:cs="Arial"/>
          <w:b/>
        </w:rPr>
      </w:pPr>
      <w:r>
        <w:rPr>
          <w:rFonts w:ascii="Arial" w:hAnsi="Arial" w:cs="Arial"/>
          <w:b/>
        </w:rPr>
        <w:t xml:space="preserve">To </w:t>
      </w:r>
      <w:r w:rsidR="00DA0048">
        <w:rPr>
          <w:rFonts w:ascii="Arial" w:hAnsi="Arial" w:cs="Arial"/>
          <w:b/>
        </w:rPr>
        <w:t xml:space="preserve">RAN1 </w:t>
      </w:r>
    </w:p>
    <w:p w14:paraId="3393ABB6" w14:textId="4299C9E5" w:rsidR="00767D46" w:rsidRDefault="00767D46" w:rsidP="00DA0048">
      <w:pPr>
        <w:spacing w:after="120"/>
        <w:ind w:left="993" w:hanging="993"/>
        <w:jc w:val="both"/>
        <w:rPr>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w:t>
      </w:r>
      <w:r w:rsidR="00DA0048">
        <w:rPr>
          <w:rFonts w:ascii="Arial" w:hAnsi="Arial" w:cs="Arial"/>
          <w:lang w:val="en-US"/>
        </w:rPr>
        <w:t xml:space="preserve">RAN1 </w:t>
      </w:r>
      <w:r w:rsidRPr="003C12C9">
        <w:rPr>
          <w:rFonts w:ascii="Arial" w:hAnsi="Arial" w:cs="Arial"/>
          <w:lang w:val="en-US"/>
        </w:rPr>
        <w:t xml:space="preserve">to </w:t>
      </w:r>
      <w:r w:rsidR="00790DA4">
        <w:rPr>
          <w:rFonts w:ascii="Arial" w:hAnsi="Arial" w:cs="Arial"/>
          <w:lang w:val="en-US"/>
        </w:rPr>
        <w:t xml:space="preserve">consider </w:t>
      </w:r>
      <w:r w:rsidR="00C335E9">
        <w:rPr>
          <w:rFonts w:ascii="Arial" w:hAnsi="Arial" w:cs="Arial"/>
          <w:lang w:val="en-US"/>
        </w:rPr>
        <w:t>above information</w:t>
      </w:r>
      <w:r w:rsidR="007E697D">
        <w:rPr>
          <w:rFonts w:ascii="Arial" w:hAnsi="Arial" w:cs="Arial"/>
          <w:lang w:val="en-US"/>
        </w:rPr>
        <w:t xml:space="preserve">. </w:t>
      </w:r>
      <w:r w:rsidRPr="008617BB">
        <w:rPr>
          <w:szCs w:val="22"/>
        </w:rPr>
        <w:t xml:space="preserve"> </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6ACFD87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1EDCD30F" w14:textId="77777777" w:rsidR="00DF32A9" w:rsidRDefault="00DF32A9" w:rsidP="00DF32A9">
      <w:pPr>
        <w:rPr>
          <w:rFonts w:ascii="Arial" w:hAnsi="Arial" w:cs="Arial"/>
          <w:lang w:val="en-US"/>
        </w:rPr>
      </w:pPr>
      <w:r w:rsidRPr="003C12C9">
        <w:rPr>
          <w:rFonts w:ascii="Arial" w:hAnsi="Arial" w:cs="Arial"/>
          <w:lang w:val="en-US"/>
        </w:rPr>
        <w:t>TSG RAN WG4 Meeting #10</w:t>
      </w:r>
      <w:r>
        <w:rPr>
          <w:rFonts w:ascii="Arial" w:hAnsi="Arial" w:cs="Arial"/>
          <w:lang w:val="en-US"/>
        </w:rPr>
        <w:t>9</w:t>
      </w:r>
      <w:r>
        <w:rPr>
          <w:rFonts w:ascii="Arial" w:hAnsi="Arial" w:cs="Arial"/>
          <w:lang w:val="en-US"/>
        </w:rPr>
        <w:tab/>
        <w:t xml:space="preserve">     November 13</w:t>
      </w:r>
      <w:r w:rsidRPr="003C12C9">
        <w:rPr>
          <w:rFonts w:ascii="Arial" w:hAnsi="Arial" w:cs="Arial"/>
          <w:lang w:val="en-US"/>
        </w:rPr>
        <w:t xml:space="preserve"> – </w:t>
      </w:r>
      <w:r>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Chicago, United States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428F" w14:textId="77777777" w:rsidR="003B41B1" w:rsidRDefault="003B41B1" w:rsidP="0052762B">
      <w:r>
        <w:separator/>
      </w:r>
    </w:p>
  </w:endnote>
  <w:endnote w:type="continuationSeparator" w:id="0">
    <w:p w14:paraId="3FD42C3D" w14:textId="77777777" w:rsidR="003B41B1" w:rsidRDefault="003B41B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445CA" w14:textId="77777777" w:rsidR="003B41B1" w:rsidRDefault="003B41B1" w:rsidP="0052762B">
      <w:r>
        <w:separator/>
      </w:r>
    </w:p>
  </w:footnote>
  <w:footnote w:type="continuationSeparator" w:id="0">
    <w:p w14:paraId="0FA184F0" w14:textId="77777777" w:rsidR="003B41B1" w:rsidRDefault="003B41B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0"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79620404">
    <w:abstractNumId w:val="7"/>
  </w:num>
  <w:num w:numId="2" w16cid:durableId="633173563">
    <w:abstractNumId w:val="20"/>
  </w:num>
  <w:num w:numId="3" w16cid:durableId="290325896">
    <w:abstractNumId w:val="24"/>
  </w:num>
  <w:num w:numId="4" w16cid:durableId="133259659">
    <w:abstractNumId w:val="38"/>
  </w:num>
  <w:num w:numId="5" w16cid:durableId="1830437858">
    <w:abstractNumId w:val="35"/>
  </w:num>
  <w:num w:numId="6" w16cid:durableId="618876978">
    <w:abstractNumId w:val="18"/>
  </w:num>
  <w:num w:numId="7" w16cid:durableId="136647206">
    <w:abstractNumId w:val="30"/>
  </w:num>
  <w:num w:numId="8" w16cid:durableId="873468521">
    <w:abstractNumId w:val="47"/>
  </w:num>
  <w:num w:numId="9" w16cid:durableId="539056503">
    <w:abstractNumId w:val="16"/>
  </w:num>
  <w:num w:numId="10" w16cid:durableId="556211929">
    <w:abstractNumId w:val="41"/>
  </w:num>
  <w:num w:numId="11" w16cid:durableId="6518329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3325048">
    <w:abstractNumId w:val="28"/>
  </w:num>
  <w:num w:numId="13" w16cid:durableId="865220359">
    <w:abstractNumId w:val="21"/>
  </w:num>
  <w:num w:numId="14" w16cid:durableId="1757701808">
    <w:abstractNumId w:val="31"/>
  </w:num>
  <w:num w:numId="15" w16cid:durableId="1632202113">
    <w:abstractNumId w:val="2"/>
  </w:num>
  <w:num w:numId="16" w16cid:durableId="1305742600">
    <w:abstractNumId w:val="19"/>
  </w:num>
  <w:num w:numId="17" w16cid:durableId="914558446">
    <w:abstractNumId w:val="36"/>
  </w:num>
  <w:num w:numId="18" w16cid:durableId="241107059">
    <w:abstractNumId w:val="13"/>
  </w:num>
  <w:num w:numId="19" w16cid:durableId="1245607871">
    <w:abstractNumId w:val="12"/>
  </w:num>
  <w:num w:numId="20" w16cid:durableId="1804884029">
    <w:abstractNumId w:val="42"/>
  </w:num>
  <w:num w:numId="21" w16cid:durableId="5774013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671491775">
    <w:abstractNumId w:val="15"/>
  </w:num>
  <w:num w:numId="23" w16cid:durableId="1854998772">
    <w:abstractNumId w:val="6"/>
  </w:num>
  <w:num w:numId="24" w16cid:durableId="1916666465">
    <w:abstractNumId w:val="8"/>
  </w:num>
  <w:num w:numId="25" w16cid:durableId="340352976">
    <w:abstractNumId w:val="46"/>
  </w:num>
  <w:num w:numId="26" w16cid:durableId="1483232452">
    <w:abstractNumId w:val="34"/>
  </w:num>
  <w:num w:numId="27" w16cid:durableId="1063329205">
    <w:abstractNumId w:val="22"/>
  </w:num>
  <w:num w:numId="28" w16cid:durableId="1648125718">
    <w:abstractNumId w:val="1"/>
  </w:num>
  <w:num w:numId="29" w16cid:durableId="1155413098">
    <w:abstractNumId w:val="33"/>
  </w:num>
  <w:num w:numId="30" w16cid:durableId="478428004">
    <w:abstractNumId w:val="40"/>
  </w:num>
  <w:num w:numId="31" w16cid:durableId="284043260">
    <w:abstractNumId w:val="27"/>
  </w:num>
  <w:num w:numId="32" w16cid:durableId="187180944">
    <w:abstractNumId w:val="44"/>
  </w:num>
  <w:num w:numId="33" w16cid:durableId="1000542529">
    <w:abstractNumId w:val="4"/>
  </w:num>
  <w:num w:numId="34" w16cid:durableId="894925270">
    <w:abstractNumId w:val="23"/>
  </w:num>
  <w:num w:numId="35" w16cid:durableId="661739882">
    <w:abstractNumId w:val="5"/>
  </w:num>
  <w:num w:numId="36" w16cid:durableId="1662001926">
    <w:abstractNumId w:val="25"/>
  </w:num>
  <w:num w:numId="37" w16cid:durableId="1122264338">
    <w:abstractNumId w:val="39"/>
  </w:num>
  <w:num w:numId="38" w16cid:durableId="1961183675">
    <w:abstractNumId w:val="32"/>
  </w:num>
  <w:num w:numId="39" w16cid:durableId="1383670811">
    <w:abstractNumId w:val="45"/>
  </w:num>
  <w:num w:numId="40" w16cid:durableId="899823544">
    <w:abstractNumId w:val="37"/>
  </w:num>
  <w:num w:numId="41" w16cid:durableId="1812822021">
    <w:abstractNumId w:val="26"/>
  </w:num>
  <w:num w:numId="42" w16cid:durableId="1597791734">
    <w:abstractNumId w:val="3"/>
  </w:num>
  <w:num w:numId="43" w16cid:durableId="1342272704">
    <w:abstractNumId w:val="17"/>
  </w:num>
  <w:num w:numId="44" w16cid:durableId="928587346">
    <w:abstractNumId w:val="14"/>
  </w:num>
  <w:num w:numId="45" w16cid:durableId="627862152">
    <w:abstractNumId w:val="43"/>
  </w:num>
  <w:num w:numId="46" w16cid:durableId="37827708">
    <w:abstractNumId w:val="9"/>
  </w:num>
  <w:num w:numId="47" w16cid:durableId="1295140135">
    <w:abstractNumId w:val="10"/>
  </w:num>
  <w:num w:numId="48" w16cid:durableId="130006786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1CD8"/>
    <w:rsid w:val="00012217"/>
    <w:rsid w:val="000122D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0031"/>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0F26"/>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E65"/>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B6D"/>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0EAE"/>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1B1"/>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4EEA"/>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3AE"/>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578"/>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6F9"/>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0302"/>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8EA"/>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3C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8E5"/>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10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EBF"/>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6E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0DB1"/>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098"/>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2A47"/>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1C1"/>
    <w:rsid w:val="00C03D11"/>
    <w:rsid w:val="00C0443F"/>
    <w:rsid w:val="00C04B37"/>
    <w:rsid w:val="00C052D0"/>
    <w:rsid w:val="00C058F0"/>
    <w:rsid w:val="00C05B24"/>
    <w:rsid w:val="00C05F0D"/>
    <w:rsid w:val="00C066D6"/>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41B"/>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15D"/>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1B4"/>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5EC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24D"/>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DC8"/>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95D87-9267-4191-93F5-7183DE2C1E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2</TotalTime>
  <Pages>2</Pages>
  <Words>530</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CR2895</cp:lastModifiedBy>
  <cp:revision>3</cp:revision>
  <cp:lastPrinted>2010-01-07T02:23:00Z</cp:lastPrinted>
  <dcterms:created xsi:type="dcterms:W3CDTF">2023-10-13T03:02:00Z</dcterms:created>
  <dcterms:modified xsi:type="dcterms:W3CDTF">2023-10-24T12:26:00Z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(3)AZ1ID+7jL34A80tMq+Y8cMkgAg0jdVpdE7Wesk4QlsC8Y4RazkA2b7qq2A2HOSSvN405mWs8
PMN82DScbL740edQApa7+bLeLVLvLdjGLh9gEBlKTDReGC0Gc5A7TeoD52KkasLWLK7pmmck
bKOn26v+UF/YhiC+3AKQOP617cHXec36Dx+co09/xeCtHr1cQmmBStLm/ox5zZwff3HMdn/r
F2RZ5fEzIc28MZ4DCg</vt:lpwstr>
  </property>
  <property fmtid="{D5CDD505-2E9C-101B-9397-08002B2CF9AE}" pid="15" name="_2015_ms_pID_725343_00">
    <vt:lpwstr>_2015_ms_pID_725343</vt:lpwstr>
  </property>
  <property fmtid="{D5CDD505-2E9C-101B-9397-08002B2CF9AE}" pid="16" name="_2015_ms_pID_7253431">
    <vt:lpwstr>/jUHFcjZMPkjEC2SCk3yYF0H/gpmRrPA20deKxjo9dZZj5CoSnViSu
yPQ1CglVaI3XAPcQMau1q100/PsthUlziU+JQbwIayY1DuLqw+qo1/d7GxBDabXep3sRO+Dz
ppyQwOP05NWY1xdarPC/JQb88X9mwFj4vIn3IWWJSpkKBNvDo0+fWPoPYzOp4UYAW1p9mSol
4gRT7IPkmA4cayiLR6ft5Xn32XZG7NIaIKP/</vt:lpwstr>
  </property>
  <property fmtid="{D5CDD505-2E9C-101B-9397-08002B2CF9AE}" pid="17" name="_2015_ms_pID_7253431_00">
    <vt:lpwstr>_2015_ms_pID_7253431</vt:lpwstr>
  </property>
  <property fmtid="{D5CDD505-2E9C-101B-9397-08002B2CF9AE}" pid="18" name="_2015_ms_pID_7253432">
    <vt:lpwstr>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1696914320</vt:lpwstr>
  </property>
</Properties>
</file>