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86078" w14:textId="177AE1E0" w:rsidR="00E065F8" w:rsidRPr="001259E5" w:rsidRDefault="00E065F8" w:rsidP="00E065F8">
      <w:pPr>
        <w:rPr>
          <w:rFonts w:ascii="Arial" w:eastAsia="Batang" w:hAnsi="Arial" w:cs="Arial"/>
          <w:b/>
          <w:bCs/>
          <w:sz w:val="28"/>
          <w:lang w:val="en-US"/>
        </w:rPr>
      </w:pPr>
      <w:r w:rsidRPr="00FF49A5">
        <w:rPr>
          <w:rFonts w:ascii="Arial" w:eastAsia="Batang" w:hAnsi="Arial" w:cs="Arial"/>
          <w:b/>
          <w:bCs/>
          <w:sz w:val="28"/>
        </w:rPr>
        <w:t>3GPP TSG RAN WG 1 #114</w:t>
      </w:r>
      <w:r w:rsidRPr="00FF49A5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Pr="001259E5">
        <w:rPr>
          <w:rFonts w:ascii="Arial" w:eastAsia="Batang" w:hAnsi="Arial" w:cs="Arial"/>
          <w:b/>
          <w:bCs/>
          <w:sz w:val="28"/>
          <w:lang w:val="en-US"/>
        </w:rPr>
        <w:t xml:space="preserve"> </w:t>
      </w:r>
      <w:r w:rsidRPr="00FF49A5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Pr="001259E5">
        <w:rPr>
          <w:rFonts w:ascii="Arial" w:eastAsia="Batang" w:hAnsi="Arial" w:cs="Arial"/>
          <w:b/>
          <w:bCs/>
          <w:sz w:val="28"/>
          <w:lang w:val="en-US"/>
        </w:rPr>
        <w:t xml:space="preserve">   </w:t>
      </w:r>
      <w:r w:rsidR="001259E5">
        <w:rPr>
          <w:rFonts w:ascii="Arial" w:eastAsia="Batang" w:hAnsi="Arial" w:cs="Arial"/>
          <w:b/>
          <w:bCs/>
          <w:sz w:val="28"/>
          <w:lang w:val="en-US"/>
        </w:rPr>
        <w:t xml:space="preserve">  </w:t>
      </w:r>
      <w:r w:rsidRPr="00FF49A5">
        <w:rPr>
          <w:rFonts w:ascii="Arial" w:eastAsia="Batang" w:hAnsi="Arial" w:cs="Arial"/>
          <w:b/>
          <w:bCs/>
          <w:sz w:val="28"/>
        </w:rPr>
        <w:t>R1-</w:t>
      </w:r>
      <w:r w:rsidR="001259E5" w:rsidRPr="001259E5">
        <w:rPr>
          <w:rFonts w:ascii="Arial" w:eastAsia="Batang" w:hAnsi="Arial" w:cs="Arial"/>
          <w:b/>
          <w:bCs/>
          <w:sz w:val="28"/>
          <w:lang w:val="en-US"/>
        </w:rPr>
        <w:t>2308164</w:t>
      </w:r>
    </w:p>
    <w:p w14:paraId="3159C505" w14:textId="77777777" w:rsidR="00E065F8" w:rsidRDefault="00E065F8" w:rsidP="00E065F8">
      <w:r w:rsidRPr="00FF49A5">
        <w:rPr>
          <w:rFonts w:ascii="Arial" w:eastAsia="Batang" w:hAnsi="Arial" w:cs="Arial"/>
          <w:b/>
          <w:bCs/>
          <w:sz w:val="28"/>
        </w:rPr>
        <w:t>Toulouse, France, 21 - 25 August, 2023</w:t>
      </w:r>
    </w:p>
    <w:p w14:paraId="2676FC68" w14:textId="77777777" w:rsidR="00A73C16" w:rsidRDefault="00A73C16" w:rsidP="00A73C16"/>
    <w:p w14:paraId="2394BC04" w14:textId="4F863152" w:rsidR="00E90E49" w:rsidRPr="00B443B8" w:rsidRDefault="00E90E49" w:rsidP="00311702">
      <w:pPr>
        <w:pStyle w:val="3GPPHeader"/>
        <w:rPr>
          <w:lang w:val="en-US"/>
        </w:rPr>
      </w:pPr>
      <w:r w:rsidRPr="00CB3D61">
        <w:t>Agenda Item:</w:t>
      </w:r>
      <w:r w:rsidRPr="00CB3D61">
        <w:tab/>
      </w:r>
      <w:r w:rsidR="00B443B8" w:rsidRPr="00B443B8">
        <w:rPr>
          <w:lang w:val="en-US"/>
        </w:rPr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76DAB0B6" w:rsidR="00E90E49" w:rsidRPr="00AB2C2A" w:rsidRDefault="003D3C45" w:rsidP="00311702">
      <w:pPr>
        <w:pStyle w:val="3GPPHeader"/>
        <w:rPr>
          <w:b w:val="0"/>
          <w:bCs/>
          <w:lang w:val="en-US"/>
        </w:rPr>
      </w:pPr>
      <w:r w:rsidRPr="00A437C0">
        <w:t>Title:</w:t>
      </w:r>
      <w:r w:rsidR="00E90E49" w:rsidRPr="00A437C0">
        <w:tab/>
      </w:r>
      <w:r w:rsidR="00EE2A73" w:rsidRPr="00EE2A73">
        <w:rPr>
          <w:lang w:val="en-US"/>
        </w:rPr>
        <w:t xml:space="preserve">discussion on </w:t>
      </w:r>
      <w:r w:rsidR="00CC521F" w:rsidRPr="003D2C66">
        <w:rPr>
          <w:lang w:val="en-US"/>
        </w:rPr>
        <w:t>LS to RAN1 on</w:t>
      </w:r>
      <w:r w:rsidR="00B5399B">
        <w:rPr>
          <w:lang w:val="en-US"/>
        </w:rPr>
        <w:t xml:space="preserve"> LPHAP</w:t>
      </w:r>
      <w:r w:rsidR="00AB2C2A" w:rsidRPr="00AB2C2A">
        <w:rPr>
          <w:rFonts w:cs="Arial"/>
          <w:bCs/>
          <w:lang w:val="en-US"/>
        </w:rPr>
        <w:t xml:space="preserve"> 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42C5DA39" w:rsidR="002D2381" w:rsidRDefault="00DE25D9" w:rsidP="00C31F89">
      <w:pPr>
        <w:jc w:val="both"/>
        <w:rPr>
          <w:lang w:val="en-US"/>
        </w:rPr>
      </w:pPr>
      <w:r w:rsidRPr="00DE25D9">
        <w:rPr>
          <w:lang w:val="en-US"/>
        </w:rPr>
        <w:t>In the RAN</w:t>
      </w:r>
      <w:r w:rsidR="00AB4CCD">
        <w:rPr>
          <w:lang w:val="en-US"/>
        </w:rPr>
        <w:t>2</w:t>
      </w:r>
      <w:r w:rsidRPr="00DE25D9">
        <w:rPr>
          <w:lang w:val="en-US"/>
        </w:rPr>
        <w:t xml:space="preserve"> LS</w:t>
      </w:r>
      <w:r>
        <w:rPr>
          <w:lang w:val="en-US"/>
        </w:rPr>
        <w:t xml:space="preserve"> “</w:t>
      </w:r>
      <w:r w:rsidR="0010056B" w:rsidRPr="0010056B">
        <w:rPr>
          <w:rFonts w:cs="Arial"/>
          <w:bCs/>
        </w:rPr>
        <w:t xml:space="preserve">LS on </w:t>
      </w:r>
      <w:r w:rsidR="00EA76BC" w:rsidRPr="008D6AF7">
        <w:rPr>
          <w:rFonts w:cs="Arial"/>
          <w:bCs/>
          <w:lang w:val="en-US"/>
        </w:rPr>
        <w:t>LPHAP</w:t>
      </w:r>
      <w:r>
        <w:rPr>
          <w:lang w:val="en-US"/>
        </w:rPr>
        <w:t>” [1], RAN</w:t>
      </w:r>
      <w:r w:rsidR="0010056B">
        <w:rPr>
          <w:lang w:val="en-US"/>
        </w:rPr>
        <w:t>2</w:t>
      </w:r>
      <w:r>
        <w:rPr>
          <w:lang w:val="en-US"/>
        </w:rPr>
        <w:t xml:space="preserve"> </w:t>
      </w:r>
      <w:r w:rsidR="0011149E">
        <w:rPr>
          <w:lang w:val="en-US"/>
        </w:rPr>
        <w:t xml:space="preserve">requested feedback regarding </w:t>
      </w:r>
      <w:r w:rsidR="00CD7627">
        <w:rPr>
          <w:lang w:val="en-US"/>
        </w:rPr>
        <w:t xml:space="preserve">the </w:t>
      </w:r>
      <w:r w:rsidR="000045D2">
        <w:rPr>
          <w:lang w:val="en-US"/>
        </w:rPr>
        <w:t>following:</w:t>
      </w:r>
    </w:p>
    <w:p w14:paraId="107C4D46" w14:textId="77777777" w:rsidR="00421996" w:rsidRPr="00733125" w:rsidRDefault="00421996" w:rsidP="00421996">
      <w:pPr>
        <w:spacing w:after="180"/>
        <w:rPr>
          <w:rFonts w:ascii="Arial" w:hAnsi="Arial" w:cs="Arial"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996" w14:paraId="5A2D6987" w14:textId="77777777" w:rsidTr="005C242A">
        <w:tc>
          <w:tcPr>
            <w:tcW w:w="9629" w:type="dxa"/>
          </w:tcPr>
          <w:p w14:paraId="0BAD4256" w14:textId="77777777" w:rsidR="00421996" w:rsidRDefault="00421996" w:rsidP="005C242A">
            <w:pPr>
              <w:spacing w:after="180"/>
              <w:rPr>
                <w:rFonts w:ascii="Arial" w:hAnsi="Arial" w:cs="Arial"/>
                <w:i/>
                <w:iCs/>
                <w:lang w:val="en-US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Pr="009A7178">
              <w:rPr>
                <w:rFonts w:ascii="Arial" w:hAnsi="Arial" w:cs="Arial"/>
                <w:i/>
                <w:iCs/>
                <w:lang w:val="en-US"/>
              </w:rPr>
              <w:t>2306383</w:t>
            </w:r>
          </w:p>
          <w:p w14:paraId="10D690CC" w14:textId="77777777" w:rsidR="00421996" w:rsidRDefault="00421996" w:rsidP="005C242A">
            <w:pPr>
              <w:pStyle w:val="Heading1"/>
            </w:pPr>
            <w:r>
              <w:t>Overall description</w:t>
            </w:r>
          </w:p>
          <w:p w14:paraId="127D9464" w14:textId="77777777" w:rsidR="00421996" w:rsidRDefault="00421996" w:rsidP="005C242A">
            <w:pPr>
              <w:widowControl w:val="0"/>
              <w:snapToGrid w:val="0"/>
              <w:spacing w:beforeLines="50" w:before="120" w:afterLines="50"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During the discussion on the eDRX cycle for eR</w:t>
            </w:r>
            <w:r>
              <w:rPr>
                <w:rFonts w:ascii="Arial" w:hAnsi="Arial" w:cs="Arial" w:hint="eastAsia"/>
                <w:bCs/>
                <w:lang w:eastAsia="zh-CN"/>
              </w:rPr>
              <w:t>ed</w:t>
            </w:r>
            <w:r>
              <w:rPr>
                <w:rFonts w:ascii="Arial" w:hAnsi="Arial" w:cs="Arial"/>
                <w:bCs/>
                <w:lang w:eastAsia="zh-CN"/>
              </w:rPr>
              <w:t>Cap in RRC_INACTIVE, i</w:t>
            </w:r>
            <w:r w:rsidRPr="00C36E57">
              <w:rPr>
                <w:rFonts w:ascii="Arial" w:hAnsi="Arial" w:cs="Arial"/>
                <w:bCs/>
                <w:lang w:eastAsia="zh-CN"/>
              </w:rPr>
              <w:t>t was already agreed in eRedCap WI that the long eDRX cycle values are the same as idle eDRX (</w:t>
            </w:r>
            <w:r>
              <w:rPr>
                <w:rFonts w:ascii="Arial" w:hAnsi="Arial" w:cs="Arial" w:hint="eastAsia"/>
                <w:bCs/>
                <w:lang w:eastAsia="zh-CN"/>
              </w:rPr>
              <w:t>i</w:t>
            </w:r>
            <w:r>
              <w:rPr>
                <w:rFonts w:ascii="Arial" w:hAnsi="Arial" w:cs="Arial"/>
                <w:bCs/>
                <w:lang w:eastAsia="zh-CN"/>
              </w:rPr>
              <w:t xml:space="preserve">.e., </w:t>
            </w:r>
            <w:r w:rsidRPr="00C36E57">
              <w:rPr>
                <w:rFonts w:ascii="Arial" w:hAnsi="Arial" w:cs="Arial"/>
                <w:bCs/>
                <w:lang w:eastAsia="zh-CN"/>
              </w:rPr>
              <w:t>2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4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8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16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32</w:t>
            </w:r>
            <w:r w:rsidRPr="007945CF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64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128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256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512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1024</w:t>
            </w:r>
            <w:r w:rsidRPr="006426E4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).</w:t>
            </w:r>
          </w:p>
          <w:p w14:paraId="76B26F3B" w14:textId="77777777" w:rsidR="00421996" w:rsidRDefault="00421996" w:rsidP="005C242A">
            <w:pPr>
              <w:widowControl w:val="0"/>
              <w:snapToGrid w:val="0"/>
              <w:spacing w:beforeLines="50" w:before="120" w:afterLines="5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For the SRS configuration with validity area, RAN2 has agreed on the following: </w:t>
            </w:r>
          </w:p>
          <w:p w14:paraId="36621F66" w14:textId="77777777" w:rsidR="00421996" w:rsidRDefault="00421996" w:rsidP="005C242A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clear" w:pos="1622"/>
              </w:tabs>
              <w:ind w:left="1134" w:rightChars="467" w:right="1121" w:hanging="425"/>
            </w:pPr>
            <w:r>
              <w:t>RAN2 consider that the LMF should determine the area-specific SRS configuration.  Details are up to RAN3.</w:t>
            </w:r>
          </w:p>
          <w:p w14:paraId="6D5B545C" w14:textId="77777777" w:rsidR="00421996" w:rsidRDefault="00421996" w:rsidP="005C242A">
            <w:pPr>
              <w:pStyle w:val="Heading1"/>
            </w:pPr>
            <w:r>
              <w:t>Actions</w:t>
            </w:r>
          </w:p>
          <w:p w14:paraId="63C03220" w14:textId="77777777" w:rsidR="00421996" w:rsidRDefault="00421996" w:rsidP="005C242A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945ED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RAN1/RAN4:</w:t>
            </w:r>
          </w:p>
          <w:p w14:paraId="5F4FD442" w14:textId="77777777" w:rsidR="00421996" w:rsidRDefault="00421996" w:rsidP="005C242A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F606C5">
              <w:rPr>
                <w:rFonts w:ascii="Arial" w:hAnsi="Arial" w:cs="Arial"/>
                <w:b/>
              </w:rPr>
              <w:t>RAN</w:t>
            </w:r>
            <w:r>
              <w:rPr>
                <w:rFonts w:ascii="Arial" w:hAnsi="Arial" w:cs="Arial"/>
                <w:b/>
              </w:rPr>
              <w:t>2</w:t>
            </w:r>
            <w:r w:rsidRPr="00F606C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respectfully</w:t>
            </w:r>
            <w:r w:rsidRPr="00F606C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asks</w:t>
            </w:r>
            <w:r w:rsidRPr="00F606C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RAN1/RAN4 to confirm</w:t>
            </w:r>
            <w:r w:rsidRPr="00C36E57">
              <w:rPr>
                <w:rFonts w:ascii="Arial" w:hAnsi="Arial" w:cs="Arial"/>
                <w:b/>
              </w:rPr>
              <w:t xml:space="preserve"> whether the eRedCap agreed eDRX cycle lengths are sufficient for positioning</w:t>
            </w:r>
            <w:r>
              <w:rPr>
                <w:rFonts w:ascii="Arial" w:hAnsi="Arial" w:cs="Arial"/>
                <w:b/>
              </w:rPr>
              <w:t xml:space="preserve"> in RRC_INACTIVE.</w:t>
            </w:r>
          </w:p>
          <w:p w14:paraId="148ED1A1" w14:textId="77777777" w:rsidR="00421996" w:rsidRPr="003B4D62" w:rsidRDefault="00421996" w:rsidP="005C242A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</w:rPr>
            </w:pPr>
            <w:r w:rsidRPr="003B4D62">
              <w:rPr>
                <w:rFonts w:ascii="Arial" w:hAnsi="Arial" w:cs="Arial"/>
                <w:b/>
              </w:rPr>
              <w:t>T</w:t>
            </w:r>
            <w:r>
              <w:rPr>
                <w:rFonts w:ascii="Arial" w:hAnsi="Arial" w:cs="Arial"/>
                <w:b/>
              </w:rPr>
              <w:t>o</w:t>
            </w:r>
            <w:r w:rsidRPr="003B4D62">
              <w:rPr>
                <w:rFonts w:ascii="Arial" w:hAnsi="Arial" w:cs="Arial"/>
                <w:b/>
              </w:rPr>
              <w:t xml:space="preserve"> RAN3:</w:t>
            </w:r>
          </w:p>
          <w:p w14:paraId="460CC54F" w14:textId="77777777" w:rsidR="00421996" w:rsidRDefault="00421996" w:rsidP="005C242A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</w:rPr>
            </w:pPr>
            <w:r w:rsidRPr="003B4D62">
              <w:rPr>
                <w:rFonts w:ascii="Arial" w:hAnsi="Arial" w:cs="Arial" w:hint="eastAsia"/>
                <w:b/>
              </w:rPr>
              <w:t>A</w:t>
            </w:r>
            <w:r w:rsidRPr="003B4D62">
              <w:rPr>
                <w:rFonts w:ascii="Arial" w:hAnsi="Arial" w:cs="Arial"/>
                <w:b/>
              </w:rPr>
              <w:t xml:space="preserve">CTION: </w:t>
            </w:r>
            <w:r>
              <w:rPr>
                <w:rFonts w:ascii="Arial" w:hAnsi="Arial" w:cs="Arial"/>
                <w:b/>
              </w:rPr>
              <w:t>RAN2 respectfully asks RAN3 to take the RAN2 agreement on area-specific SRS configuration for LPHAP into consideration in the future work.</w:t>
            </w:r>
          </w:p>
          <w:p w14:paraId="72FA4DE6" w14:textId="77777777" w:rsidR="00421996" w:rsidRDefault="00421996" w:rsidP="005C242A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To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 w:hint="eastAsia"/>
                <w:b/>
                <w:lang w:eastAsia="zh-CN"/>
              </w:rPr>
              <w:t>RAN1</w:t>
            </w:r>
            <w:r>
              <w:rPr>
                <w:rFonts w:ascii="Arial" w:hAnsi="Arial" w:cs="Arial"/>
                <w:b/>
              </w:rPr>
              <w:t>:</w:t>
            </w:r>
          </w:p>
          <w:p w14:paraId="078B6778" w14:textId="77777777" w:rsidR="00421996" w:rsidRPr="003B4D62" w:rsidRDefault="00421996" w:rsidP="005C242A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A</w:t>
            </w:r>
            <w:r>
              <w:rPr>
                <w:rFonts w:ascii="Arial" w:hAnsi="Arial" w:cs="Arial"/>
                <w:b/>
                <w:lang w:eastAsia="zh-CN"/>
              </w:rPr>
              <w:t>CTION: RAN2 respectfully asks RAN1 to work on the parameters for area-specific SRS configuration.</w:t>
            </w:r>
          </w:p>
          <w:p w14:paraId="0A0D2443" w14:textId="77777777" w:rsidR="00421996" w:rsidRPr="003665D7" w:rsidRDefault="00421996" w:rsidP="005C242A">
            <w:pPr>
              <w:spacing w:after="120"/>
              <w:ind w:left="993" w:hanging="993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3534E4A0" w14:textId="77777777" w:rsidR="00421996" w:rsidRPr="00F31D5E" w:rsidRDefault="00421996" w:rsidP="005C242A">
            <w:pPr>
              <w:pStyle w:val="Doc-text2"/>
              <w:ind w:left="0" w:firstLine="0"/>
              <w:rPr>
                <w:lang w:val="en-GB"/>
              </w:rPr>
            </w:pPr>
          </w:p>
          <w:p w14:paraId="49339023" w14:textId="77777777" w:rsidR="00421996" w:rsidRDefault="00421996" w:rsidP="005C242A">
            <w:pPr>
              <w:jc w:val="both"/>
              <w:rPr>
                <w:lang w:val="x-none"/>
              </w:rPr>
            </w:pPr>
          </w:p>
        </w:tc>
      </w:tr>
    </w:tbl>
    <w:p w14:paraId="1B363F94" w14:textId="77777777" w:rsidR="00421996" w:rsidRDefault="00421996" w:rsidP="0042199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22A03B1A" w14:textId="77777777" w:rsidR="002B2D40" w:rsidRPr="00421996" w:rsidRDefault="002B2D40" w:rsidP="00C31F89">
      <w:pPr>
        <w:jc w:val="both"/>
      </w:pPr>
    </w:p>
    <w:p w14:paraId="3569A4FE" w14:textId="77777777" w:rsidR="007B0D2C" w:rsidRDefault="007B0D2C" w:rsidP="00C31F89">
      <w:pPr>
        <w:jc w:val="both"/>
        <w:rPr>
          <w:lang w:val="x-none"/>
        </w:rPr>
      </w:pPr>
    </w:p>
    <w:p w14:paraId="21444596" w14:textId="77777777" w:rsidR="00791985" w:rsidRPr="000508BE" w:rsidRDefault="00791985" w:rsidP="00791985">
      <w:pPr>
        <w:rPr>
          <w:lang w:val="en-US"/>
        </w:rPr>
      </w:pPr>
      <w:r>
        <w:rPr>
          <w:bCs/>
          <w:lang w:val="en-US"/>
        </w:rPr>
        <w:t>A draft LS reply is provided in [2].</w:t>
      </w:r>
      <w:r>
        <w:rPr>
          <w:b/>
          <w:bCs/>
          <w:lang w:val="en-US" w:eastAsia="en-GB"/>
        </w:rPr>
        <w:t xml:space="preserve"> </w:t>
      </w:r>
      <w:r>
        <w:rPr>
          <w:lang w:val="en-US"/>
        </w:rPr>
        <w:t xml:space="preserve"> </w:t>
      </w:r>
    </w:p>
    <w:p w14:paraId="69C0B748" w14:textId="77777777" w:rsidR="00791985" w:rsidRPr="00791985" w:rsidRDefault="00791985" w:rsidP="00C31F89">
      <w:pPr>
        <w:jc w:val="both"/>
        <w:rPr>
          <w:lang w:val="en-US"/>
        </w:rPr>
      </w:pPr>
    </w:p>
    <w:p w14:paraId="56E6613C" w14:textId="6FFBAC96" w:rsidR="00CF677F" w:rsidRDefault="00DE52AF" w:rsidP="000D49B4">
      <w:pPr>
        <w:pStyle w:val="Heading1"/>
      </w:pPr>
      <w:bookmarkStart w:id="0" w:name="_Ref79166630"/>
      <w:bookmarkStart w:id="1" w:name="OLE_LINK1"/>
      <w:bookmarkStart w:id="2" w:name="OLE_LINK2"/>
      <w:r>
        <w:t>discussion</w:t>
      </w:r>
    </w:p>
    <w:p w14:paraId="5809C49E" w14:textId="03F7A6DA" w:rsidR="00366B78" w:rsidRPr="00A71AE7" w:rsidRDefault="00421996" w:rsidP="00366B78">
      <w:pPr>
        <w:pStyle w:val="Heading2"/>
      </w:pP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length</w:t>
      </w:r>
    </w:p>
    <w:p w14:paraId="5227D885" w14:textId="59F8FDBF" w:rsidR="008F61AF" w:rsidRDefault="007B5741" w:rsidP="004219A0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 </w:t>
      </w:r>
      <w:r w:rsidR="00421996" w:rsidRPr="00F54987">
        <w:rPr>
          <w:rFonts w:ascii="Arial" w:hAnsi="Arial" w:cs="Arial"/>
          <w:sz w:val="20"/>
          <w:szCs w:val="20"/>
          <w:lang w:val="en-US"/>
        </w:rPr>
        <w:t xml:space="preserve"> </w:t>
      </w:r>
      <w:r w:rsidR="00F54987">
        <w:rPr>
          <w:lang w:eastAsia="zh-CN"/>
        </w:rPr>
        <w:t xml:space="preserve">eRedCap WI agreed to introduce eDRX cycle lengths of {2, 4, 8, 16, 32, 64, 128, 256, 512, and 1024} </w:t>
      </w:r>
      <w:r w:rsidR="00F54987">
        <w:rPr>
          <w:rFonts w:hint="eastAsia"/>
          <w:lang w:eastAsia="zh-CN"/>
        </w:rPr>
        <w:t>hyper</w:t>
      </w:r>
      <w:r w:rsidR="00F54987">
        <w:rPr>
          <w:lang w:eastAsia="zh-CN"/>
        </w:rPr>
        <w:t xml:space="preserve">frames. </w:t>
      </w:r>
      <w:r w:rsidR="00386462" w:rsidRPr="00A634B0">
        <w:rPr>
          <w:lang w:val="en-US" w:eastAsia="zh-CN"/>
        </w:rPr>
        <w:t xml:space="preserve">An </w:t>
      </w:r>
      <w:r w:rsidR="00F54987">
        <w:rPr>
          <w:lang w:eastAsia="zh-CN"/>
        </w:rPr>
        <w:t>hyperframe is 10.24 seconds</w:t>
      </w:r>
      <w:r w:rsidR="00386462" w:rsidRPr="00A634B0">
        <w:rPr>
          <w:lang w:val="en-US" w:eastAsia="zh-CN"/>
        </w:rPr>
        <w:t xml:space="preserve"> long in duration</w:t>
      </w:r>
      <w:r w:rsidR="00F54987">
        <w:rPr>
          <w:lang w:eastAsia="zh-CN"/>
        </w:rPr>
        <w:t>.</w:t>
      </w:r>
      <w:r w:rsidR="00386462" w:rsidRPr="00A634B0">
        <w:rPr>
          <w:lang w:val="en-US" w:eastAsia="zh-CN"/>
        </w:rPr>
        <w:t xml:space="preserve"> </w:t>
      </w:r>
      <w:proofErr w:type="gramStart"/>
      <w:r w:rsidR="00386462" w:rsidRPr="00A634B0">
        <w:rPr>
          <w:lang w:val="en-US" w:eastAsia="zh-CN"/>
        </w:rPr>
        <w:t>Thus</w:t>
      </w:r>
      <w:proofErr w:type="gramEnd"/>
      <w:r w:rsidR="00386462" w:rsidRPr="00A634B0">
        <w:rPr>
          <w:lang w:val="en-US" w:eastAsia="zh-CN"/>
        </w:rPr>
        <w:t xml:space="preserve"> </w:t>
      </w:r>
      <w:r w:rsidR="00A634B0" w:rsidRPr="00A634B0">
        <w:rPr>
          <w:lang w:val="en-US" w:eastAsia="zh-CN"/>
        </w:rPr>
        <w:t xml:space="preserve">with the </w:t>
      </w:r>
      <w:r w:rsidR="00A634B0">
        <w:rPr>
          <w:lang w:val="en-US" w:eastAsia="zh-CN"/>
        </w:rPr>
        <w:t xml:space="preserve">newly agreed </w:t>
      </w:r>
      <w:proofErr w:type="spellStart"/>
      <w:r w:rsidR="00A634B0">
        <w:rPr>
          <w:lang w:val="en-US" w:eastAsia="zh-CN"/>
        </w:rPr>
        <w:t>hyperframe</w:t>
      </w:r>
      <w:proofErr w:type="spellEnd"/>
      <w:r w:rsidR="00A634B0">
        <w:rPr>
          <w:lang w:val="en-US" w:eastAsia="zh-CN"/>
        </w:rPr>
        <w:t xml:space="preserve"> duration, </w:t>
      </w:r>
      <w:proofErr w:type="spellStart"/>
      <w:r w:rsidR="00A634B0">
        <w:rPr>
          <w:lang w:val="en-US" w:eastAsia="zh-CN"/>
        </w:rPr>
        <w:t>eDRX</w:t>
      </w:r>
      <w:proofErr w:type="spellEnd"/>
      <w:r w:rsidR="00A634B0">
        <w:rPr>
          <w:lang w:val="en-US" w:eastAsia="zh-CN"/>
        </w:rPr>
        <w:t xml:space="preserve"> can be extended to e.g. 20</w:t>
      </w:r>
      <w:r w:rsidR="002A3A28">
        <w:rPr>
          <w:lang w:val="en-US" w:eastAsia="zh-CN"/>
        </w:rPr>
        <w:t>.48</w:t>
      </w:r>
      <w:r w:rsidR="00A634B0">
        <w:rPr>
          <w:lang w:val="en-US" w:eastAsia="zh-CN"/>
        </w:rPr>
        <w:t xml:space="preserve"> se</w:t>
      </w:r>
      <w:r w:rsidR="002A3A28">
        <w:rPr>
          <w:lang w:val="en-US" w:eastAsia="zh-CN"/>
        </w:rPr>
        <w:t>conds</w:t>
      </w:r>
      <w:r w:rsidR="000C55A1">
        <w:rPr>
          <w:lang w:val="en-US" w:eastAsia="zh-CN"/>
        </w:rPr>
        <w:t xml:space="preserve">. </w:t>
      </w:r>
      <w:r w:rsidR="000C55A1" w:rsidRPr="000C55A1">
        <w:rPr>
          <w:lang w:val="en-US" w:eastAsia="zh-CN"/>
        </w:rPr>
        <w:t xml:space="preserve">use case 6 </w:t>
      </w:r>
      <w:r w:rsidR="000C55A1">
        <w:rPr>
          <w:lang w:val="en-US" w:eastAsia="zh-CN"/>
        </w:rPr>
        <w:t>is</w:t>
      </w:r>
      <w:r w:rsidR="000C55A1" w:rsidRPr="000C55A1">
        <w:rPr>
          <w:lang w:val="en-US" w:eastAsia="zh-CN"/>
        </w:rPr>
        <w:t xml:space="preserve"> defined</w:t>
      </w:r>
      <w:r w:rsidR="003E0068">
        <w:rPr>
          <w:lang w:val="en-US" w:eastAsia="zh-CN"/>
        </w:rPr>
        <w:t xml:space="preserve"> in</w:t>
      </w:r>
      <w:r w:rsidR="000C55A1" w:rsidRPr="000C55A1">
        <w:rPr>
          <w:lang w:val="en-US" w:eastAsia="zh-CN"/>
        </w:rPr>
        <w:t xml:space="preserve"> TS 22.104 [6]</w:t>
      </w:r>
      <w:r w:rsidR="003E0068">
        <w:rPr>
          <w:lang w:val="en-US" w:eastAsia="zh-CN"/>
        </w:rPr>
        <w:t xml:space="preserve"> for </w:t>
      </w:r>
      <w:r w:rsidR="000C55A1" w:rsidRPr="000C55A1">
        <w:rPr>
          <w:lang w:val="en-US" w:eastAsia="zh-CN"/>
        </w:rPr>
        <w:t>tracking of workpiece (in- and outdoor) in assembly area and warehouse with interval of 15-30 seconds, and a battery life of 6-12 months.</w:t>
      </w:r>
      <w:r w:rsidR="000C55A1">
        <w:rPr>
          <w:lang w:val="en-US" w:eastAsia="zh-CN"/>
        </w:rPr>
        <w:t xml:space="preserve"> </w:t>
      </w:r>
      <w:r w:rsidR="00837450">
        <w:rPr>
          <w:lang w:val="en-US" w:eastAsia="zh-CN"/>
        </w:rPr>
        <w:t xml:space="preserve">The newly agreed value of 2 </w:t>
      </w:r>
      <w:proofErr w:type="spellStart"/>
      <w:r w:rsidR="00837450">
        <w:rPr>
          <w:lang w:val="en-US" w:eastAsia="zh-CN"/>
        </w:rPr>
        <w:t>hyperframe</w:t>
      </w:r>
      <w:proofErr w:type="spellEnd"/>
      <w:r w:rsidR="00837450">
        <w:rPr>
          <w:lang w:val="en-US" w:eastAsia="zh-CN"/>
        </w:rPr>
        <w:t xml:space="preserve"> for </w:t>
      </w:r>
      <w:proofErr w:type="spellStart"/>
      <w:r w:rsidR="00837450">
        <w:rPr>
          <w:lang w:val="en-US" w:eastAsia="zh-CN"/>
        </w:rPr>
        <w:t>eDRX</w:t>
      </w:r>
      <w:proofErr w:type="spellEnd"/>
      <w:r w:rsidR="00837450">
        <w:rPr>
          <w:lang w:val="en-US" w:eastAsia="zh-CN"/>
        </w:rPr>
        <w:t xml:space="preserve"> fits </w:t>
      </w:r>
      <w:r w:rsidR="00844978">
        <w:rPr>
          <w:lang w:val="en-US" w:eastAsia="zh-CN"/>
        </w:rPr>
        <w:t>use case 6.</w:t>
      </w:r>
      <w:r w:rsidR="004219A0">
        <w:rPr>
          <w:lang w:val="en-US" w:eastAsia="zh-CN"/>
        </w:rPr>
        <w:t xml:space="preserve"> </w:t>
      </w:r>
      <w:r w:rsidR="005354A4">
        <w:rPr>
          <w:lang w:val="en-US"/>
        </w:rPr>
        <w:t xml:space="preserve"> </w:t>
      </w:r>
    </w:p>
    <w:p w14:paraId="67700347" w14:textId="77777777" w:rsidR="008F61AF" w:rsidRDefault="008F61AF" w:rsidP="00C57190">
      <w:pPr>
        <w:jc w:val="both"/>
        <w:rPr>
          <w:lang w:val="en-US"/>
        </w:rPr>
      </w:pPr>
    </w:p>
    <w:p w14:paraId="17FA0A3F" w14:textId="77777777" w:rsidR="008F61AF" w:rsidRDefault="008F61AF" w:rsidP="00C57190">
      <w:pPr>
        <w:jc w:val="both"/>
        <w:rPr>
          <w:lang w:val="en-US"/>
        </w:rPr>
      </w:pPr>
    </w:p>
    <w:p w14:paraId="4489F98E" w14:textId="5056F798" w:rsidR="007753F3" w:rsidRDefault="00844978" w:rsidP="002F7D7D">
      <w:pPr>
        <w:pStyle w:val="Observation"/>
        <w:rPr>
          <w:lang w:val="en-US"/>
        </w:rPr>
      </w:pP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of 2 </w:t>
      </w:r>
      <w:proofErr w:type="spellStart"/>
      <w:r>
        <w:rPr>
          <w:lang w:val="en-US"/>
        </w:rPr>
        <w:t>hyperframes</w:t>
      </w:r>
      <w:proofErr w:type="spellEnd"/>
      <w:r>
        <w:rPr>
          <w:lang w:val="en-US"/>
        </w:rPr>
        <w:t xml:space="preserve"> fits the update interval of use case 6 of 15-30</w:t>
      </w:r>
      <w:r w:rsidR="008F61AF">
        <w:rPr>
          <w:lang w:val="en-US"/>
        </w:rPr>
        <w:t xml:space="preserve"> </w:t>
      </w:r>
      <w:proofErr w:type="gramStart"/>
      <w:r w:rsidR="008F61AF">
        <w:rPr>
          <w:lang w:val="en-US"/>
        </w:rPr>
        <w:t>seconds</w:t>
      </w:r>
      <w:proofErr w:type="gramEnd"/>
    </w:p>
    <w:p w14:paraId="25186729" w14:textId="1CAD02BB" w:rsidR="000D381B" w:rsidRPr="000D5674" w:rsidRDefault="00EA7192" w:rsidP="00A21E04">
      <w:pPr>
        <w:pStyle w:val="Proposal"/>
        <w:rPr>
          <w:lang w:val="en-US"/>
        </w:rPr>
      </w:pPr>
      <w:r>
        <w:rPr>
          <w:lang w:val="en-US"/>
        </w:rPr>
        <w:t xml:space="preserve">RAN1 </w:t>
      </w:r>
      <w:r w:rsidR="00A21E04">
        <w:rPr>
          <w:lang w:val="en-US"/>
        </w:rPr>
        <w:t xml:space="preserve">should confirm that the </w:t>
      </w:r>
      <w:proofErr w:type="spellStart"/>
      <w:r w:rsidR="00A21E04">
        <w:rPr>
          <w:lang w:val="en-US"/>
        </w:rPr>
        <w:t>eDRX</w:t>
      </w:r>
      <w:proofErr w:type="spellEnd"/>
      <w:r w:rsidR="00A21E04">
        <w:rPr>
          <w:lang w:val="en-US"/>
        </w:rPr>
        <w:t xml:space="preserve"> cycle durations agreed during </w:t>
      </w:r>
      <w:proofErr w:type="spellStart"/>
      <w:r w:rsidR="00A21E04">
        <w:rPr>
          <w:lang w:val="en-US"/>
        </w:rPr>
        <w:t>eRedCap</w:t>
      </w:r>
      <w:proofErr w:type="spellEnd"/>
      <w:r w:rsidR="00A21E04">
        <w:rPr>
          <w:lang w:val="en-US"/>
        </w:rPr>
        <w:t xml:space="preserve"> WI are suitable to </w:t>
      </w:r>
      <w:proofErr w:type="spellStart"/>
      <w:r w:rsidR="00A21E04">
        <w:rPr>
          <w:lang w:val="en-US"/>
        </w:rPr>
        <w:t>fullfill</w:t>
      </w:r>
      <w:proofErr w:type="spellEnd"/>
      <w:r w:rsidR="00A21E04">
        <w:rPr>
          <w:lang w:val="en-US"/>
        </w:rPr>
        <w:t xml:space="preserve"> LPHAP use case 6. </w:t>
      </w:r>
    </w:p>
    <w:p w14:paraId="2707E20D" w14:textId="77777777" w:rsidR="007870B7" w:rsidRDefault="007870B7" w:rsidP="00C57190">
      <w:pPr>
        <w:jc w:val="both"/>
        <w:rPr>
          <w:bCs/>
          <w:lang w:val="en-US"/>
        </w:rPr>
      </w:pPr>
    </w:p>
    <w:p w14:paraId="742433F3" w14:textId="474CEFC9" w:rsidR="007B5741" w:rsidRPr="00A71AE7" w:rsidRDefault="00566F87" w:rsidP="007B5741">
      <w:pPr>
        <w:pStyle w:val="Heading2"/>
      </w:pPr>
      <w:r>
        <w:rPr>
          <w:lang w:val="en-US"/>
        </w:rPr>
        <w:t>Area specific SRS configuration parameters</w:t>
      </w:r>
    </w:p>
    <w:p w14:paraId="7C81C343" w14:textId="44D92D73" w:rsidR="00837FF4" w:rsidRDefault="00451426" w:rsidP="00C57190">
      <w:pPr>
        <w:jc w:val="both"/>
        <w:rPr>
          <w:bCs/>
          <w:lang w:val="en-US"/>
        </w:rPr>
      </w:pPr>
      <w:r>
        <w:rPr>
          <w:bCs/>
          <w:lang w:val="en-US"/>
        </w:rPr>
        <w:t xml:space="preserve"> </w:t>
      </w:r>
      <w:r w:rsidR="002104AF">
        <w:rPr>
          <w:bCs/>
          <w:lang w:val="en-US"/>
        </w:rPr>
        <w:t xml:space="preserve">The SRS configuration for measurements in RRC INACTIVE are obtained during the RRC release of the UE to inactive state. </w:t>
      </w:r>
      <w:r w:rsidR="00D2700F">
        <w:rPr>
          <w:bCs/>
          <w:lang w:val="en-US"/>
        </w:rPr>
        <w:t>In our view, the configuration is meant to apply in the whole area</w:t>
      </w:r>
      <w:r w:rsidR="001806B5">
        <w:rPr>
          <w:bCs/>
          <w:lang w:val="en-US"/>
        </w:rPr>
        <w:t xml:space="preserve">, </w:t>
      </w:r>
      <w:proofErr w:type="gramStart"/>
      <w:r w:rsidR="001806B5">
        <w:rPr>
          <w:bCs/>
          <w:lang w:val="en-US"/>
        </w:rPr>
        <w:t>with the exception of</w:t>
      </w:r>
      <w:proofErr w:type="gramEnd"/>
      <w:r w:rsidR="001806B5">
        <w:rPr>
          <w:bCs/>
          <w:lang w:val="en-US"/>
        </w:rPr>
        <w:t xml:space="preserve"> some of the parameters which are subject to validity conditions such as spatial relation and path loss RS</w:t>
      </w:r>
      <w:r w:rsidR="00663AA3">
        <w:rPr>
          <w:bCs/>
          <w:lang w:val="en-US"/>
        </w:rPr>
        <w:t xml:space="preserve">. </w:t>
      </w:r>
      <w:r w:rsidR="006B12E8">
        <w:rPr>
          <w:bCs/>
          <w:lang w:val="en-US"/>
        </w:rPr>
        <w:t xml:space="preserve">We note that RAN1 did not include cell specific information in the parameter list for LPHAP. </w:t>
      </w:r>
    </w:p>
    <w:p w14:paraId="49D9B1D6" w14:textId="77777777" w:rsidR="00E71D00" w:rsidRDefault="00E71D00" w:rsidP="00C57190">
      <w:pPr>
        <w:jc w:val="both"/>
        <w:rPr>
          <w:bCs/>
          <w:lang w:val="en-US"/>
        </w:rPr>
      </w:pPr>
    </w:p>
    <w:p w14:paraId="623B1163" w14:textId="0B47B40F" w:rsidR="000508BE" w:rsidRPr="0084023D" w:rsidRDefault="00E71D00" w:rsidP="00DA781F">
      <w:pPr>
        <w:pStyle w:val="Proposal"/>
        <w:rPr>
          <w:lang w:val="en-US"/>
        </w:rPr>
      </w:pPr>
      <w:r w:rsidRPr="00E71D00">
        <w:rPr>
          <w:lang w:val="en-US"/>
        </w:rPr>
        <w:t xml:space="preserve">Regarding the </w:t>
      </w:r>
      <w:r w:rsidR="006B12E8">
        <w:rPr>
          <w:lang w:val="en-US"/>
        </w:rPr>
        <w:t>request from RAN2</w:t>
      </w:r>
      <w:r w:rsidR="00DA781F">
        <w:rPr>
          <w:lang w:val="en-US"/>
        </w:rPr>
        <w:t xml:space="preserve"> on area specific SRS configuration, reply that the SRS configuration provided for SRS in RRC inactive should be valid for the validity </w:t>
      </w:r>
      <w:proofErr w:type="gramStart"/>
      <w:r w:rsidR="00DA781F">
        <w:rPr>
          <w:lang w:val="en-US"/>
        </w:rPr>
        <w:t>area as a whole</w:t>
      </w:r>
      <w:proofErr w:type="gramEnd"/>
      <w:r w:rsidR="00DA781F">
        <w:rPr>
          <w:lang w:val="en-US"/>
        </w:rPr>
        <w:t xml:space="preserve">. 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D5FC3AF" w14:textId="04972869" w:rsidR="00D8504F" w:rsidRPr="0097202E" w:rsidRDefault="00771BE5" w:rsidP="005209EE">
      <w:pPr>
        <w:pStyle w:val="Reference"/>
        <w:rPr>
          <w:rFonts w:cs="Arial"/>
        </w:rPr>
      </w:pPr>
      <w:r w:rsidRPr="00C746C1">
        <w:rPr>
          <w:rFonts w:cs="Arial"/>
          <w:lang w:val="en-US"/>
        </w:rPr>
        <w:t>R1-</w:t>
      </w:r>
      <w:r w:rsidR="002B3381" w:rsidRPr="002B3381">
        <w:rPr>
          <w:rFonts w:cs="Arial"/>
          <w:lang w:val="en-US"/>
        </w:rPr>
        <w:t>2306383</w:t>
      </w:r>
      <w:r w:rsidR="006D3FCD">
        <w:rPr>
          <w:rFonts w:cs="Arial"/>
          <w:lang w:val="en-US"/>
        </w:rPr>
        <w:t xml:space="preserve">, </w:t>
      </w:r>
      <w:r w:rsidR="00984B78" w:rsidRPr="00984B78">
        <w:rPr>
          <w:rFonts w:cs="Arial"/>
          <w:lang w:val="en-US"/>
        </w:rPr>
        <w:t xml:space="preserve">LS on </w:t>
      </w:r>
      <w:r w:rsidR="00D00332">
        <w:rPr>
          <w:rFonts w:cs="Arial"/>
          <w:lang w:val="en-US"/>
        </w:rPr>
        <w:t>LPHAP</w:t>
      </w:r>
      <w:r w:rsidR="00984B78">
        <w:rPr>
          <w:rFonts w:cs="Arial"/>
          <w:lang w:val="en-US"/>
        </w:rPr>
        <w:t xml:space="preserve">, </w:t>
      </w:r>
      <w:r w:rsidR="006D3FCD">
        <w:rPr>
          <w:rFonts w:cs="Arial"/>
          <w:lang w:val="en-US"/>
        </w:rPr>
        <w:t>RAN</w:t>
      </w:r>
      <w:r w:rsidR="00984B78">
        <w:rPr>
          <w:rFonts w:cs="Arial"/>
          <w:lang w:val="en-US"/>
        </w:rPr>
        <w:t>2</w:t>
      </w:r>
      <w:r w:rsidR="00C746C1" w:rsidRPr="00C746C1">
        <w:rPr>
          <w:rFonts w:cs="Arial"/>
          <w:lang w:val="en-US"/>
        </w:rPr>
        <w:t xml:space="preserve">  </w:t>
      </w:r>
    </w:p>
    <w:p w14:paraId="4C275D3B" w14:textId="1D155CA0" w:rsidR="0097202E" w:rsidRPr="0084023D" w:rsidRDefault="0097202E" w:rsidP="006D3FCD">
      <w:pPr>
        <w:pStyle w:val="Reference"/>
        <w:rPr>
          <w:rFonts w:cs="Arial"/>
        </w:rPr>
      </w:pPr>
      <w:r w:rsidRPr="0084023D">
        <w:rPr>
          <w:rFonts w:cs="Arial"/>
          <w:lang w:val="en-US"/>
        </w:rPr>
        <w:t>R1-</w:t>
      </w:r>
      <w:r w:rsidR="003D2C66" w:rsidRPr="003D2C66">
        <w:rPr>
          <w:rFonts w:cs="Arial"/>
          <w:lang w:val="en-US"/>
        </w:rPr>
        <w:t>230816</w:t>
      </w:r>
      <w:r w:rsidR="003D2C66">
        <w:rPr>
          <w:rFonts w:cs="Arial"/>
          <w:lang w:val="en-US"/>
        </w:rPr>
        <w:t xml:space="preserve">5 </w:t>
      </w:r>
      <w:r w:rsidRPr="0084023D">
        <w:rPr>
          <w:rFonts w:cs="Arial"/>
          <w:lang w:val="en-US"/>
        </w:rPr>
        <w:t xml:space="preserve">Draft </w:t>
      </w:r>
      <w:proofErr w:type="gramStart"/>
      <w:r w:rsidRPr="0084023D">
        <w:rPr>
          <w:rFonts w:cs="Arial"/>
          <w:lang w:val="en-US"/>
        </w:rPr>
        <w:t>reply</w:t>
      </w:r>
      <w:proofErr w:type="gramEnd"/>
      <w:r w:rsidRPr="0084023D">
        <w:rPr>
          <w:rFonts w:cs="Arial"/>
          <w:lang w:val="en-US"/>
        </w:rPr>
        <w:t xml:space="preserve"> </w:t>
      </w:r>
      <w:r w:rsidR="00ED1673" w:rsidRPr="0084023D">
        <w:rPr>
          <w:rFonts w:cs="Arial"/>
          <w:lang w:val="en-US"/>
        </w:rPr>
        <w:t xml:space="preserve">LS on </w:t>
      </w:r>
      <w:r w:rsidR="00D00332">
        <w:rPr>
          <w:rFonts w:cs="Arial"/>
          <w:lang w:val="en-US"/>
        </w:rPr>
        <w:t>LPHAP</w:t>
      </w:r>
      <w:r w:rsidR="006D3FCD" w:rsidRPr="0084023D">
        <w:rPr>
          <w:rFonts w:cs="Arial"/>
          <w:lang w:val="en-US"/>
        </w:rPr>
        <w:t>, Ericsson, RAN1#11</w:t>
      </w:r>
      <w:r w:rsidR="00D00332">
        <w:rPr>
          <w:rFonts w:cs="Arial"/>
          <w:lang w:val="en-US"/>
        </w:rPr>
        <w:t>4</w:t>
      </w:r>
    </w:p>
    <w:bookmarkEnd w:id="0"/>
    <w:bookmarkEnd w:id="1"/>
    <w:bookmarkEnd w:id="2"/>
    <w:p w14:paraId="6D1E3AB1" w14:textId="108DC594" w:rsidR="00B9212C" w:rsidRPr="007176C0" w:rsidRDefault="007176C0" w:rsidP="00A720BB">
      <w:pPr>
        <w:rPr>
          <w:b/>
          <w:bCs/>
          <w:lang w:val="en-US" w:eastAsia="en-GB"/>
        </w:rPr>
      </w:pPr>
      <w:r w:rsidRPr="007176C0">
        <w:rPr>
          <w:b/>
          <w:bCs/>
          <w:lang w:val="en-US" w:eastAsia="en-GB"/>
        </w:rPr>
        <w:t xml:space="preserve"> 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36336" w14:textId="77777777" w:rsidR="00070CC8" w:rsidRDefault="00070CC8">
      <w:r>
        <w:separator/>
      </w:r>
    </w:p>
  </w:endnote>
  <w:endnote w:type="continuationSeparator" w:id="0">
    <w:p w14:paraId="0993133C" w14:textId="77777777" w:rsidR="00070CC8" w:rsidRDefault="00070CC8">
      <w:r>
        <w:continuationSeparator/>
      </w:r>
    </w:p>
  </w:endnote>
  <w:endnote w:type="continuationNotice" w:id="1">
    <w:p w14:paraId="70B6E77D" w14:textId="77777777" w:rsidR="00070CC8" w:rsidRDefault="00070C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E05D" w14:textId="77777777" w:rsidR="00070CC8" w:rsidRDefault="00070CC8">
      <w:r>
        <w:separator/>
      </w:r>
    </w:p>
  </w:footnote>
  <w:footnote w:type="continuationSeparator" w:id="0">
    <w:p w14:paraId="1BDEECFA" w14:textId="77777777" w:rsidR="00070CC8" w:rsidRDefault="00070CC8">
      <w:r>
        <w:continuationSeparator/>
      </w:r>
    </w:p>
  </w:footnote>
  <w:footnote w:type="continuationNotice" w:id="1">
    <w:p w14:paraId="7A26D3E3" w14:textId="77777777" w:rsidR="00070CC8" w:rsidRDefault="00070C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7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2"/>
  </w:num>
  <w:num w:numId="2" w16cid:durableId="1323268544">
    <w:abstractNumId w:val="0"/>
  </w:num>
  <w:num w:numId="3" w16cid:durableId="338242055">
    <w:abstractNumId w:val="14"/>
  </w:num>
  <w:num w:numId="4" w16cid:durableId="2083794250">
    <w:abstractNumId w:val="15"/>
  </w:num>
  <w:num w:numId="5" w16cid:durableId="457576691">
    <w:abstractNumId w:val="5"/>
  </w:num>
  <w:num w:numId="6" w16cid:durableId="1855419017">
    <w:abstractNumId w:val="6"/>
  </w:num>
  <w:num w:numId="7" w16cid:durableId="983047666">
    <w:abstractNumId w:val="2"/>
  </w:num>
  <w:num w:numId="8" w16cid:durableId="2082021909">
    <w:abstractNumId w:val="19"/>
  </w:num>
  <w:num w:numId="9" w16cid:durableId="1258977740">
    <w:abstractNumId w:val="18"/>
  </w:num>
  <w:num w:numId="10" w16cid:durableId="1278440960">
    <w:abstractNumId w:val="16"/>
  </w:num>
  <w:num w:numId="11" w16cid:durableId="1017775311">
    <w:abstractNumId w:val="20"/>
  </w:num>
  <w:num w:numId="12" w16cid:durableId="575167076">
    <w:abstractNumId w:val="1"/>
  </w:num>
  <w:num w:numId="13" w16cid:durableId="1707024529">
    <w:abstractNumId w:val="9"/>
  </w:num>
  <w:num w:numId="14" w16cid:durableId="419374843">
    <w:abstractNumId w:val="4"/>
  </w:num>
  <w:num w:numId="15" w16cid:durableId="689063921">
    <w:abstractNumId w:val="11"/>
  </w:num>
  <w:num w:numId="16" w16cid:durableId="645742951">
    <w:abstractNumId w:val="10"/>
  </w:num>
  <w:num w:numId="17" w16cid:durableId="703288562">
    <w:abstractNumId w:val="8"/>
  </w:num>
  <w:num w:numId="18" w16cid:durableId="638147366">
    <w:abstractNumId w:val="7"/>
  </w:num>
  <w:num w:numId="19" w16cid:durableId="1337881544">
    <w:abstractNumId w:val="17"/>
  </w:num>
  <w:num w:numId="20" w16cid:durableId="84041400">
    <w:abstractNumId w:val="14"/>
    <w:lvlOverride w:ilvl="0">
      <w:startOverride w:val="1"/>
    </w:lvlOverride>
  </w:num>
  <w:num w:numId="21" w16cid:durableId="1713922312">
    <w:abstractNumId w:val="3"/>
  </w:num>
  <w:num w:numId="22" w16cid:durableId="448470057">
    <w:abstractNumId w:val="8"/>
    <w:lvlOverride w:ilvl="0">
      <w:startOverride w:val="1"/>
    </w:lvlOverride>
  </w:num>
  <w:num w:numId="23" w16cid:durableId="1614824821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9E5"/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259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59E5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val="en-SE"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val="en-SE"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5NUHHDQN7SK2-1476151046-544661</_dlc_DocId>
    <_dlc_DocIdUrl xmlns="f166a696-7b5b-4ccd-9f0c-ffde0cceec81">
      <Url>https://ericsson.sharepoint.com/sites/star/_layouts/15/DocIdRedir.aspx?ID=5NUHHDQN7SK2-1476151046-544661</Url>
      <Description>5NUHHDQN7SK2-1476151046-544661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E8B589-93D5-4EE3-BD9C-ABB9F1B01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2023-08-11T19:09:00Z</dcterms:created>
  <dcterms:modified xsi:type="dcterms:W3CDTF">2023-08-11T19:09:00Z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c7c367cd-0161-4c38-a1eb-9bbfcc14bb93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