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5F9ADC34"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711A44">
        <w:rPr>
          <w:b/>
          <w:bCs/>
          <w:sz w:val="28"/>
        </w:rPr>
        <w:t>4</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F549FC">
        <w:rPr>
          <w:b/>
          <w:bCs/>
          <w:sz w:val="28"/>
        </w:rPr>
        <w:t>30</w:t>
      </w:r>
      <w:r w:rsidR="007721E6">
        <w:rPr>
          <w:b/>
          <w:bCs/>
          <w:sz w:val="28"/>
        </w:rPr>
        <w:t>8084</w:t>
      </w:r>
    </w:p>
    <w:p w14:paraId="468022D7" w14:textId="0FDD794F" w:rsidR="005C41F1" w:rsidRPr="00695123" w:rsidRDefault="00711A44" w:rsidP="00695123">
      <w:pPr>
        <w:spacing w:afterLines="50" w:after="120"/>
        <w:ind w:left="1985" w:hanging="1985"/>
        <w:rPr>
          <w:b/>
          <w:sz w:val="28"/>
          <w:szCs w:val="28"/>
        </w:rPr>
      </w:pPr>
      <w:r>
        <w:rPr>
          <w:rFonts w:eastAsia="MS Mincho"/>
          <w:b/>
          <w:bCs/>
          <w:sz w:val="28"/>
          <w:lang w:eastAsia="ja-JP"/>
        </w:rPr>
        <w:t>Toulouse</w:t>
      </w:r>
      <w:r w:rsidR="00695123" w:rsidRPr="00695123">
        <w:rPr>
          <w:rFonts w:eastAsia="MS Mincho"/>
          <w:b/>
          <w:bCs/>
          <w:sz w:val="28"/>
          <w:lang w:eastAsia="ja-JP"/>
        </w:rPr>
        <w:t xml:space="preserve">, </w:t>
      </w:r>
      <w:r>
        <w:rPr>
          <w:rFonts w:eastAsia="MS Mincho"/>
          <w:b/>
          <w:bCs/>
          <w:sz w:val="28"/>
          <w:lang w:eastAsia="ja-JP"/>
        </w:rPr>
        <w:t>France</w:t>
      </w:r>
      <w:r w:rsidR="009A160C">
        <w:rPr>
          <w:rFonts w:eastAsia="MS Mincho"/>
          <w:b/>
          <w:bCs/>
          <w:sz w:val="28"/>
          <w:lang w:eastAsia="ja-JP"/>
        </w:rPr>
        <w:t xml:space="preserve">, </w:t>
      </w:r>
      <w:r>
        <w:rPr>
          <w:rFonts w:eastAsia="MS Mincho"/>
          <w:b/>
          <w:bCs/>
          <w:sz w:val="28"/>
          <w:lang w:eastAsia="ja-JP"/>
        </w:rPr>
        <w:t>August</w:t>
      </w:r>
      <w:r w:rsidR="00BC757F" w:rsidRPr="007706E9">
        <w:rPr>
          <w:rFonts w:eastAsia="MS Mincho"/>
          <w:b/>
          <w:bCs/>
          <w:sz w:val="28"/>
          <w:lang w:eastAsia="ja-JP"/>
        </w:rPr>
        <w:t xml:space="preserve"> </w:t>
      </w:r>
      <w:r w:rsidR="009A160C">
        <w:rPr>
          <w:rFonts w:eastAsia="MS Mincho"/>
          <w:b/>
          <w:bCs/>
          <w:sz w:val="28"/>
          <w:lang w:eastAsia="ja-JP"/>
        </w:rPr>
        <w:t>2</w:t>
      </w:r>
      <w:r>
        <w:rPr>
          <w:rFonts w:eastAsia="MS Mincho"/>
          <w:b/>
          <w:bCs/>
          <w:sz w:val="28"/>
          <w:lang w:eastAsia="ja-JP"/>
        </w:rPr>
        <w:t>1st</w:t>
      </w:r>
      <w:r w:rsidR="007706E9" w:rsidRPr="007706E9">
        <w:rPr>
          <w:rFonts w:eastAsia="MS Mincho"/>
          <w:b/>
          <w:bCs/>
          <w:sz w:val="28"/>
          <w:lang w:eastAsia="ja-JP"/>
        </w:rPr>
        <w:t xml:space="preserve"> – </w:t>
      </w:r>
      <w:r>
        <w:rPr>
          <w:rFonts w:eastAsia="MS Mincho"/>
          <w:b/>
          <w:bCs/>
          <w:sz w:val="28"/>
          <w:lang w:eastAsia="ja-JP"/>
        </w:rPr>
        <w:t>August</w:t>
      </w:r>
      <w:r w:rsidR="00BC757F">
        <w:rPr>
          <w:rFonts w:eastAsia="MS Mincho"/>
          <w:b/>
          <w:bCs/>
          <w:sz w:val="28"/>
          <w:lang w:eastAsia="ja-JP"/>
        </w:rPr>
        <w:t xml:space="preserve"> </w:t>
      </w:r>
      <w:r w:rsidR="00DF69E2">
        <w:rPr>
          <w:rFonts w:eastAsia="MS Mincho"/>
          <w:b/>
          <w:bCs/>
          <w:sz w:val="28"/>
          <w:lang w:eastAsia="ja-JP"/>
        </w:rPr>
        <w:t>2</w:t>
      </w:r>
      <w:r>
        <w:rPr>
          <w:rFonts w:eastAsia="MS Mincho"/>
          <w:b/>
          <w:bCs/>
          <w:sz w:val="28"/>
          <w:lang w:eastAsia="ja-JP"/>
        </w:rPr>
        <w:t>5</w:t>
      </w:r>
      <w:r w:rsidR="00DF69E2">
        <w:rPr>
          <w:rFonts w:eastAsia="MS Mincho"/>
          <w:b/>
          <w:bCs/>
          <w:sz w:val="28"/>
          <w:lang w:eastAsia="ja-JP"/>
        </w:rPr>
        <w:t>th</w:t>
      </w:r>
      <w:r w:rsidR="007706E9" w:rsidRPr="007706E9">
        <w:rPr>
          <w:rFonts w:eastAsia="MS Mincho"/>
          <w:b/>
          <w:bCs/>
          <w:sz w:val="28"/>
          <w:lang w:eastAsia="ja-JP"/>
        </w:rPr>
        <w:t>, 202</w:t>
      </w:r>
      <w:r w:rsidR="00BC757F">
        <w:rPr>
          <w:rFonts w:eastAsia="MS Mincho"/>
          <w:b/>
          <w:bCs/>
          <w:sz w:val="28"/>
          <w:lang w:eastAsia="ja-JP"/>
        </w:rPr>
        <w:t>3</w:t>
      </w:r>
    </w:p>
    <w:p w14:paraId="301899BC" w14:textId="37A1203D"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C00AF2">
        <w:rPr>
          <w:b/>
          <w:sz w:val="28"/>
          <w:szCs w:val="28"/>
        </w:rPr>
        <w:t>1</w:t>
      </w:r>
      <w:r w:rsidR="00DF69E2">
        <w:rPr>
          <w:b/>
          <w:sz w:val="28"/>
          <w:szCs w:val="28"/>
        </w:rPr>
        <w:t>0</w:t>
      </w:r>
      <w:r w:rsidR="0050043D">
        <w:rPr>
          <w:b/>
          <w:sz w:val="28"/>
          <w:szCs w:val="28"/>
        </w:rPr>
        <w:t>.</w:t>
      </w:r>
      <w:r w:rsidR="00364A69">
        <w:rPr>
          <w:b/>
          <w:sz w:val="28"/>
          <w:szCs w:val="28"/>
        </w:rPr>
        <w:t>1</w:t>
      </w:r>
    </w:p>
    <w:p w14:paraId="3ACE8376" w14:textId="19F3FE5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C00AF2" w:rsidRPr="00C00AF2">
        <w:rPr>
          <w:b/>
          <w:sz w:val="28"/>
          <w:szCs w:val="28"/>
        </w:rPr>
        <w:t>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43023"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Dynamic switch mechanism among candidate serving cells (including </w:t>
            </w:r>
            <w:proofErr w:type="spellStart"/>
            <w:r w:rsidRPr="003916EE">
              <w:rPr>
                <w:rFonts w:eastAsia="SimSun"/>
                <w:bCs/>
                <w:sz w:val="20"/>
                <w:szCs w:val="20"/>
                <w:lang w:val="en-GB"/>
              </w:rPr>
              <w:t>SpCell</w:t>
            </w:r>
            <w:proofErr w:type="spellEnd"/>
            <w:r w:rsidRPr="003916EE">
              <w:rPr>
                <w:rFonts w:eastAsia="SimSun"/>
                <w:bCs/>
                <w:sz w:val="20"/>
                <w:szCs w:val="20"/>
                <w:lang w:val="en-GB"/>
              </w:rPr>
              <w:t xml:space="preserve"> and </w:t>
            </w:r>
            <w:proofErr w:type="spellStart"/>
            <w:r w:rsidRPr="003916EE">
              <w:rPr>
                <w:rFonts w:eastAsia="SimSun"/>
                <w:bCs/>
                <w:sz w:val="20"/>
                <w:szCs w:val="20"/>
                <w:lang w:val="en-GB"/>
              </w:rPr>
              <w:t>SCell</w:t>
            </w:r>
            <w:proofErr w:type="spellEnd"/>
            <w:r w:rsidRPr="003916EE">
              <w:rPr>
                <w:rFonts w:eastAsia="SimSun"/>
                <w:bCs/>
                <w:sz w:val="20"/>
                <w:szCs w:val="20"/>
                <w:lang w:val="en-GB"/>
              </w:rPr>
              <w:t>)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CU-DU interface </w:t>
            </w:r>
            <w:proofErr w:type="spellStart"/>
            <w:r w:rsidRPr="003916EE">
              <w:rPr>
                <w:rFonts w:eastAsia="SimSun"/>
                <w:bCs/>
                <w:sz w:val="20"/>
                <w:szCs w:val="20"/>
                <w:lang w:val="en-GB"/>
              </w:rPr>
              <w:t>signaling</w:t>
            </w:r>
            <w:proofErr w:type="spellEnd"/>
            <w:r w:rsidRPr="003916EE">
              <w:rPr>
                <w:rFonts w:eastAsia="SimSun"/>
                <w:bCs/>
                <w:sz w:val="20"/>
                <w:szCs w:val="20"/>
                <w:lang w:val="en-GB"/>
              </w:rPr>
              <w:t xml:space="preserve">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7E46BCFE" w:rsidR="00C00AF2" w:rsidRPr="0052558F" w:rsidRDefault="00C00AF2" w:rsidP="008640D4">
      <w:pPr>
        <w:rPr>
          <w:szCs w:val="22"/>
        </w:rPr>
      </w:pPr>
      <w:r>
        <w:rPr>
          <w:szCs w:val="22"/>
        </w:rPr>
        <w:t>To facilitate discussion in RAN1</w:t>
      </w:r>
      <w:r w:rsidR="00C36DC2">
        <w:rPr>
          <w:szCs w:val="22"/>
        </w:rPr>
        <w:t xml:space="preserve"> based on RAN2 inputs [</w:t>
      </w:r>
      <w:r w:rsidR="006C187A">
        <w:rPr>
          <w:szCs w:val="22"/>
        </w:rPr>
        <w:t>2</w:t>
      </w:r>
      <w:r w:rsidR="00C36DC2">
        <w:rPr>
          <w:szCs w:val="22"/>
        </w:rPr>
        <w:t>]</w:t>
      </w:r>
      <w:r>
        <w:rPr>
          <w:szCs w:val="22"/>
        </w:rPr>
        <w:t xml:space="preserve">, this contribution </w:t>
      </w:r>
      <w:r w:rsidR="006173EF">
        <w:rPr>
          <w:szCs w:val="22"/>
        </w:rPr>
        <w:t>expresses our view</w:t>
      </w:r>
      <w:r>
        <w:rPr>
          <w:szCs w:val="22"/>
        </w:rPr>
        <w:t xml:space="preserve"> on L1 measurement</w:t>
      </w:r>
      <w:r w:rsidR="00C36DC2">
        <w:rPr>
          <w:szCs w:val="22"/>
        </w:rPr>
        <w:t xml:space="preserve"> enhancements</w:t>
      </w:r>
      <w:r w:rsidR="00190C77">
        <w:rPr>
          <w:szCs w:val="22"/>
        </w:rPr>
        <w:t>,</w:t>
      </w:r>
      <w:r w:rsidR="00C36DC2">
        <w:rPr>
          <w:szCs w:val="22"/>
        </w:rPr>
        <w:t xml:space="preserve"> TCI framework</w:t>
      </w:r>
      <w:r w:rsidR="00190C77">
        <w:rPr>
          <w:szCs w:val="22"/>
        </w:rPr>
        <w:t>, and beam indication</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943023"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24045939" w:rsidR="000D5DFA" w:rsidRDefault="00A83B05"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RAN2-centric discussion</w:t>
      </w:r>
    </w:p>
    <w:p w14:paraId="50F46A8A" w14:textId="04EAE8DD" w:rsidR="005D66E6" w:rsidRPr="007721E6" w:rsidRDefault="00A83B05" w:rsidP="00E239E3">
      <w:pPr>
        <w:rPr>
          <w:u w:val="single"/>
        </w:rPr>
      </w:pPr>
      <w:r w:rsidRPr="007721E6">
        <w:rPr>
          <w:u w:val="single"/>
        </w:rPr>
        <w:t>TCI state configuration</w:t>
      </w:r>
    </w:p>
    <w:p w14:paraId="0B2A5F9E" w14:textId="775E6681" w:rsidR="00C57D84" w:rsidRDefault="00A83B05" w:rsidP="00E239E3">
      <w:r>
        <w:t>Rel-18 LTM L1 measurement configuration is agreed to be designed by RAN2 based on RAN1 input on essential information. One similar discussion is</w:t>
      </w:r>
      <w:r w:rsidR="002F0F16">
        <w:t xml:space="preserve"> the </w:t>
      </w:r>
      <w:r w:rsidR="00FC0BC4">
        <w:t xml:space="preserve">configuration </w:t>
      </w:r>
      <w:r>
        <w:t xml:space="preserve">design </w:t>
      </w:r>
      <w:r w:rsidR="004D662F">
        <w:t>of TCI state list(s).</w:t>
      </w:r>
      <w:r w:rsidR="00FC0BC4">
        <w:t xml:space="preserve"> In current specification, configuration of TCI state list(s) can be included in the configuration of each BWP of a cell. In Rel-17 ICBM, the configured TCI state list(s) can include TCI states which are associated with SSBs from </w:t>
      </w:r>
      <w:r w:rsidR="00CA3FE6">
        <w:t>‘additional’</w:t>
      </w:r>
      <w:r w:rsidR="00FC0BC4">
        <w:t xml:space="preserve"> cells and </w:t>
      </w:r>
      <w:r w:rsidR="00CA3FE6">
        <w:t>a similar</w:t>
      </w:r>
      <w:r w:rsidR="00FC0BC4">
        <w:t xml:space="preserve"> mechanism should also be considered for Rel-18 LTM feature. </w:t>
      </w:r>
      <w:r w:rsidR="00ED573F">
        <w:t>On top of that, it seems possible to share the</w:t>
      </w:r>
      <w:r w:rsidR="00FC0BC4">
        <w:t xml:space="preserve"> </w:t>
      </w:r>
      <w:r w:rsidR="00ED573F">
        <w:t>TCI states associated with SSBs from neighbor/candidate cells among the cells con</w:t>
      </w:r>
      <w:r w:rsidR="00741157">
        <w:t>figured</w:t>
      </w:r>
      <w:r w:rsidR="00ED573F">
        <w:t xml:space="preserve"> for Rel-18 LTM such that UE doesn’t need to update the whole TCI state </w:t>
      </w:r>
      <w:r w:rsidR="00ED573F">
        <w:lastRenderedPageBreak/>
        <w:t>list(s) in each BWP configuration when perform</w:t>
      </w:r>
      <w:r w:rsidR="005E346B">
        <w:t>ing</w:t>
      </w:r>
      <w:r w:rsidR="00ED573F">
        <w:t xml:space="preserve"> L1/L2 cell switching procedure. </w:t>
      </w:r>
      <w:r w:rsidR="00C57D84">
        <w:t>In fact, RAN2 has made following agreement:</w:t>
      </w:r>
    </w:p>
    <w:tbl>
      <w:tblPr>
        <w:tblStyle w:val="TableGrid"/>
        <w:tblW w:w="0" w:type="auto"/>
        <w:tblLook w:val="04A0" w:firstRow="1" w:lastRow="0" w:firstColumn="1" w:lastColumn="0" w:noHBand="0" w:noVBand="1"/>
      </w:tblPr>
      <w:tblGrid>
        <w:gridCol w:w="10188"/>
      </w:tblGrid>
      <w:tr w:rsidR="00C57D84" w14:paraId="6721A8EC" w14:textId="77777777" w:rsidTr="00C57D84">
        <w:tc>
          <w:tcPr>
            <w:tcW w:w="10188" w:type="dxa"/>
          </w:tcPr>
          <w:p w14:paraId="250D23B1" w14:textId="77777777" w:rsidR="00C57D84" w:rsidRDefault="00C57D84" w:rsidP="00C57D84">
            <w:pPr>
              <w:spacing w:before="60"/>
              <w:rPr>
                <w:rFonts w:ascii="Arial" w:eastAsia="MS Mincho" w:hAnsi="Arial"/>
                <w:b/>
                <w:sz w:val="20"/>
                <w:lang w:val="en-GB" w:eastAsia="en-GB"/>
              </w:rPr>
            </w:pPr>
            <w:r>
              <w:rPr>
                <w:rFonts w:ascii="Arial" w:eastAsia="MS Mincho" w:hAnsi="Arial"/>
                <w:b/>
                <w:sz w:val="20"/>
                <w:lang w:val="en-GB" w:eastAsia="en-GB"/>
              </w:rPr>
              <w:t xml:space="preserve">Initial agreements, from RAN2 point of view (may be dep on RAN1 progress). </w:t>
            </w:r>
          </w:p>
          <w:p w14:paraId="041EF161" w14:textId="77777777" w:rsidR="00C57D84" w:rsidRDefault="00C57D84" w:rsidP="00C57D84">
            <w:pPr>
              <w:pStyle w:val="Agreement"/>
              <w:numPr>
                <w:ilvl w:val="0"/>
                <w:numId w:val="18"/>
              </w:numPr>
              <w:spacing w:after="180"/>
            </w:pPr>
            <w:r>
              <w:t xml:space="preserve">The location of </w:t>
            </w:r>
            <w:r w:rsidRPr="00E02AA1">
              <w:t>RS configuration</w:t>
            </w:r>
            <w:r>
              <w:t xml:space="preserve">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321ED2EE" w14:textId="77777777" w:rsidR="00C57D84" w:rsidRDefault="00C57D84" w:rsidP="00C57D84">
            <w:pPr>
              <w:pStyle w:val="Agreement"/>
              <w:numPr>
                <w:ilvl w:val="0"/>
                <w:numId w:val="18"/>
              </w:numPr>
              <w:spacing w:after="180"/>
            </w:pPr>
            <w:r>
              <w:t xml:space="preserve">RAN2 assumes that the location of configurations of </w:t>
            </w:r>
            <w:r w:rsidRPr="00E02AA1">
              <w:t>TCI states</w:t>
            </w:r>
            <w:r>
              <w:t xml:space="preserve">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638ED33E" w14:textId="77777777" w:rsidR="00C57D84" w:rsidRDefault="00C57D84" w:rsidP="00C57D84">
            <w:pPr>
              <w:pStyle w:val="Agreement"/>
              <w:numPr>
                <w:ilvl w:val="0"/>
                <w:numId w:val="18"/>
              </w:numPr>
              <w:spacing w:after="180"/>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79665D99" w14:textId="49DDAD1D" w:rsidR="00C57D84" w:rsidRDefault="00C57D84" w:rsidP="00C57D84">
            <w:r>
              <w:rPr>
                <w:rFonts w:ascii="Arial" w:eastAsia="MS Mincho" w:hAnsi="Arial"/>
                <w:i/>
                <w:iCs/>
                <w:sz w:val="20"/>
                <w:lang w:val="en-GB" w:eastAsia="en-GB"/>
              </w:rPr>
              <w:t xml:space="preserve">Chair: the agreements above may need to be further evaluated, </w:t>
            </w:r>
            <w:proofErr w:type="gramStart"/>
            <w:r>
              <w:rPr>
                <w:rFonts w:ascii="Arial" w:eastAsia="MS Mincho" w:hAnsi="Arial"/>
                <w:i/>
                <w:iCs/>
                <w:sz w:val="20"/>
                <w:lang w:val="en-GB" w:eastAsia="en-GB"/>
              </w:rPr>
              <w:t>e.g.</w:t>
            </w:r>
            <w:proofErr w:type="gramEnd"/>
            <w:r>
              <w:rPr>
                <w:rFonts w:ascii="Arial" w:eastAsia="MS Mincho" w:hAnsi="Arial"/>
                <w:i/>
                <w:iCs/>
                <w:sz w:val="20"/>
                <w:lang w:val="en-GB" w:eastAsia="en-GB"/>
              </w:rPr>
              <w:t xml:space="preserve"> </w:t>
            </w:r>
            <w:proofErr w:type="spellStart"/>
            <w:r>
              <w:rPr>
                <w:rFonts w:ascii="Arial" w:eastAsia="MS Mincho" w:hAnsi="Arial"/>
                <w:i/>
                <w:iCs/>
                <w:sz w:val="20"/>
                <w:lang w:val="en-GB" w:eastAsia="en-GB"/>
              </w:rPr>
              <w:t>wrt</w:t>
            </w:r>
            <w:proofErr w:type="spellEnd"/>
            <w:r>
              <w:rPr>
                <w:rFonts w:ascii="Arial" w:eastAsia="MS Mincho" w:hAnsi="Arial"/>
                <w:i/>
                <w:iCs/>
                <w:sz w:val="20"/>
                <w:lang w:val="en-GB" w:eastAsia="en-GB"/>
              </w:rPr>
              <w:t xml:space="preserve"> subsequent LTM switches. </w:t>
            </w:r>
          </w:p>
        </w:tc>
      </w:tr>
    </w:tbl>
    <w:p w14:paraId="524B3658" w14:textId="77777777" w:rsidR="00C57D84" w:rsidRDefault="00C57D84" w:rsidP="00E239E3"/>
    <w:p w14:paraId="02AF76D8" w14:textId="4F1A452B" w:rsidR="001E1209" w:rsidRDefault="00352189" w:rsidP="00E239E3">
      <w:r>
        <w:t xml:space="preserve">In addition, RAN2 has begun the discussion of RRC signaling design </w:t>
      </w:r>
      <w:r w:rsidR="00CB5072">
        <w:t>where</w:t>
      </w:r>
      <w:r>
        <w:t xml:space="preserve"> TCI state list of candidate cell discussion is included. </w:t>
      </w:r>
      <w:r w:rsidR="00C57D84">
        <w:t>Therefore</w:t>
      </w:r>
      <w:r w:rsidR="004819C0">
        <w:t xml:space="preserve">, the TCI state configuration of candidate cell might follow the same design principle as L1 measurement configuration and a joint discussion in RAN2 can be more efficient.  </w:t>
      </w:r>
    </w:p>
    <w:p w14:paraId="4C098106" w14:textId="762EBAD0" w:rsidR="001E1209" w:rsidRDefault="001E1209" w:rsidP="00E239E3"/>
    <w:p w14:paraId="3935D3DA" w14:textId="2DD81B22" w:rsidR="00ED573F" w:rsidRDefault="00ED573F" w:rsidP="00E02AA1">
      <w:pPr>
        <w:pStyle w:val="Caption"/>
        <w:rPr>
          <w:b w:val="0"/>
          <w:bCs w:val="0"/>
        </w:rPr>
      </w:pPr>
      <w:bookmarkStart w:id="2" w:name="_Ref134795818"/>
      <w:bookmarkStart w:id="3" w:name="_Ref127308601"/>
      <w:r>
        <w:t xml:space="preserve">Proposal </w:t>
      </w:r>
      <w:r w:rsidR="009E6665">
        <w:fldChar w:fldCharType="begin"/>
      </w:r>
      <w:r w:rsidR="009E6665">
        <w:instrText xml:space="preserve"> SEQ Proposal \* ARABIC </w:instrText>
      </w:r>
      <w:r w:rsidR="009E6665">
        <w:fldChar w:fldCharType="separate"/>
      </w:r>
      <w:r w:rsidR="00982AEA">
        <w:rPr>
          <w:noProof/>
        </w:rPr>
        <w:t>1</w:t>
      </w:r>
      <w:r w:rsidR="009E6665">
        <w:rPr>
          <w:noProof/>
        </w:rPr>
        <w:fldChar w:fldCharType="end"/>
      </w:r>
      <w:r>
        <w:t>:</w:t>
      </w:r>
      <w:r w:rsidRPr="00DF74F3">
        <w:t xml:space="preserve"> </w:t>
      </w:r>
      <w:r>
        <w:t xml:space="preserve">For Rel-18 L1/L2 mobility, </w:t>
      </w:r>
      <w:r w:rsidR="00A535B2">
        <w:t>t</w:t>
      </w:r>
      <w:r w:rsidR="00A535B2" w:rsidRPr="00A535B2">
        <w:t xml:space="preserve">he detailed design of RRC structure </w:t>
      </w:r>
      <w:r w:rsidR="00A535B2">
        <w:t xml:space="preserve">for TCI state </w:t>
      </w:r>
      <w:r w:rsidR="00A535B2" w:rsidRPr="00A535B2">
        <w:t>is up to RAN2</w:t>
      </w:r>
      <w:r w:rsidR="00C57D84">
        <w:t>.</w:t>
      </w:r>
      <w:bookmarkEnd w:id="2"/>
      <w:r w:rsidR="00A535B2">
        <w:t xml:space="preserve"> </w:t>
      </w:r>
      <w:bookmarkEnd w:id="3"/>
    </w:p>
    <w:p w14:paraId="731ED807" w14:textId="77777777" w:rsidR="00A535B2" w:rsidRPr="00176B86" w:rsidRDefault="00A535B2" w:rsidP="00995418">
      <w:pPr>
        <w:pStyle w:val="ListParagraph"/>
        <w:rPr>
          <w:b/>
          <w:bCs/>
        </w:rPr>
      </w:pPr>
    </w:p>
    <w:p w14:paraId="1AA3D773" w14:textId="0F9DEC45" w:rsidR="007E3446" w:rsidRDefault="007E3446" w:rsidP="00926617">
      <w:pPr>
        <w:pStyle w:val="ListParagraph"/>
        <w:numPr>
          <w:ilvl w:val="0"/>
          <w:numId w:val="5"/>
        </w:numPr>
        <w:spacing w:beforeLines="50" w:before="120" w:afterLines="50" w:after="120"/>
        <w:contextualSpacing w:val="0"/>
        <w:outlineLvl w:val="0"/>
        <w:rPr>
          <w:b/>
          <w:sz w:val="28"/>
        </w:rPr>
      </w:pPr>
      <w:r w:rsidRPr="007E3446">
        <w:rPr>
          <w:b/>
          <w:sz w:val="28"/>
        </w:rPr>
        <w:t>RAN1-centric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0E424C92" w14:textId="515F401B" w:rsidR="00D640A0" w:rsidRDefault="00D640A0" w:rsidP="00926617"/>
    <w:p w14:paraId="692CE241" w14:textId="22695310" w:rsidR="00B60771" w:rsidRDefault="00CB5072" w:rsidP="00926617">
      <w:r>
        <w:t>S</w:t>
      </w:r>
      <w:r w:rsidR="008F2FB7">
        <w:t xml:space="preserve">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t xml:space="preserve">and L3-SINR might draw a more complete picture of interference. </w:t>
      </w:r>
      <w:r w:rsidR="00B60771">
        <w:t>Without further justification, we suggest not to introduce L1-SINR as reporting quantity for L1 measurement.</w:t>
      </w:r>
    </w:p>
    <w:p w14:paraId="2560D7F3" w14:textId="77777777" w:rsidR="00B60771" w:rsidRDefault="00B60771" w:rsidP="00926617"/>
    <w:p w14:paraId="3915293B" w14:textId="509B3401" w:rsidR="00B60771" w:rsidRDefault="008F2FB7" w:rsidP="00B60771">
      <w:pPr>
        <w:pStyle w:val="Caption"/>
      </w:pPr>
      <w:r>
        <w:t xml:space="preserve"> </w:t>
      </w:r>
      <w:bookmarkStart w:id="4" w:name="_Ref127308614"/>
      <w:r w:rsidR="00B60771">
        <w:t xml:space="preserve">Proposal </w:t>
      </w:r>
      <w:r w:rsidR="009E6665">
        <w:fldChar w:fldCharType="begin"/>
      </w:r>
      <w:r w:rsidR="009E6665">
        <w:instrText xml:space="preserve"> SEQ Proposal \* ARABIC </w:instrText>
      </w:r>
      <w:r w:rsidR="009E6665">
        <w:fldChar w:fldCharType="separate"/>
      </w:r>
      <w:r w:rsidR="00982AEA">
        <w:rPr>
          <w:noProof/>
        </w:rPr>
        <w:t>2</w:t>
      </w:r>
      <w:r w:rsidR="009E6665">
        <w:rPr>
          <w:noProof/>
        </w:rPr>
        <w:fldChar w:fldCharType="end"/>
      </w:r>
      <w:r w:rsidR="00B60771">
        <w:t>:</w:t>
      </w:r>
      <w:r w:rsidR="00B60771" w:rsidRPr="00DF74F3">
        <w:t xml:space="preserve"> </w:t>
      </w:r>
      <w:r w:rsidR="00B60771">
        <w:t>For Rel-18 L1/L2 mobility, L1-SINR is not supported for intra and inter-frequency candidate cell measurement.</w:t>
      </w:r>
      <w:bookmarkEnd w:id="4"/>
    </w:p>
    <w:p w14:paraId="4E2B2AF8" w14:textId="5ADA7641" w:rsidR="008F2FB7" w:rsidRDefault="008F2FB7" w:rsidP="00926617"/>
    <w:p w14:paraId="784193B4" w14:textId="77777777" w:rsidR="00581AB4" w:rsidRDefault="00581AB4" w:rsidP="00581AB4">
      <w:r>
        <w:t>One issue mentioned in RAN2 LS [2] is the need of the filtering design for the potential ping-pong effect occurs under the dynamic cell switching procedure. However, in the same LS, RAN2 also agreed to support sequential cell switching in Rel-18 mobility enhancements. Based on the information, the ping-pong effect seems to be a minor issue from Rel-18 mobility enhancement point of view and further optimization on the L1 measurement filtering might hinder the dynamic cell switching procedure. Furthermore, how to process the L1 measurement results is up to network implementation, and network can apply further L1 measurement filtering before sending the cell switching command to address the ping-pong effect.</w:t>
      </w:r>
    </w:p>
    <w:p w14:paraId="06CC4CF7" w14:textId="77777777" w:rsidR="00581AB4" w:rsidRDefault="00581AB4" w:rsidP="00581AB4"/>
    <w:p w14:paraId="66B15AD9" w14:textId="71130C95" w:rsidR="00581AB4" w:rsidRDefault="00581AB4" w:rsidP="00581AB4">
      <w:pPr>
        <w:pStyle w:val="Caption"/>
      </w:pPr>
      <w:bookmarkStart w:id="5" w:name="_Ref127308619"/>
      <w:r>
        <w:t xml:space="preserve">Proposal </w:t>
      </w:r>
      <w:r w:rsidR="009E6665">
        <w:fldChar w:fldCharType="begin"/>
      </w:r>
      <w:r w:rsidR="009E6665">
        <w:instrText xml:space="preserve"> SEQ Proposal \* ARABIC </w:instrText>
      </w:r>
      <w:r w:rsidR="009E6665">
        <w:fldChar w:fldCharType="separate"/>
      </w:r>
      <w:r w:rsidR="00982AEA">
        <w:rPr>
          <w:noProof/>
        </w:rPr>
        <w:t>3</w:t>
      </w:r>
      <w:r w:rsidR="009E6665">
        <w:rPr>
          <w:noProof/>
        </w:rPr>
        <w:fldChar w:fldCharType="end"/>
      </w:r>
      <w:r>
        <w:t>:</w:t>
      </w:r>
      <w:r w:rsidRPr="00DF74F3">
        <w:t xml:space="preserve"> </w:t>
      </w:r>
      <w:r>
        <w:t xml:space="preserve">For Rel-18 L1/L2 mobility, </w:t>
      </w:r>
      <w:r w:rsidRPr="003157E5">
        <w:t>UE</w:t>
      </w:r>
      <w:r>
        <w:t>-</w:t>
      </w:r>
      <w:r w:rsidRPr="003157E5">
        <w:t>based filtering to L1 measurement results</w:t>
      </w:r>
      <w:r>
        <w:t xml:space="preserve"> is not supported.</w:t>
      </w:r>
      <w:bookmarkEnd w:id="5"/>
    </w:p>
    <w:p w14:paraId="09F788A3" w14:textId="4F4B3F47" w:rsidR="00581AB4" w:rsidRDefault="00581AB4" w:rsidP="00926617"/>
    <w:p w14:paraId="66A64EC7" w14:textId="0C9D74DD" w:rsidR="00CD6DD8" w:rsidRDefault="00CD6DD8" w:rsidP="00CD6DD8">
      <w:pPr>
        <w:rPr>
          <w:u w:val="single"/>
        </w:rPr>
      </w:pPr>
      <w:r>
        <w:rPr>
          <w:u w:val="single"/>
        </w:rPr>
        <w:t>L1</w:t>
      </w:r>
      <w:r w:rsidRPr="00561DA8">
        <w:rPr>
          <w:u w:val="single"/>
        </w:rPr>
        <w:t xml:space="preserve"> </w:t>
      </w:r>
      <w:r>
        <w:rPr>
          <w:u w:val="single"/>
        </w:rPr>
        <w:t xml:space="preserve">measurement reporting </w:t>
      </w:r>
      <w:r w:rsidRPr="00561DA8">
        <w:rPr>
          <w:u w:val="single"/>
        </w:rPr>
        <w:t>enhancement</w:t>
      </w:r>
    </w:p>
    <w:p w14:paraId="14C77251" w14:textId="0F990619" w:rsidR="00CD6DD8" w:rsidRDefault="00CD6DD8" w:rsidP="00926617"/>
    <w:p w14:paraId="7C8BAF51" w14:textId="114B6970" w:rsidR="00CD6DD8" w:rsidRDefault="00CD6DD8" w:rsidP="00926617">
      <w:r>
        <w:t xml:space="preserve">In RAN1 #112bis-e meeting, the following agreement regarding beam selection in a measurement report is achieved, where the number of cells and beams to be reported is configured to UE and </w:t>
      </w:r>
      <w:r w:rsidR="00B1156A">
        <w:t xml:space="preserve">the maximums of cells and beams are </w:t>
      </w:r>
      <w:r>
        <w:t>subject to UE capability.</w:t>
      </w:r>
    </w:p>
    <w:p w14:paraId="0F27E078" w14:textId="77777777" w:rsidR="00CD6DD8" w:rsidRDefault="00CD6DD8" w:rsidP="00926617"/>
    <w:tbl>
      <w:tblPr>
        <w:tblStyle w:val="TableGrid"/>
        <w:tblW w:w="0" w:type="auto"/>
        <w:tblLook w:val="04A0" w:firstRow="1" w:lastRow="0" w:firstColumn="1" w:lastColumn="0" w:noHBand="0" w:noVBand="1"/>
      </w:tblPr>
      <w:tblGrid>
        <w:gridCol w:w="10188"/>
      </w:tblGrid>
      <w:tr w:rsidR="00CD6DD8" w14:paraId="586B26DD" w14:textId="77777777" w:rsidTr="00CD6DD8">
        <w:tc>
          <w:tcPr>
            <w:tcW w:w="10188" w:type="dxa"/>
          </w:tcPr>
          <w:p w14:paraId="238AC141" w14:textId="77777777" w:rsidR="00CD6DD8" w:rsidRDefault="00CD6DD8" w:rsidP="00CD6DD8">
            <w:pPr>
              <w:rPr>
                <w:rFonts w:eastAsia="DengXian"/>
                <w:sz w:val="20"/>
                <w:highlight w:val="green"/>
              </w:rPr>
            </w:pPr>
            <w:r>
              <w:rPr>
                <w:rFonts w:eastAsia="DengXian"/>
                <w:highlight w:val="green"/>
              </w:rPr>
              <w:t>Agreement</w:t>
            </w:r>
          </w:p>
          <w:p w14:paraId="1D24AED6" w14:textId="77777777" w:rsidR="00CD6DD8" w:rsidRDefault="00CD6DD8" w:rsidP="00CD6DD8">
            <w:pPr>
              <w:rPr>
                <w:rFonts w:ascii="Calibri" w:eastAsia="SimSun" w:hAnsi="Calibri"/>
                <w:lang w:eastAsia="en-US"/>
              </w:rPr>
            </w:pPr>
            <w:r>
              <w:t>For the beam selection for SSB based L1-RSRP measurement report,</w:t>
            </w:r>
          </w:p>
          <w:p w14:paraId="23540184" w14:textId="77777777" w:rsidR="00CD6DD8" w:rsidRDefault="00CD6DD8" w:rsidP="00CD6DD8">
            <w:pPr>
              <w:pStyle w:val="ListParagraph"/>
              <w:numPr>
                <w:ilvl w:val="0"/>
                <w:numId w:val="20"/>
              </w:numPr>
              <w:snapToGrid w:val="0"/>
              <w:contextualSpacing w:val="0"/>
              <w:jc w:val="both"/>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68CADA26" w14:textId="77777777" w:rsidR="00CD6DD8" w:rsidRDefault="00CD6DD8" w:rsidP="00CD6DD8">
            <w:pPr>
              <w:pStyle w:val="ListParagraph"/>
              <w:numPr>
                <w:ilvl w:val="1"/>
                <w:numId w:val="20"/>
              </w:numPr>
              <w:snapToGrid w:val="0"/>
              <w:contextualSpacing w:val="0"/>
              <w:jc w:val="both"/>
              <w:rPr>
                <w:rFonts w:ascii="Yu Gothic" w:hAnsi="Yu Gothic"/>
              </w:rPr>
            </w:pPr>
            <w:r>
              <w:t>FFS: How to select the L cells and M beams per cells is up to UE</w:t>
            </w:r>
          </w:p>
          <w:p w14:paraId="491FE2A8" w14:textId="77777777" w:rsidR="00CD6DD8" w:rsidRDefault="00CD6DD8" w:rsidP="00CD6DD8">
            <w:pPr>
              <w:pStyle w:val="ListParagraph"/>
              <w:numPr>
                <w:ilvl w:val="0"/>
                <w:numId w:val="20"/>
              </w:numPr>
              <w:snapToGrid w:val="0"/>
              <w:contextualSpacing w:val="0"/>
              <w:jc w:val="both"/>
              <w:rPr>
                <w:rFonts w:ascii="Times" w:hAnsi="Times"/>
              </w:rPr>
            </w:pPr>
            <w:r>
              <w:t>M x L beams are reported in a single report instance</w:t>
            </w:r>
          </w:p>
          <w:p w14:paraId="674734B9" w14:textId="77777777" w:rsidR="00CD6DD8" w:rsidRDefault="00CD6DD8" w:rsidP="00CD6DD8">
            <w:pPr>
              <w:pStyle w:val="ListParagraph"/>
              <w:numPr>
                <w:ilvl w:val="1"/>
                <w:numId w:val="20"/>
              </w:numPr>
              <w:snapToGrid w:val="0"/>
              <w:contextualSpacing w:val="0"/>
              <w:jc w:val="both"/>
              <w:rPr>
                <w:i/>
                <w:iCs/>
              </w:rPr>
            </w:pPr>
            <w:r>
              <w:t xml:space="preserve">Max values of M and L are based on UE capability, and at least M x L=4 is supported as a UE capability, other UE capabilities are FFS </w:t>
            </w:r>
          </w:p>
          <w:p w14:paraId="31BE9A6A" w14:textId="77777777" w:rsidR="00CD6DD8" w:rsidRDefault="00CD6DD8" w:rsidP="00CD6DD8">
            <w:pPr>
              <w:pStyle w:val="ListParagraph"/>
              <w:numPr>
                <w:ilvl w:val="2"/>
                <w:numId w:val="20"/>
              </w:numPr>
              <w:snapToGrid w:val="0"/>
              <w:contextualSpacing w:val="0"/>
              <w:jc w:val="both"/>
            </w:pPr>
            <w:r>
              <w:t xml:space="preserve">FFS if UE </w:t>
            </w:r>
            <w:proofErr w:type="gramStart"/>
            <w:r>
              <w:t>is allowed to</w:t>
            </w:r>
            <w:proofErr w:type="gramEnd"/>
            <w:r>
              <w:t xml:space="preserve"> report less than M x L beams </w:t>
            </w:r>
          </w:p>
          <w:p w14:paraId="78369BFC" w14:textId="77777777" w:rsidR="00CD6DD8" w:rsidRDefault="00CD6DD8" w:rsidP="00CD6DD8">
            <w:pPr>
              <w:pStyle w:val="ListParagraph"/>
              <w:numPr>
                <w:ilvl w:val="1"/>
                <w:numId w:val="20"/>
              </w:numPr>
              <w:snapToGrid w:val="0"/>
              <w:contextualSpacing w:val="0"/>
              <w:jc w:val="both"/>
            </w:pPr>
            <w:r>
              <w:t xml:space="preserve">The values of M and L are configured to the UE in the reporting configuration </w:t>
            </w:r>
          </w:p>
          <w:p w14:paraId="620B1DB0" w14:textId="77777777" w:rsidR="00CD6DD8" w:rsidRDefault="00CD6DD8" w:rsidP="00CD6DD8">
            <w:pPr>
              <w:pStyle w:val="ListParagraph"/>
              <w:numPr>
                <w:ilvl w:val="0"/>
                <w:numId w:val="20"/>
              </w:numPr>
              <w:snapToGrid w:val="0"/>
              <w:contextualSpacing w:val="0"/>
              <w:jc w:val="both"/>
              <w:rPr>
                <w:sz w:val="21"/>
                <w:szCs w:val="21"/>
              </w:rPr>
            </w:pPr>
            <w:r>
              <w:t>FFS: The following configurability is introduced in the report configuration</w:t>
            </w:r>
          </w:p>
          <w:p w14:paraId="5F7ECE9D" w14:textId="77777777" w:rsidR="00CD6DD8" w:rsidRDefault="00CD6DD8" w:rsidP="00CD6DD8">
            <w:pPr>
              <w:pStyle w:val="ListParagraph"/>
              <w:numPr>
                <w:ilvl w:val="1"/>
                <w:numId w:val="20"/>
              </w:numPr>
              <w:snapToGrid w:val="0"/>
              <w:contextualSpacing w:val="0"/>
              <w:jc w:val="both"/>
              <w:rPr>
                <w:sz w:val="20"/>
              </w:rPr>
            </w:pPr>
            <w:r>
              <w:t>1) Whether serving cell is always selected in the L cell selection performed by the UE, and applicable when a UE is configured with L&gt;=2</w:t>
            </w:r>
          </w:p>
          <w:p w14:paraId="1EC94989" w14:textId="77777777" w:rsidR="00CD6DD8" w:rsidRDefault="00CD6DD8" w:rsidP="00CD6DD8">
            <w:pPr>
              <w:pStyle w:val="ListParagraph"/>
              <w:numPr>
                <w:ilvl w:val="1"/>
                <w:numId w:val="20"/>
              </w:numPr>
              <w:snapToGrid w:val="0"/>
              <w:contextualSpacing w:val="0"/>
              <w:jc w:val="both"/>
              <w:rPr>
                <w:lang w:eastAsia="en-US"/>
              </w:rPr>
            </w:pPr>
            <w:r>
              <w:t xml:space="preserve">2) at least one of the inter-frequency cells is always selected in the L cell selection performed by the UE, and applicable when a UE is configured with L&gt;=2 and at least one cell in inter-frequency </w:t>
            </w:r>
          </w:p>
          <w:p w14:paraId="06ED4B37" w14:textId="77777777" w:rsidR="00CD6DD8" w:rsidRDefault="00CD6DD8" w:rsidP="00926617"/>
        </w:tc>
      </w:tr>
    </w:tbl>
    <w:p w14:paraId="446278CE" w14:textId="25B15CD4" w:rsidR="00CD6DD8" w:rsidRDefault="00CD6DD8" w:rsidP="00926617"/>
    <w:p w14:paraId="20430204" w14:textId="7AC9D59B" w:rsidR="00CD6DD8" w:rsidRDefault="00273551" w:rsidP="00926617">
      <w:r>
        <w:t xml:space="preserve">  </w:t>
      </w:r>
      <w:r w:rsidR="00E16AE3">
        <w:t xml:space="preserve"> </w:t>
      </w:r>
    </w:p>
    <w:p w14:paraId="7820B5EC" w14:textId="498BCFD6" w:rsidR="00273551" w:rsidRDefault="00000FDA" w:rsidP="00926617">
      <w:r>
        <w:t>In RAN1 #113 meeting, the following working assumption was made regarding the candidate values of number of cells and beams included in a report instance.</w:t>
      </w:r>
    </w:p>
    <w:tbl>
      <w:tblPr>
        <w:tblStyle w:val="TableGrid"/>
        <w:tblW w:w="0" w:type="auto"/>
        <w:tblLook w:val="04A0" w:firstRow="1" w:lastRow="0" w:firstColumn="1" w:lastColumn="0" w:noHBand="0" w:noVBand="1"/>
      </w:tblPr>
      <w:tblGrid>
        <w:gridCol w:w="10188"/>
      </w:tblGrid>
      <w:tr w:rsidR="00000FDA" w14:paraId="55FB3895" w14:textId="77777777" w:rsidTr="00000FDA">
        <w:tc>
          <w:tcPr>
            <w:tcW w:w="10188" w:type="dxa"/>
          </w:tcPr>
          <w:p w14:paraId="05A3BCB9" w14:textId="77777777" w:rsidR="00000FDA" w:rsidRDefault="00000FDA" w:rsidP="00000FDA">
            <w:pPr>
              <w:rPr>
                <w:rFonts w:eastAsia="DengXian"/>
                <w:highlight w:val="darkYellow"/>
              </w:rPr>
            </w:pPr>
            <w:r>
              <w:rPr>
                <w:rFonts w:eastAsia="DengXian"/>
                <w:highlight w:val="darkYellow"/>
              </w:rPr>
              <w:t>Working Assumption</w:t>
            </w:r>
          </w:p>
          <w:p w14:paraId="758BAC8B" w14:textId="77777777" w:rsidR="00000FDA" w:rsidRPr="00C841D1" w:rsidRDefault="00000FDA" w:rsidP="00000FDA">
            <w:pPr>
              <w:pStyle w:val="ListParagraph"/>
              <w:numPr>
                <w:ilvl w:val="0"/>
                <w:numId w:val="20"/>
              </w:numPr>
              <w:tabs>
                <w:tab w:val="left" w:pos="-360"/>
              </w:tabs>
              <w:snapToGrid w:val="0"/>
              <w:spacing w:after="100" w:afterAutospacing="1"/>
              <w:contextualSpacing w:val="0"/>
              <w:jc w:val="both"/>
              <w:rPr>
                <w:rFonts w:ascii="Calibri" w:eastAsia="SimSun" w:hAnsi="Calibri"/>
              </w:rPr>
            </w:pPr>
            <w:r w:rsidRPr="00742ED3">
              <w:t>For the beam selection for SSB based L1-RSRP measurement report,</w:t>
            </w:r>
          </w:p>
          <w:p w14:paraId="0A673833" w14:textId="77777777" w:rsidR="00000FDA" w:rsidRPr="00742ED3" w:rsidRDefault="00000FDA" w:rsidP="00000FDA">
            <w:pPr>
              <w:pStyle w:val="ListParagraph"/>
              <w:numPr>
                <w:ilvl w:val="1"/>
                <w:numId w:val="20"/>
              </w:numPr>
              <w:tabs>
                <w:tab w:val="left" w:pos="360"/>
                <w:tab w:val="left" w:pos="720"/>
              </w:tabs>
              <w:snapToGrid w:val="0"/>
              <w:spacing w:after="100" w:afterAutospacing="1"/>
              <w:contextualSpacing w:val="0"/>
              <w:jc w:val="both"/>
            </w:pPr>
            <w:r w:rsidRPr="00742ED3">
              <w:t xml:space="preserve">For the value of M, L </w:t>
            </w:r>
          </w:p>
          <w:p w14:paraId="34E3BEFD" w14:textId="77777777" w:rsidR="00000FDA" w:rsidRPr="00742ED3" w:rsidRDefault="00000FDA" w:rsidP="00000FDA">
            <w:pPr>
              <w:pStyle w:val="ListParagraph"/>
              <w:numPr>
                <w:ilvl w:val="2"/>
                <w:numId w:val="20"/>
              </w:numPr>
              <w:tabs>
                <w:tab w:val="left" w:pos="720"/>
                <w:tab w:val="left" w:pos="1080"/>
              </w:tabs>
              <w:snapToGrid w:val="0"/>
              <w:spacing w:after="100" w:afterAutospacing="1"/>
              <w:contextualSpacing w:val="0"/>
              <w:jc w:val="both"/>
            </w:pPr>
            <w:r w:rsidRPr="00742ED3">
              <w:t xml:space="preserve">the RRC configured candidate values are: </w:t>
            </w:r>
          </w:p>
          <w:p w14:paraId="2022CE2C" w14:textId="77777777" w:rsidR="00000FDA" w:rsidRPr="00742ED3" w:rsidRDefault="00000FDA" w:rsidP="00000FDA">
            <w:pPr>
              <w:pStyle w:val="ListParagraph"/>
              <w:numPr>
                <w:ilvl w:val="3"/>
                <w:numId w:val="20"/>
              </w:numPr>
              <w:tabs>
                <w:tab w:val="left" w:pos="720"/>
                <w:tab w:val="left" w:pos="1800"/>
              </w:tabs>
              <w:snapToGrid w:val="0"/>
              <w:spacing w:after="100" w:afterAutospacing="1"/>
              <w:contextualSpacing w:val="0"/>
              <w:jc w:val="both"/>
            </w:pPr>
            <w:r w:rsidRPr="00742ED3">
              <w:t>M = 1, 2, 3, 4</w:t>
            </w:r>
          </w:p>
          <w:p w14:paraId="724C34CA" w14:textId="77777777" w:rsidR="00000FDA" w:rsidRPr="00742ED3" w:rsidRDefault="00000FDA" w:rsidP="00000FDA">
            <w:pPr>
              <w:pStyle w:val="ListParagraph"/>
              <w:numPr>
                <w:ilvl w:val="3"/>
                <w:numId w:val="20"/>
              </w:numPr>
              <w:tabs>
                <w:tab w:val="left" w:pos="720"/>
                <w:tab w:val="left" w:pos="1800"/>
                <w:tab w:val="left" w:pos="2160"/>
              </w:tabs>
              <w:snapToGrid w:val="0"/>
              <w:spacing w:after="100" w:afterAutospacing="1"/>
              <w:contextualSpacing w:val="0"/>
              <w:jc w:val="both"/>
            </w:pPr>
            <w:r w:rsidRPr="00742ED3">
              <w:t xml:space="preserve">L = </w:t>
            </w:r>
            <w:r>
              <w:t xml:space="preserve">[1], </w:t>
            </w:r>
            <w:r w:rsidRPr="00742ED3">
              <w:t>2, 3, 4</w:t>
            </w:r>
          </w:p>
          <w:p w14:paraId="15396598" w14:textId="39CE071B" w:rsidR="00000FDA" w:rsidRDefault="00000FDA" w:rsidP="007721E6">
            <w:pPr>
              <w:pStyle w:val="ListParagraph"/>
              <w:numPr>
                <w:ilvl w:val="2"/>
                <w:numId w:val="20"/>
              </w:numPr>
              <w:tabs>
                <w:tab w:val="left" w:pos="720"/>
                <w:tab w:val="left" w:pos="1080"/>
                <w:tab w:val="left" w:pos="2880"/>
              </w:tabs>
              <w:snapToGrid w:val="0"/>
              <w:spacing w:after="100" w:afterAutospacing="1"/>
              <w:contextualSpacing w:val="0"/>
              <w:jc w:val="both"/>
            </w:pPr>
            <w:r w:rsidRPr="004D0EBF">
              <w:t>Note: the maximum value of M*L and combination of M and L is up to UE capability</w:t>
            </w:r>
          </w:p>
        </w:tc>
      </w:tr>
    </w:tbl>
    <w:p w14:paraId="72898F4C" w14:textId="77777777" w:rsidR="00000FDA" w:rsidRDefault="00000FDA" w:rsidP="00926617"/>
    <w:p w14:paraId="7A6524D9" w14:textId="3AB03F9C" w:rsidR="00273551" w:rsidRDefault="00273551" w:rsidP="00926617">
      <w:r>
        <w:t xml:space="preserve">Regarding the maximum values of M, L, and M x L, at least M x L=4 is agreed to be supported. In </w:t>
      </w:r>
      <w:proofErr w:type="gramStart"/>
      <w:r>
        <w:t>our  view</w:t>
      </w:r>
      <w:proofErr w:type="gramEnd"/>
      <w:r>
        <w:t>, current UE capability values M x L=1, 2, 3 should also be supported as UE capability since the number of candidate cells to be measured is expected to be similar to Rel-17 ICBM feature for basic feature.</w:t>
      </w:r>
    </w:p>
    <w:p w14:paraId="5DD9DA03" w14:textId="77777777" w:rsidR="00273551" w:rsidRDefault="00273551" w:rsidP="00926617"/>
    <w:p w14:paraId="2A4633A0" w14:textId="62373D84" w:rsidR="0099715E" w:rsidRDefault="0099715E" w:rsidP="0099715E"/>
    <w:p w14:paraId="7C3FDA39" w14:textId="6DCFA48F" w:rsidR="0099715E" w:rsidRPr="00E02AA1" w:rsidRDefault="0099715E" w:rsidP="00E02AA1">
      <w:pPr>
        <w:rPr>
          <w:b/>
          <w:bCs/>
        </w:rPr>
      </w:pPr>
      <w:bookmarkStart w:id="6" w:name="_Ref134795854"/>
      <w:r w:rsidRPr="00E02AA1">
        <w:rPr>
          <w:b/>
          <w:bCs/>
        </w:rPr>
        <w:t xml:space="preserve">Proposal </w:t>
      </w:r>
      <w:r w:rsidRPr="00E02AA1">
        <w:rPr>
          <w:b/>
          <w:bCs/>
        </w:rPr>
        <w:fldChar w:fldCharType="begin"/>
      </w:r>
      <w:r w:rsidRPr="00E02AA1">
        <w:rPr>
          <w:b/>
          <w:bCs/>
        </w:rPr>
        <w:instrText xml:space="preserve"> SEQ Proposal \* ARABIC </w:instrText>
      </w:r>
      <w:r w:rsidRPr="00E02AA1">
        <w:rPr>
          <w:b/>
          <w:bCs/>
        </w:rPr>
        <w:fldChar w:fldCharType="separate"/>
      </w:r>
      <w:r w:rsidR="00982AEA">
        <w:rPr>
          <w:b/>
          <w:bCs/>
          <w:noProof/>
        </w:rPr>
        <w:t>4</w:t>
      </w:r>
      <w:r w:rsidRPr="00E02AA1">
        <w:rPr>
          <w:b/>
          <w:bCs/>
          <w:noProof/>
        </w:rPr>
        <w:fldChar w:fldCharType="end"/>
      </w:r>
      <w:r w:rsidRPr="00E02AA1">
        <w:rPr>
          <w:b/>
          <w:bCs/>
        </w:rPr>
        <w:t>: For Rel-18 L1/L2</w:t>
      </w:r>
      <w:r w:rsidRPr="0099715E">
        <w:t xml:space="preserve"> </w:t>
      </w:r>
      <w:r w:rsidRPr="00E02AA1">
        <w:rPr>
          <w:b/>
          <w:bCs/>
        </w:rPr>
        <w:t xml:space="preserve">mobility beam selection in an SSB based L1-RSRP measurement report, </w:t>
      </w:r>
      <w:r w:rsidR="009633F8">
        <w:rPr>
          <w:b/>
          <w:bCs/>
        </w:rPr>
        <w:t xml:space="preserve">maximum values of </w:t>
      </w:r>
      <w:r w:rsidRPr="00E02AA1">
        <w:rPr>
          <w:b/>
          <w:bCs/>
        </w:rPr>
        <w:t>M x L=1, 2, 3</w:t>
      </w:r>
      <w:r w:rsidR="000A55D4">
        <w:rPr>
          <w:b/>
          <w:bCs/>
        </w:rPr>
        <w:t>, 4</w:t>
      </w:r>
      <w:r w:rsidRPr="00E02AA1">
        <w:rPr>
          <w:b/>
          <w:bCs/>
        </w:rPr>
        <w:t xml:space="preserve"> are supported as UE capability</w:t>
      </w:r>
      <w:bookmarkEnd w:id="6"/>
    </w:p>
    <w:p w14:paraId="7AE20872" w14:textId="77777777" w:rsidR="008F2FB7" w:rsidRPr="00D640A0" w:rsidRDefault="008F2FB7" w:rsidP="00926617"/>
    <w:p w14:paraId="7B609860" w14:textId="4E9CE7CD" w:rsidR="00D640A0" w:rsidRDefault="00D640A0" w:rsidP="00926617">
      <w:pPr>
        <w:rPr>
          <w:u w:val="single"/>
        </w:rPr>
      </w:pPr>
      <w:r w:rsidRPr="00561DA8">
        <w:rPr>
          <w:u w:val="single"/>
        </w:rPr>
        <w:t>Beam management enhancement</w:t>
      </w:r>
    </w:p>
    <w:p w14:paraId="74757FB5" w14:textId="5AB13398" w:rsidR="00794A6A" w:rsidRDefault="00794A6A" w:rsidP="00926617">
      <w:pPr>
        <w:rPr>
          <w:u w:val="single"/>
        </w:rPr>
      </w:pPr>
    </w:p>
    <w:p w14:paraId="5B153D56" w14:textId="6C625D76" w:rsidR="00794A6A" w:rsidRDefault="009B441A" w:rsidP="00926617">
      <w:r>
        <w:lastRenderedPageBreak/>
        <w:t xml:space="preserve">In RAN1 #111 meeting, it has been agreed that the beam indication together with cell switch command is supported and other beam indication timing, i.e., before and after cell switch command, will be further discussed. </w:t>
      </w:r>
      <w:r w:rsidR="00C92391">
        <w:t>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candidate cell as Rel-17 ICBM. However, such benefit might not be feasible when the candidate cell is in inter-frequency.</w:t>
      </w:r>
      <w:r w:rsidR="00DC0887">
        <w:t xml:space="preserve"> Furthermore, </w:t>
      </w:r>
      <w:r w:rsidR="00DC0887" w:rsidRPr="00DC0887">
        <w:t xml:space="preserve">simultaneous operation of Rel-17 ICBM and Rel-18 LTM feature </w:t>
      </w:r>
      <w:r w:rsidR="00DC0887">
        <w:t>seem to be optimization and the discussion can be deprioritized</w:t>
      </w:r>
      <w:r w:rsidR="002866E8">
        <w:t xml:space="preserve">. </w:t>
      </w:r>
    </w:p>
    <w:p w14:paraId="3E7AD530" w14:textId="09515D25" w:rsidR="002866E8" w:rsidRDefault="002866E8" w:rsidP="00926617"/>
    <w:p w14:paraId="0B9D5E08" w14:textId="0FF692F7" w:rsidR="002866E8" w:rsidRDefault="002866E8" w:rsidP="002866E8">
      <w:pPr>
        <w:pStyle w:val="Caption"/>
      </w:pPr>
      <w:bookmarkStart w:id="7" w:name="_Ref127308624"/>
      <w:r>
        <w:t xml:space="preserve">Proposal </w:t>
      </w:r>
      <w:r w:rsidR="009E6665">
        <w:fldChar w:fldCharType="begin"/>
      </w:r>
      <w:r w:rsidR="009E6665">
        <w:instrText xml:space="preserve"> SEQ Proposal \* ARABIC </w:instrText>
      </w:r>
      <w:r w:rsidR="009E6665">
        <w:fldChar w:fldCharType="separate"/>
      </w:r>
      <w:r w:rsidR="00982AEA">
        <w:rPr>
          <w:noProof/>
        </w:rPr>
        <w:t>5</w:t>
      </w:r>
      <w:r w:rsidR="009E6665">
        <w:rPr>
          <w:noProof/>
        </w:rPr>
        <w:fldChar w:fldCharType="end"/>
      </w:r>
      <w:r>
        <w:t>:</w:t>
      </w:r>
      <w:r w:rsidRPr="00DF74F3">
        <w:t xml:space="preserve"> </w:t>
      </w:r>
      <w:r>
        <w:t xml:space="preserve">For Rel-18 L1/L2 mobility, Scenario </w:t>
      </w:r>
      <w:r w:rsidR="005066EB">
        <w:t xml:space="preserve">1 </w:t>
      </w:r>
      <w:r>
        <w:t xml:space="preserve">(beam indication </w:t>
      </w:r>
      <w:r w:rsidR="005066EB">
        <w:t xml:space="preserve">before </w:t>
      </w:r>
      <w:r>
        <w:t xml:space="preserve">cell switch command) </w:t>
      </w:r>
      <w:r w:rsidR="004C6DC5">
        <w:t xml:space="preserve">is </w:t>
      </w:r>
      <w:r>
        <w:t>not supported.</w:t>
      </w:r>
      <w:bookmarkEnd w:id="7"/>
    </w:p>
    <w:p w14:paraId="24BAEA6E" w14:textId="31C0358F" w:rsidR="00A415E1" w:rsidRDefault="00A415E1" w:rsidP="00A415E1"/>
    <w:p w14:paraId="76DC6720" w14:textId="44F0F505" w:rsidR="005066EB" w:rsidRDefault="00D10CCD" w:rsidP="00A415E1">
      <w:r>
        <w:t>In RAN1 #112bis-e meeting, the following agreement is achieved</w:t>
      </w:r>
      <w:r w:rsidR="00437F6B">
        <w:t xml:space="preserve"> where TCI state activation of a candidate cell can be received before the beam indication in a cell switch command. </w:t>
      </w:r>
    </w:p>
    <w:p w14:paraId="6CA18892" w14:textId="77777777" w:rsidR="00D10CCD" w:rsidRDefault="00D10CCD" w:rsidP="00A415E1"/>
    <w:tbl>
      <w:tblPr>
        <w:tblStyle w:val="TableGrid"/>
        <w:tblW w:w="0" w:type="auto"/>
        <w:tblLook w:val="04A0" w:firstRow="1" w:lastRow="0" w:firstColumn="1" w:lastColumn="0" w:noHBand="0" w:noVBand="1"/>
      </w:tblPr>
      <w:tblGrid>
        <w:gridCol w:w="10188"/>
      </w:tblGrid>
      <w:tr w:rsidR="00D10CCD" w14:paraId="5E8C900C" w14:textId="77777777" w:rsidTr="00D10CCD">
        <w:tc>
          <w:tcPr>
            <w:tcW w:w="10188" w:type="dxa"/>
          </w:tcPr>
          <w:p w14:paraId="517EF41A" w14:textId="77777777" w:rsidR="00D10CCD" w:rsidRPr="00C42753" w:rsidRDefault="00D10CCD" w:rsidP="00D10CCD">
            <w:pPr>
              <w:rPr>
                <w:highlight w:val="green"/>
              </w:rPr>
            </w:pPr>
            <w:r w:rsidRPr="00C42753">
              <w:rPr>
                <w:highlight w:val="green"/>
              </w:rPr>
              <w:t>Agreement</w:t>
            </w:r>
          </w:p>
          <w:p w14:paraId="0E6757D3" w14:textId="77777777" w:rsidR="00D10CCD" w:rsidRPr="00C42753" w:rsidRDefault="00D10CCD" w:rsidP="00D10CCD">
            <w:r w:rsidRPr="00C42753">
              <w:rPr>
                <w:rFonts w:hint="eastAsia"/>
              </w:rPr>
              <w:t>For the Rel-17 unified TCI based beam indication in Rel-18 LTM, at least Alt 1 is supported:</w:t>
            </w:r>
          </w:p>
          <w:p w14:paraId="2DA0ECFB" w14:textId="77777777" w:rsidR="00D10CCD" w:rsidRPr="00C42753" w:rsidRDefault="00D10CCD" w:rsidP="00D10CCD">
            <w:pPr>
              <w:numPr>
                <w:ilvl w:val="0"/>
                <w:numId w:val="21"/>
              </w:numPr>
              <w:snapToGrid w:val="0"/>
              <w:jc w:val="both"/>
              <w:rPr>
                <w:rFonts w:ascii="Calibri" w:hAnsi="Calibri" w:cs="Calibri"/>
                <w:sz w:val="22"/>
                <w:szCs w:val="22"/>
              </w:rPr>
            </w:pPr>
            <w:r w:rsidRPr="00C42753">
              <w:rPr>
                <w:rFonts w:hint="eastAsia"/>
              </w:rPr>
              <w:t xml:space="preserve">Alt 1: TCI state activation of </w:t>
            </w:r>
            <w:r w:rsidRPr="00C42753">
              <w:t>a</w:t>
            </w:r>
            <w:r w:rsidRPr="00C42753">
              <w:rPr>
                <w:rFonts w:hint="eastAsia"/>
              </w:rPr>
              <w:t xml:space="preserve"> </w:t>
            </w:r>
            <w:r w:rsidRPr="00C42753">
              <w:t>candidate</w:t>
            </w:r>
            <w:r w:rsidRPr="00C42753">
              <w:rPr>
                <w:rFonts w:hint="eastAsia"/>
              </w:rPr>
              <w:t xml:space="preserve"> cell is received before the reception of beam indication of the </w:t>
            </w:r>
            <w:r w:rsidRPr="00C42753">
              <w:t>candidate</w:t>
            </w:r>
            <w:r w:rsidRPr="00C42753">
              <w:rPr>
                <w:rFonts w:hint="eastAsia"/>
              </w:rPr>
              <w:t xml:space="preserve"> cell, </w:t>
            </w:r>
          </w:p>
          <w:p w14:paraId="11B01CEC" w14:textId="77777777" w:rsidR="00D10CCD" w:rsidRPr="00C42753" w:rsidRDefault="00D10CCD" w:rsidP="00D10CCD">
            <w:pPr>
              <w:numPr>
                <w:ilvl w:val="0"/>
                <w:numId w:val="21"/>
              </w:numPr>
              <w:snapToGrid w:val="0"/>
              <w:jc w:val="both"/>
            </w:pPr>
            <w:r w:rsidRPr="00C42753">
              <w:rPr>
                <w:rFonts w:hint="eastAsia"/>
              </w:rPr>
              <w:t xml:space="preserve">Alt 2: TCI state activation of </w:t>
            </w:r>
            <w:r w:rsidRPr="00C42753">
              <w:t>a candidate</w:t>
            </w:r>
            <w:r w:rsidRPr="00C42753">
              <w:rPr>
                <w:rFonts w:hint="eastAsia"/>
              </w:rPr>
              <w:t xml:space="preserve"> cell is received together with the reception of beam indication of the </w:t>
            </w:r>
            <w:r w:rsidRPr="00C42753">
              <w:t>candidate</w:t>
            </w:r>
            <w:r w:rsidRPr="00C42753">
              <w:rPr>
                <w:rFonts w:hint="eastAsia"/>
              </w:rPr>
              <w:t xml:space="preserve"> cell</w:t>
            </w:r>
          </w:p>
          <w:p w14:paraId="2C524501" w14:textId="77777777" w:rsidR="00D10CCD" w:rsidRPr="00C42753" w:rsidRDefault="00D10CCD" w:rsidP="00D10CCD">
            <w:pPr>
              <w:numPr>
                <w:ilvl w:val="1"/>
                <w:numId w:val="21"/>
              </w:numPr>
              <w:snapToGrid w:val="0"/>
              <w:jc w:val="both"/>
              <w:rPr>
                <w:rFonts w:ascii="Yu Gothic" w:hAnsi="Yu Gothic"/>
              </w:rPr>
            </w:pPr>
            <w:r w:rsidRPr="00C42753">
              <w:rPr>
                <w:rFonts w:hint="eastAsia"/>
              </w:rPr>
              <w:t xml:space="preserve">FFS: </w:t>
            </w:r>
            <w:proofErr w:type="spellStart"/>
            <w:r w:rsidRPr="00C42753">
              <w:rPr>
                <w:rFonts w:hint="eastAsia"/>
              </w:rPr>
              <w:t>signalling</w:t>
            </w:r>
            <w:proofErr w:type="spellEnd"/>
            <w:r w:rsidRPr="00C42753">
              <w:rPr>
                <w:rFonts w:hint="eastAsia"/>
              </w:rPr>
              <w:t xml:space="preserve"> details for TCI state indication, if both activation and indication are done in the same MAC CE message carrying switch command</w:t>
            </w:r>
          </w:p>
          <w:p w14:paraId="6B2E04D6" w14:textId="77777777" w:rsidR="00D10CCD" w:rsidRPr="00C42753" w:rsidRDefault="00D10CCD" w:rsidP="00D10CCD">
            <w:pPr>
              <w:numPr>
                <w:ilvl w:val="0"/>
                <w:numId w:val="21"/>
              </w:numPr>
              <w:snapToGrid w:val="0"/>
              <w:jc w:val="both"/>
            </w:pPr>
            <w:r w:rsidRPr="00C42753">
              <w:rPr>
                <w:rFonts w:hint="eastAsia"/>
              </w:rPr>
              <w:t>Alt 3: Alt 1 and/or Alt 2 can be supported based on the UE capability</w:t>
            </w:r>
          </w:p>
          <w:p w14:paraId="5F7C7EE6" w14:textId="77777777" w:rsidR="00D10CCD" w:rsidRPr="00C42753" w:rsidRDefault="00D10CCD" w:rsidP="00D10CCD">
            <w:r w:rsidRPr="00C42753">
              <w:rPr>
                <w:rFonts w:hint="eastAsia"/>
              </w:rPr>
              <w:t xml:space="preserve">FFS: </w:t>
            </w:r>
            <w:proofErr w:type="spellStart"/>
            <w:r w:rsidRPr="00C42753">
              <w:rPr>
                <w:rFonts w:hint="eastAsia"/>
              </w:rPr>
              <w:t>signalling</w:t>
            </w:r>
            <w:proofErr w:type="spellEnd"/>
            <w:r w:rsidRPr="00C42753">
              <w:rPr>
                <w:rFonts w:hint="eastAsia"/>
              </w:rPr>
              <w:t xml:space="preserve"> details for TCI state activation</w:t>
            </w:r>
          </w:p>
          <w:p w14:paraId="461D32D1" w14:textId="77777777" w:rsidR="00D10CCD" w:rsidRPr="00C42753" w:rsidRDefault="00D10CCD" w:rsidP="00D10CCD">
            <w:r w:rsidRPr="00C42753">
              <w:rPr>
                <w:rFonts w:hint="eastAsia"/>
              </w:rPr>
              <w:t xml:space="preserve">FFS: </w:t>
            </w:r>
            <w:r w:rsidRPr="00C42753">
              <w:t xml:space="preserve">For Alt 1, </w:t>
            </w:r>
            <w:r w:rsidRPr="00C42753">
              <w:rPr>
                <w:rFonts w:hint="eastAsia"/>
              </w:rPr>
              <w:t>whether/how TCI state activation for candidate cell(s) is allowed</w:t>
            </w:r>
          </w:p>
          <w:p w14:paraId="4D5F5D56" w14:textId="77777777" w:rsidR="00D10CCD" w:rsidRDefault="00D10CCD" w:rsidP="00A415E1"/>
        </w:tc>
      </w:tr>
    </w:tbl>
    <w:p w14:paraId="485C9B95" w14:textId="77777777" w:rsidR="00D10CCD" w:rsidRDefault="00D10CCD" w:rsidP="00A415E1"/>
    <w:p w14:paraId="1C2ED66C" w14:textId="41E7A891" w:rsidR="0017192A" w:rsidRDefault="0017192A" w:rsidP="00A415E1">
      <w:r>
        <w:t xml:space="preserve">In RAN1#113 meeting, </w:t>
      </w:r>
      <w:r w:rsidR="00B73833">
        <w:t xml:space="preserve">further agreement is achieved on Alt2, i.e., </w:t>
      </w:r>
      <w:r>
        <w:t>a beam indication and activation included in the cell switch is supported.</w:t>
      </w:r>
    </w:p>
    <w:p w14:paraId="11FF6574" w14:textId="0DE3BE87" w:rsidR="0017192A" w:rsidRDefault="0017192A" w:rsidP="00A415E1"/>
    <w:tbl>
      <w:tblPr>
        <w:tblStyle w:val="TableGrid"/>
        <w:tblW w:w="0" w:type="auto"/>
        <w:tblLook w:val="04A0" w:firstRow="1" w:lastRow="0" w:firstColumn="1" w:lastColumn="0" w:noHBand="0" w:noVBand="1"/>
      </w:tblPr>
      <w:tblGrid>
        <w:gridCol w:w="10188"/>
      </w:tblGrid>
      <w:tr w:rsidR="00B73833" w14:paraId="4AA320F2" w14:textId="77777777" w:rsidTr="00B73833">
        <w:tc>
          <w:tcPr>
            <w:tcW w:w="10188" w:type="dxa"/>
          </w:tcPr>
          <w:p w14:paraId="7C17A81A" w14:textId="77777777" w:rsidR="00B73833" w:rsidRPr="00183296" w:rsidRDefault="00B73833" w:rsidP="00B73833">
            <w:pPr>
              <w:shd w:val="clear" w:color="auto" w:fill="FFFFFF"/>
              <w:rPr>
                <w:highlight w:val="green"/>
              </w:rPr>
            </w:pPr>
            <w:r w:rsidRPr="00183296">
              <w:rPr>
                <w:highlight w:val="green"/>
              </w:rPr>
              <w:t>Agreement </w:t>
            </w:r>
          </w:p>
          <w:p w14:paraId="2D41A6A7" w14:textId="360EFB24" w:rsidR="00B73833" w:rsidRDefault="00B73833">
            <w:r w:rsidRPr="00183296">
              <w:t xml:space="preserve">A UE </w:t>
            </w:r>
            <w:r>
              <w:t>can</w:t>
            </w:r>
            <w:r w:rsidRPr="00183296">
              <w:t xml:space="preserve"> be indicated and activated a single joint TCI state or a pair of UL/DL TCI state in the cell switch command.</w:t>
            </w:r>
          </w:p>
        </w:tc>
      </w:tr>
    </w:tbl>
    <w:p w14:paraId="7510FB09" w14:textId="77777777" w:rsidR="0017192A" w:rsidRDefault="0017192A" w:rsidP="00A415E1"/>
    <w:p w14:paraId="48AF7BEA" w14:textId="343D6087" w:rsidR="001F1303" w:rsidRDefault="00841FBF" w:rsidP="00A415E1">
      <w:r>
        <w:t xml:space="preserve">Based on current wording of Alt1 in the agreement, there are some aspects need further clarification or discussion. First, it is not clear that whether more than one TCI state of a candidate can be activated before cell switch command reception. In addition, </w:t>
      </w:r>
      <w:r w:rsidR="0041507C">
        <w:t xml:space="preserve">the need to activate more than 1 TCI state of a candidate before cell switch is not clear since UE will only utilize one TCI state for DL reception after the cell switch. Regarding TCI states from how many candidate cells can be activated before cell switch, </w:t>
      </w:r>
      <w:r w:rsidR="00DC04D8">
        <w:t xml:space="preserve">we need to first clarify the </w:t>
      </w:r>
      <w:r w:rsidR="00F90491">
        <w:t xml:space="preserve">corresponding </w:t>
      </w:r>
      <w:r w:rsidR="00DC04D8">
        <w:t>use case</w:t>
      </w:r>
      <w:r w:rsidR="001F1303">
        <w:t xml:space="preserve">. That is, whether obtaining several QCL information from different candidate cells before cell switch command reception is a </w:t>
      </w:r>
      <w:r w:rsidR="009D3CCE">
        <w:t>desirable</w:t>
      </w:r>
      <w:r w:rsidR="001F1303">
        <w:t xml:space="preserve"> scenario should be clarified first. We suggest </w:t>
      </w:r>
      <w:proofErr w:type="gramStart"/>
      <w:r w:rsidR="001F1303">
        <w:t>to leave</w:t>
      </w:r>
      <w:proofErr w:type="gramEnd"/>
      <w:r w:rsidR="001F1303">
        <w:t xml:space="preserve"> the discussion of supported scenarios to RAN2 discussion.</w:t>
      </w:r>
    </w:p>
    <w:p w14:paraId="1CEEA250" w14:textId="6C7604C9" w:rsidR="00F90491" w:rsidRDefault="00F90491" w:rsidP="00A415E1"/>
    <w:p w14:paraId="06A2854A" w14:textId="27E78FD2" w:rsidR="00F90491" w:rsidRDefault="00F90491" w:rsidP="00A415E1"/>
    <w:p w14:paraId="7AA345A0" w14:textId="77777777" w:rsidR="001F1303" w:rsidRDefault="001F1303" w:rsidP="00A415E1"/>
    <w:p w14:paraId="65B05DA9" w14:textId="77777777" w:rsidR="00437F6B" w:rsidRDefault="00437F6B" w:rsidP="00A415E1"/>
    <w:p w14:paraId="2993C4A3" w14:textId="40948C33" w:rsidR="001F1303" w:rsidRPr="00E02AA1" w:rsidRDefault="001F1303" w:rsidP="001F1303">
      <w:pPr>
        <w:pStyle w:val="Caption"/>
        <w:rPr>
          <w:bCs w:val="0"/>
        </w:rPr>
      </w:pPr>
      <w:bookmarkStart w:id="8" w:name="_Ref134795888"/>
      <w:r>
        <w:lastRenderedPageBreak/>
        <w:t xml:space="preserve">Proposal </w:t>
      </w:r>
      <w:r>
        <w:fldChar w:fldCharType="begin"/>
      </w:r>
      <w:r>
        <w:instrText xml:space="preserve"> SEQ Proposal \* ARABIC </w:instrText>
      </w:r>
      <w:r>
        <w:fldChar w:fldCharType="separate"/>
      </w:r>
      <w:r w:rsidR="00982AEA">
        <w:rPr>
          <w:noProof/>
        </w:rPr>
        <w:t>6</w:t>
      </w:r>
      <w:r>
        <w:rPr>
          <w:noProof/>
        </w:rPr>
        <w:fldChar w:fldCharType="end"/>
      </w:r>
      <w:r>
        <w:t>:</w:t>
      </w:r>
      <w:r w:rsidRPr="00DF74F3">
        <w:t xml:space="preserve"> </w:t>
      </w:r>
      <w:r w:rsidRPr="00E02AA1">
        <w:rPr>
          <w:rFonts w:hint="eastAsia"/>
          <w:bCs w:val="0"/>
        </w:rPr>
        <w:t xml:space="preserve">For the Rel-17 unified TCI based beam indication in Rel-18 LTM, </w:t>
      </w:r>
      <w:r w:rsidRPr="00E02AA1">
        <w:rPr>
          <w:bCs w:val="0"/>
        </w:rPr>
        <w:t>clarif</w:t>
      </w:r>
      <w:r w:rsidR="007E6EFB">
        <w:rPr>
          <w:bCs w:val="0"/>
        </w:rPr>
        <w:t>y</w:t>
      </w:r>
      <w:r w:rsidRPr="00E02AA1">
        <w:rPr>
          <w:bCs w:val="0"/>
        </w:rPr>
        <w:t xml:space="preserve"> the agreed </w:t>
      </w:r>
      <w:r w:rsidRPr="00E02AA1">
        <w:rPr>
          <w:rFonts w:hint="eastAsia"/>
          <w:bCs w:val="0"/>
        </w:rPr>
        <w:t xml:space="preserve">Alt </w:t>
      </w:r>
      <w:r w:rsidRPr="00E02AA1">
        <w:rPr>
          <w:bCs w:val="0"/>
        </w:rPr>
        <w:t>1</w:t>
      </w:r>
      <w:r w:rsidR="006538B5">
        <w:rPr>
          <w:bCs w:val="0"/>
        </w:rPr>
        <w:t xml:space="preserve"> </w:t>
      </w:r>
      <w:r w:rsidRPr="00E02AA1">
        <w:rPr>
          <w:bCs w:val="0"/>
        </w:rPr>
        <w:t>as:</w:t>
      </w:r>
      <w:bookmarkEnd w:id="8"/>
    </w:p>
    <w:p w14:paraId="7492C2DC" w14:textId="002FD557" w:rsidR="001F1303" w:rsidRPr="00E02AA1" w:rsidRDefault="001F1303" w:rsidP="001F1303">
      <w:pPr>
        <w:numPr>
          <w:ilvl w:val="0"/>
          <w:numId w:val="21"/>
        </w:numPr>
        <w:snapToGrid w:val="0"/>
        <w:jc w:val="both"/>
        <w:rPr>
          <w:rFonts w:ascii="Calibri" w:hAnsi="Calibri" w:cs="Calibri"/>
          <w:b/>
          <w:bCs/>
          <w:sz w:val="22"/>
          <w:szCs w:val="22"/>
        </w:rPr>
      </w:pPr>
      <w:r w:rsidRPr="00B01B76">
        <w:rPr>
          <w:rFonts w:hint="eastAsia"/>
          <w:b/>
          <w:bCs/>
        </w:rPr>
        <w:t xml:space="preserve">Alt 1: </w:t>
      </w:r>
      <w:r>
        <w:rPr>
          <w:b/>
          <w:bCs/>
        </w:rPr>
        <w:t xml:space="preserve">Activation of a </w:t>
      </w:r>
      <w:r w:rsidRPr="00B01B76">
        <w:rPr>
          <w:rFonts w:hint="eastAsia"/>
          <w:b/>
          <w:bCs/>
        </w:rPr>
        <w:t xml:space="preserve">TCI state </w:t>
      </w:r>
      <w:r>
        <w:rPr>
          <w:b/>
          <w:bCs/>
        </w:rPr>
        <w:t xml:space="preserve">associated with a </w:t>
      </w:r>
      <w:r w:rsidRPr="00B01B76">
        <w:rPr>
          <w:b/>
          <w:bCs/>
        </w:rPr>
        <w:t>candidate</w:t>
      </w:r>
      <w:r w:rsidRPr="00B01B76">
        <w:rPr>
          <w:rFonts w:hint="eastAsia"/>
          <w:b/>
          <w:bCs/>
        </w:rPr>
        <w:t xml:space="preserve"> cell is received before the reception of beam indication of the </w:t>
      </w:r>
      <w:r w:rsidRPr="00B01B76">
        <w:rPr>
          <w:b/>
          <w:bCs/>
        </w:rPr>
        <w:t>candidate</w:t>
      </w:r>
      <w:r w:rsidRPr="00B01B76">
        <w:rPr>
          <w:rFonts w:hint="eastAsia"/>
          <w:b/>
          <w:bCs/>
        </w:rPr>
        <w:t xml:space="preserve"> cell </w:t>
      </w:r>
    </w:p>
    <w:p w14:paraId="6F071307" w14:textId="2660BC24" w:rsidR="001F1303" w:rsidRPr="00B01B76" w:rsidRDefault="001F1303" w:rsidP="00E02AA1">
      <w:pPr>
        <w:numPr>
          <w:ilvl w:val="1"/>
          <w:numId w:val="21"/>
        </w:numPr>
        <w:snapToGrid w:val="0"/>
        <w:jc w:val="both"/>
        <w:rPr>
          <w:rFonts w:ascii="Calibri" w:hAnsi="Calibri" w:cs="Calibri"/>
          <w:b/>
          <w:bCs/>
          <w:sz w:val="22"/>
          <w:szCs w:val="22"/>
        </w:rPr>
      </w:pPr>
      <w:r>
        <w:rPr>
          <w:b/>
          <w:bCs/>
        </w:rPr>
        <w:t xml:space="preserve">Whether more than one TCI states from one or more candidate cells can be activated </w:t>
      </w:r>
      <w:r w:rsidR="00B36A8A">
        <w:rPr>
          <w:b/>
          <w:bCs/>
        </w:rPr>
        <w:t>f</w:t>
      </w:r>
      <w:r w:rsidR="006B5406">
        <w:rPr>
          <w:b/>
          <w:bCs/>
        </w:rPr>
        <w:t xml:space="preserve">or Rel-18 LTM </w:t>
      </w:r>
      <w:r>
        <w:rPr>
          <w:b/>
          <w:bCs/>
        </w:rPr>
        <w:t>is determined by RAN2</w:t>
      </w:r>
    </w:p>
    <w:p w14:paraId="1499B8BB" w14:textId="130DB349" w:rsidR="001F1303" w:rsidRDefault="001F1303" w:rsidP="00A415E1"/>
    <w:p w14:paraId="539400FE" w14:textId="16F6DDB4" w:rsidR="00F90491" w:rsidRDefault="00F90491" w:rsidP="00A415E1"/>
    <w:p w14:paraId="17A3FD49" w14:textId="55F45F6A" w:rsidR="00F90491" w:rsidRDefault="00F90491" w:rsidP="00A415E1">
      <w:r>
        <w:t xml:space="preserve">Another open issue for the TCI state activation and beam indication of candidate cell is the QCL resource associated with the TCI state. Based on current spec, the TCI state used for reception of PDCCH and PDSCH should be QCL type-A with TRS. However, during initial cell search phase, the following </w:t>
      </w:r>
      <w:r w:rsidR="00BD56D7">
        <w:t xml:space="preserve">UE </w:t>
      </w:r>
      <w:r>
        <w:t>behavior</w:t>
      </w:r>
      <w:r w:rsidR="00BD56D7">
        <w:t xml:space="preserve"> using SSB as QCL source</w:t>
      </w:r>
      <w:r>
        <w:t xml:space="preserve"> is specified for PDCCH monitoring and MIB reception.</w:t>
      </w:r>
    </w:p>
    <w:tbl>
      <w:tblPr>
        <w:tblStyle w:val="TableGrid"/>
        <w:tblW w:w="0" w:type="auto"/>
        <w:tblLook w:val="04A0" w:firstRow="1" w:lastRow="0" w:firstColumn="1" w:lastColumn="0" w:noHBand="0" w:noVBand="1"/>
      </w:tblPr>
      <w:tblGrid>
        <w:gridCol w:w="10188"/>
      </w:tblGrid>
      <w:tr w:rsidR="00F90491" w14:paraId="1E9EAC25" w14:textId="77777777" w:rsidTr="00F90491">
        <w:tc>
          <w:tcPr>
            <w:tcW w:w="10188" w:type="dxa"/>
          </w:tcPr>
          <w:p w14:paraId="404ACA51" w14:textId="37D369E2" w:rsidR="00F90491" w:rsidRDefault="00F90491" w:rsidP="00F90491">
            <w:r>
              <w:t>TS 38.213 Clause 10.1</w:t>
            </w:r>
          </w:p>
          <w:p w14:paraId="4491D599" w14:textId="667D07C2" w:rsidR="00F90491" w:rsidRDefault="00F90491" w:rsidP="00F90491">
            <w:r>
              <w:t>…</w:t>
            </w:r>
          </w:p>
          <w:p w14:paraId="6909A798" w14:textId="70C49310" w:rsidR="00F90491" w:rsidRDefault="00F90491" w:rsidP="00F90491">
            <w:r w:rsidRPr="00E02AA1">
              <w:rPr>
                <w:b/>
                <w:bCs/>
              </w:rPr>
              <w:t xml:space="preserve">The UE may assume that the DM-RS antenna port associated with PDCCH receptions in the CORESET configured by </w:t>
            </w:r>
            <w:r w:rsidRPr="00E02AA1">
              <w:rPr>
                <w:b/>
                <w:bCs/>
                <w:i/>
              </w:rPr>
              <w:t>pdcch-ConfigSIB1</w:t>
            </w:r>
            <w:r w:rsidRPr="00E02AA1">
              <w:rPr>
                <w:b/>
                <w:bCs/>
              </w:rPr>
              <w:t xml:space="preserve"> </w:t>
            </w:r>
            <w:r w:rsidRPr="00E02AA1">
              <w:rPr>
                <w:rFonts w:eastAsia="MS Mincho"/>
                <w:b/>
                <w:bCs/>
              </w:rPr>
              <w:t xml:space="preserve">in </w:t>
            </w:r>
            <w:r w:rsidRPr="00E02AA1">
              <w:rPr>
                <w:b/>
                <w:bCs/>
                <w:i/>
              </w:rPr>
              <w:t>MIB</w:t>
            </w:r>
            <w:r w:rsidRPr="00E02AA1">
              <w:rPr>
                <w:b/>
                <w:bCs/>
                <w:iCs/>
              </w:rPr>
              <w:t>, the DM-RS antenna port associated with</w:t>
            </w:r>
            <w:r w:rsidRPr="00E02AA1">
              <w:rPr>
                <w:b/>
                <w:bCs/>
              </w:rPr>
              <w:t xml:space="preserve"> corresponding PDSCH receptions, and the corresponding SS/PBCH block are quasi co-located with respect to average gain, quasi co-location '</w:t>
            </w:r>
            <w:proofErr w:type="spellStart"/>
            <w:r w:rsidRPr="00E02AA1">
              <w:rPr>
                <w:b/>
                <w:bCs/>
              </w:rPr>
              <w:t>typeA</w:t>
            </w:r>
            <w:proofErr w:type="spellEnd"/>
            <w:r w:rsidRPr="00E02AA1">
              <w:rPr>
                <w:b/>
                <w:bCs/>
              </w:rPr>
              <w:t>' and '</w:t>
            </w:r>
            <w:proofErr w:type="spellStart"/>
            <w:r w:rsidRPr="00E02AA1">
              <w:rPr>
                <w:b/>
                <w:bCs/>
              </w:rPr>
              <w:t>typeD</w:t>
            </w:r>
            <w:proofErr w:type="spellEnd"/>
            <w:r w:rsidRPr="00E02AA1">
              <w:rPr>
                <w:b/>
                <w:bCs/>
              </w:rPr>
              <w:t>' properties, when applicable</w:t>
            </w:r>
            <w:r w:rsidRPr="00E02AA1">
              <w:rPr>
                <w:b/>
                <w:bCs/>
                <w:kern w:val="2"/>
              </w:rPr>
              <w:t xml:space="preserve"> [6, TS 38.214], if the UE is not provided a TCI state indicating </w:t>
            </w:r>
            <w:r w:rsidRPr="00E02AA1">
              <w:rPr>
                <w:b/>
                <w:bCs/>
              </w:rPr>
              <w:t>quasi co-location information of the DM-RS antenna port for PDCCH reception in the CORESET</w:t>
            </w:r>
            <w:r w:rsidRPr="00B916EC">
              <w:t>. The value for the 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6B225188" w14:textId="77777777" w:rsidR="00F90491" w:rsidRDefault="00F90491" w:rsidP="00A415E1"/>
        </w:tc>
      </w:tr>
    </w:tbl>
    <w:p w14:paraId="5AE0701E" w14:textId="77777777" w:rsidR="00F90491" w:rsidRDefault="00F90491" w:rsidP="00A415E1"/>
    <w:p w14:paraId="75DAB524" w14:textId="52F503FC" w:rsidR="00BD56D7" w:rsidRDefault="00BD56D7" w:rsidP="00926617">
      <w:r>
        <w:t>Further, after BFR procedure, the following UE behavior using SSB as QCL source is specified for all DL reception.</w:t>
      </w:r>
    </w:p>
    <w:tbl>
      <w:tblPr>
        <w:tblStyle w:val="TableGrid"/>
        <w:tblW w:w="0" w:type="auto"/>
        <w:tblLook w:val="04A0" w:firstRow="1" w:lastRow="0" w:firstColumn="1" w:lastColumn="0" w:noHBand="0" w:noVBand="1"/>
      </w:tblPr>
      <w:tblGrid>
        <w:gridCol w:w="10188"/>
      </w:tblGrid>
      <w:tr w:rsidR="00BD56D7" w14:paraId="06B4154E" w14:textId="77777777" w:rsidTr="00BD56D7">
        <w:tc>
          <w:tcPr>
            <w:tcW w:w="10188" w:type="dxa"/>
          </w:tcPr>
          <w:p w14:paraId="3B726CA4" w14:textId="77777777" w:rsidR="00BD56D7" w:rsidRDefault="00BD56D7" w:rsidP="00BD56D7">
            <w:pPr>
              <w:tabs>
                <w:tab w:val="left" w:pos="2116"/>
              </w:tabs>
              <w:rPr>
                <w:iCs/>
              </w:rPr>
            </w:pPr>
          </w:p>
          <w:p w14:paraId="47E12E57" w14:textId="3ADC95FA" w:rsidR="00BD56D7" w:rsidRPr="00F415B1" w:rsidRDefault="00BD56D7" w:rsidP="00BD56D7">
            <w:pPr>
              <w:tabs>
                <w:tab w:val="left" w:pos="2116"/>
              </w:tabs>
            </w:pPr>
            <w:r w:rsidRPr="00F415B1">
              <w:rPr>
                <w:iCs/>
              </w:rPr>
              <w:t xml:space="preserve">If a UE is provided </w:t>
            </w:r>
            <w:r>
              <w:rPr>
                <w:rFonts w:cs="Times"/>
                <w:i/>
                <w:szCs w:val="18"/>
              </w:rPr>
              <w:t>dl-</w:t>
            </w:r>
            <w:proofErr w:type="spellStart"/>
            <w:r>
              <w:rPr>
                <w:rFonts w:cs="Times"/>
                <w:i/>
                <w:szCs w:val="18"/>
              </w:rPr>
              <w:t>OrJoint</w:t>
            </w:r>
            <w:r w:rsidRPr="00997ADD">
              <w:rPr>
                <w:rFonts w:cs="Times"/>
                <w:i/>
                <w:szCs w:val="18"/>
              </w:rPr>
              <w:t>TCI</w:t>
            </w:r>
            <w:proofErr w:type="spellEnd"/>
            <w:r>
              <w:rPr>
                <w:rFonts w:cs="Times"/>
                <w:i/>
                <w:szCs w:val="18"/>
              </w:rPr>
              <w:t>-</w:t>
            </w:r>
            <w:proofErr w:type="spellStart"/>
            <w:r w:rsidRPr="00997ADD">
              <w:rPr>
                <w:rFonts w:cs="Times"/>
                <w:i/>
                <w:szCs w:val="18"/>
              </w:rPr>
              <w:t>StateList</w:t>
            </w:r>
            <w:proofErr w:type="spellEnd"/>
            <w:r>
              <w:rPr>
                <w:rFonts w:cs="Times"/>
                <w:iCs/>
                <w:szCs w:val="18"/>
              </w:rPr>
              <w:t xml:space="preserve"> </w:t>
            </w:r>
            <w:r w:rsidRPr="00037243">
              <w:rPr>
                <w:rFonts w:cs="Times"/>
                <w:iCs/>
                <w:szCs w:val="18"/>
              </w:rPr>
              <w:t>or</w:t>
            </w:r>
            <w:r w:rsidRPr="00037243">
              <w:t xml:space="preserve"> </w:t>
            </w:r>
            <w:r w:rsidRPr="00980D55">
              <w:rPr>
                <w:i/>
                <w:iCs/>
              </w:rPr>
              <w:t>TCI-UL-State</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4BB8B96" w14:textId="77777777" w:rsidR="00BD56D7" w:rsidRPr="00F415B1" w:rsidRDefault="00BD56D7" w:rsidP="00BD56D7">
            <w:pPr>
              <w:pStyle w:val="B1"/>
              <w:rPr>
                <w:iCs/>
              </w:rPr>
            </w:pPr>
            <w:r>
              <w:t>-</w:t>
            </w:r>
            <w:r>
              <w:tab/>
              <w:t xml:space="preserve">if </w:t>
            </w:r>
            <w:r w:rsidRPr="009559F5">
              <w:rPr>
                <w:i/>
                <w:szCs w:val="22"/>
                <w:lang w:eastAsia="sv-SE"/>
              </w:rPr>
              <w:t>SSB-MTC-</w:t>
            </w:r>
            <w:proofErr w:type="spellStart"/>
            <w:r w:rsidRPr="009559F5">
              <w:rPr>
                <w:i/>
                <w:szCs w:val="22"/>
                <w:lang w:eastAsia="sv-SE"/>
              </w:rPr>
              <w:t>AdditionalPCI</w:t>
            </w:r>
            <w:proofErr w:type="spellEnd"/>
            <w: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4D8A810" w14:textId="77777777" w:rsidR="00BD56D7" w:rsidRDefault="00BD56D7" w:rsidP="00926617"/>
        </w:tc>
      </w:tr>
    </w:tbl>
    <w:p w14:paraId="4138CA37" w14:textId="77777777" w:rsidR="00BD56D7" w:rsidRDefault="00BD56D7" w:rsidP="00926617"/>
    <w:p w14:paraId="6D17E824" w14:textId="34DE4E19" w:rsidR="003657F7" w:rsidRDefault="00BD56D7">
      <w:r>
        <w:t xml:space="preserve">Similarly, for Rel-18 LTM, the same mechanism can be reused and the TCI state in the beam indication of candidate cell can </w:t>
      </w:r>
      <w:r w:rsidR="00001DBE">
        <w:t>indicate</w:t>
      </w:r>
      <w:r>
        <w:t xml:space="preserve"> candidate cell SSB</w:t>
      </w:r>
      <w:r w:rsidR="00001DBE">
        <w:t xml:space="preserve"> as QCL source</w:t>
      </w:r>
      <w:r>
        <w:t xml:space="preserve">. </w:t>
      </w:r>
      <w:r w:rsidR="003657F7">
        <w:t xml:space="preserve">Alternatively, the TCI state in the beam indication of candidate cell can </w:t>
      </w:r>
      <w:r w:rsidR="00001DBE">
        <w:t xml:space="preserve">indicate </w:t>
      </w:r>
      <w:r w:rsidR="003657F7">
        <w:t xml:space="preserve">candidate cell TRS </w:t>
      </w:r>
      <w:r w:rsidR="00001DBE">
        <w:t xml:space="preserve">as QCL source </w:t>
      </w:r>
      <w:r w:rsidR="003657F7">
        <w:t>to minimize the spec impact</w:t>
      </w:r>
      <w:r w:rsidR="005D17F9">
        <w:t>.</w:t>
      </w:r>
      <w:r w:rsidR="003657F7">
        <w:t xml:space="preserve"> </w:t>
      </w:r>
      <w:r w:rsidR="005D17F9">
        <w:t xml:space="preserve">In such approach, </w:t>
      </w:r>
      <w:r w:rsidR="00F115DB">
        <w:t xml:space="preserve">the indicate TCI state associated with a candidate cell TRS </w:t>
      </w:r>
      <w:proofErr w:type="spellStart"/>
      <w:r w:rsidR="00F115DB">
        <w:t>can not</w:t>
      </w:r>
      <w:proofErr w:type="spellEnd"/>
      <w:r w:rsidR="00F115DB">
        <w:t xml:space="preserve"> be activated before cell switch command </w:t>
      </w:r>
      <w:r w:rsidR="00001DBE">
        <w:t xml:space="preserve">reception </w:t>
      </w:r>
      <w:r w:rsidR="005D17F9">
        <w:t>since UE is not mandated to parse candidate cell TRS configuration before cell switch and candidate cell TRS tracking is not supported based on the</w:t>
      </w:r>
      <w:r w:rsidR="003657F7">
        <w:t xml:space="preserve"> conclusion made in RAN1 #113 meeting</w:t>
      </w:r>
      <w:r w:rsidR="00CB25A6">
        <w:t xml:space="preserve"> as shown below.</w:t>
      </w:r>
      <w:r w:rsidR="003657F7">
        <w:t xml:space="preserve"> </w:t>
      </w:r>
    </w:p>
    <w:p w14:paraId="4E3BDB1A" w14:textId="77777777" w:rsidR="003657F7" w:rsidRDefault="003657F7" w:rsidP="00A415E1"/>
    <w:tbl>
      <w:tblPr>
        <w:tblStyle w:val="TableGrid"/>
        <w:tblW w:w="0" w:type="auto"/>
        <w:tblLook w:val="04A0" w:firstRow="1" w:lastRow="0" w:firstColumn="1" w:lastColumn="0" w:noHBand="0" w:noVBand="1"/>
      </w:tblPr>
      <w:tblGrid>
        <w:gridCol w:w="10188"/>
      </w:tblGrid>
      <w:tr w:rsidR="003657F7" w14:paraId="51EDFF45" w14:textId="77777777" w:rsidTr="003657F7">
        <w:tc>
          <w:tcPr>
            <w:tcW w:w="10188" w:type="dxa"/>
          </w:tcPr>
          <w:p w14:paraId="16526AD1" w14:textId="77777777" w:rsidR="003657F7" w:rsidRPr="0058456A" w:rsidRDefault="003657F7" w:rsidP="003657F7">
            <w:r w:rsidRPr="0058456A">
              <w:rPr>
                <w:b/>
                <w:bCs/>
              </w:rPr>
              <w:t>Conclusion</w:t>
            </w:r>
          </w:p>
          <w:p w14:paraId="72D89BB4" w14:textId="77777777" w:rsidR="003657F7" w:rsidRPr="003822F3" w:rsidRDefault="003657F7" w:rsidP="003657F7">
            <w:r w:rsidRPr="003822F3">
              <w:lastRenderedPageBreak/>
              <w:t>There is no consensus</w:t>
            </w:r>
            <w:r>
              <w:t xml:space="preserve"> to</w:t>
            </w:r>
            <w:r w:rsidRPr="003822F3">
              <w:t> </w:t>
            </w:r>
            <w:r>
              <w:t xml:space="preserve">introduce additional mechanism </w:t>
            </w:r>
            <w:r w:rsidRPr="003822F3">
              <w:t xml:space="preserve">to </w:t>
            </w:r>
            <w:r>
              <w:t>support</w:t>
            </w:r>
            <w:r w:rsidRPr="003822F3">
              <w:t xml:space="preserve"> the following procedures prior to</w:t>
            </w:r>
            <w:r>
              <w:t xml:space="preserve"> and joint</w:t>
            </w:r>
            <w:r w:rsidRPr="003822F3">
              <w:t xml:space="preserve"> </w:t>
            </w:r>
            <w:r>
              <w:t xml:space="preserve">with </w:t>
            </w:r>
            <w:r w:rsidRPr="003822F3">
              <w:t>the reception of L1/L2 cell switch command aiming at the reduction of handover delay/interruption in Rel-18 LTM</w:t>
            </w:r>
          </w:p>
          <w:p w14:paraId="7ADA490A" w14:textId="77777777" w:rsidR="003657F7" w:rsidRDefault="003657F7" w:rsidP="003657F7">
            <w:r w:rsidRPr="003822F3">
              <w:t xml:space="preserve">-        TRS tracking for candidate cells </w:t>
            </w:r>
          </w:p>
          <w:p w14:paraId="23310031" w14:textId="77777777" w:rsidR="003657F7" w:rsidRDefault="003657F7" w:rsidP="003657F7">
            <w:r w:rsidRPr="00FE4CCE">
              <w:t>FFS: </w:t>
            </w:r>
            <w:r>
              <w:t>Whether/</w:t>
            </w:r>
            <w:r w:rsidRPr="00FE4CCE">
              <w:t>How the QCL reference information of TCI states of the candidate cell should be mapped to the source SSB</w:t>
            </w:r>
          </w:p>
          <w:p w14:paraId="29E11F82" w14:textId="77777777" w:rsidR="003657F7" w:rsidRPr="00FE4CCE" w:rsidRDefault="003657F7" w:rsidP="003657F7">
            <w:r w:rsidRPr="00FE4CCE">
              <w:t xml:space="preserve">Note: At least for the candidate cells which are current serving cells, TRS tracking prior to cell switch command </w:t>
            </w:r>
            <w:r>
              <w:t>is</w:t>
            </w:r>
            <w:r w:rsidRPr="00FE4CCE">
              <w:t xml:space="preserve"> supported</w:t>
            </w:r>
          </w:p>
          <w:p w14:paraId="50907BE6" w14:textId="77777777" w:rsidR="003657F7" w:rsidRDefault="003657F7" w:rsidP="00A415E1"/>
        </w:tc>
      </w:tr>
    </w:tbl>
    <w:p w14:paraId="6021FDAD" w14:textId="2D3DD242" w:rsidR="00F90491" w:rsidRDefault="003657F7" w:rsidP="00A415E1">
      <w:r>
        <w:lastRenderedPageBreak/>
        <w:t xml:space="preserve"> </w:t>
      </w:r>
      <w:r w:rsidR="00F115DB">
        <w:t xml:space="preserve">Consequently, additional delay might </w:t>
      </w:r>
      <w:r w:rsidR="00884582">
        <w:t>be included</w:t>
      </w:r>
      <w:r w:rsidR="00F115DB">
        <w:t xml:space="preserve"> </w:t>
      </w:r>
      <w:r w:rsidR="005D17F9">
        <w:t xml:space="preserve">to the cell switch procedure </w:t>
      </w:r>
      <w:r w:rsidR="00F115DB">
        <w:t xml:space="preserve">depending on RAN4 </w:t>
      </w:r>
      <w:r w:rsidR="005D17F9">
        <w:t>discussion</w:t>
      </w:r>
      <w:r w:rsidR="00F115DB">
        <w:t>.</w:t>
      </w:r>
      <w:r w:rsidR="005D17F9">
        <w:t xml:space="preserve"> </w:t>
      </w:r>
    </w:p>
    <w:p w14:paraId="5AADB8D4" w14:textId="5400FD14" w:rsidR="00BD56D7" w:rsidRDefault="00BD56D7" w:rsidP="00A415E1"/>
    <w:p w14:paraId="44F9D177" w14:textId="6FABACA3" w:rsidR="00884582" w:rsidRDefault="00884582" w:rsidP="00A415E1">
      <w:r>
        <w:t xml:space="preserve">Regardless which </w:t>
      </w:r>
      <w:r w:rsidR="00FF0739">
        <w:t xml:space="preserve">type of </w:t>
      </w:r>
      <w:r>
        <w:t xml:space="preserve">RS, SSB or TRS, </w:t>
      </w:r>
      <w:r w:rsidR="007605FD">
        <w:t>can be</w:t>
      </w:r>
      <w:r>
        <w:t xml:space="preserve"> </w:t>
      </w:r>
      <w:r w:rsidR="00703A98">
        <w:t xml:space="preserve">the </w:t>
      </w:r>
      <w:r w:rsidR="00CB25A6">
        <w:t xml:space="preserve">QCL source of </w:t>
      </w:r>
      <w:r>
        <w:t xml:space="preserve">the TCI state indicated in the cell switch command, activation of a TCI state associated </w:t>
      </w:r>
      <w:r w:rsidR="007605FD">
        <w:t xml:space="preserve">with candidate cell SSB </w:t>
      </w:r>
      <w:r w:rsidR="00CB25A6">
        <w:t>before cell switch command reception</w:t>
      </w:r>
      <w:r w:rsidR="00CB25A6">
        <w:t xml:space="preserve"> </w:t>
      </w:r>
      <w:r w:rsidR="007605FD">
        <w:t xml:space="preserve">should be supported to </w:t>
      </w:r>
      <w:r w:rsidR="00046B73">
        <w:t xml:space="preserve">achieve </w:t>
      </w:r>
      <w:r w:rsidR="00802351">
        <w:t>DL synchronization</w:t>
      </w:r>
      <w:r w:rsidR="007605FD">
        <w:t xml:space="preserve">. </w:t>
      </w:r>
      <w:r w:rsidR="00CB25A6">
        <w:t>Further,</w:t>
      </w:r>
      <w:r w:rsidR="00CB25A6" w:rsidRPr="00CB25A6">
        <w:t xml:space="preserve"> </w:t>
      </w:r>
      <w:r w:rsidR="00CB25A6">
        <w:t xml:space="preserve">it can also have latency reduction benefit when the activated TCI state is </w:t>
      </w:r>
      <w:proofErr w:type="spellStart"/>
      <w:r w:rsidR="00CB25A6">
        <w:t>QCLed</w:t>
      </w:r>
      <w:proofErr w:type="spellEnd"/>
      <w:r w:rsidR="00CB25A6">
        <w:t xml:space="preserve"> with the indicated TCI state in the cell switch command</w:t>
      </w:r>
      <w:r w:rsidR="00CB25A6">
        <w:t xml:space="preserve">. </w:t>
      </w:r>
      <w:r w:rsidR="007605FD">
        <w:t xml:space="preserve">Note that activation of a TCI state associated with candidate cell TRS </w:t>
      </w:r>
      <w:r w:rsidR="00FF0739">
        <w:t xml:space="preserve">to achieve DL sync </w:t>
      </w:r>
      <w:r w:rsidR="007605FD">
        <w:t xml:space="preserve">before cell switch command reception is not feasible since the configuration of candidate cell TRS </w:t>
      </w:r>
      <w:r w:rsidR="00802351">
        <w:t>is not assumed to be assessable before cell switch.</w:t>
      </w:r>
      <w:r w:rsidR="007605FD">
        <w:t xml:space="preserve"> </w:t>
      </w:r>
    </w:p>
    <w:p w14:paraId="1A270B54" w14:textId="24675DF8" w:rsidR="00BD56D7" w:rsidRDefault="00BD56D7" w:rsidP="00A415E1"/>
    <w:p w14:paraId="39FC2067" w14:textId="2DABFF58" w:rsidR="00046B73" w:rsidRPr="00E02AA1" w:rsidRDefault="00046B73" w:rsidP="007721E6">
      <w:pPr>
        <w:pStyle w:val="Caption"/>
        <w:rPr>
          <w:rFonts w:ascii="Calibri" w:hAnsi="Calibri" w:cs="Calibri"/>
          <w:sz w:val="22"/>
          <w:szCs w:val="22"/>
        </w:rPr>
      </w:pPr>
      <w:bookmarkStart w:id="9" w:name="_Ref142634957"/>
      <w:r>
        <w:t xml:space="preserve">Proposal </w:t>
      </w:r>
      <w:r>
        <w:fldChar w:fldCharType="begin"/>
      </w:r>
      <w:r>
        <w:instrText xml:space="preserve"> SEQ Proposal \* ARABIC </w:instrText>
      </w:r>
      <w:r>
        <w:fldChar w:fldCharType="separate"/>
      </w:r>
      <w:r w:rsidR="00982AEA">
        <w:rPr>
          <w:noProof/>
        </w:rPr>
        <w:t>7</w:t>
      </w:r>
      <w:r>
        <w:rPr>
          <w:noProof/>
        </w:rPr>
        <w:fldChar w:fldCharType="end"/>
      </w:r>
      <w:r>
        <w:t>:</w:t>
      </w:r>
      <w:r w:rsidRPr="00DF74F3">
        <w:t xml:space="preserve"> </w:t>
      </w:r>
      <w:r w:rsidRPr="00E02AA1">
        <w:rPr>
          <w:rFonts w:hint="eastAsia"/>
          <w:bCs w:val="0"/>
        </w:rPr>
        <w:t xml:space="preserve">For the Rel-17 unified TCI based beam indication in Rel-18 LTM, </w:t>
      </w:r>
      <w:r>
        <w:rPr>
          <w:bCs w:val="0"/>
        </w:rPr>
        <w:t>a</w:t>
      </w:r>
      <w:r>
        <w:t xml:space="preserve">ctivation of a </w:t>
      </w:r>
      <w:r w:rsidRPr="00B01B76">
        <w:rPr>
          <w:rFonts w:hint="eastAsia"/>
        </w:rPr>
        <w:t xml:space="preserve">TCI state </w:t>
      </w:r>
      <w:r>
        <w:t xml:space="preserve">associated with a </w:t>
      </w:r>
      <w:r w:rsidRPr="00B01B76">
        <w:t>candidate</w:t>
      </w:r>
      <w:r w:rsidRPr="00B01B76">
        <w:rPr>
          <w:rFonts w:hint="eastAsia"/>
        </w:rPr>
        <w:t xml:space="preserve"> cell </w:t>
      </w:r>
      <w:r>
        <w:t xml:space="preserve">SSB </w:t>
      </w:r>
      <w:r w:rsidRPr="00B01B76">
        <w:rPr>
          <w:rFonts w:hint="eastAsia"/>
        </w:rPr>
        <w:t xml:space="preserve">before the reception of </w:t>
      </w:r>
      <w:r>
        <w:t>cell switch command is supported.</w:t>
      </w:r>
      <w:bookmarkEnd w:id="9"/>
      <w:r>
        <w:t xml:space="preserve"> </w:t>
      </w:r>
    </w:p>
    <w:p w14:paraId="2C8CBFBF" w14:textId="2EA4D542" w:rsidR="00046B73" w:rsidRDefault="00046B73" w:rsidP="00A415E1"/>
    <w:p w14:paraId="04961AC6" w14:textId="77777777" w:rsidR="00046B73" w:rsidRDefault="00046B73" w:rsidP="00A415E1"/>
    <w:p w14:paraId="6DD253A9" w14:textId="2AC8649D" w:rsidR="00BD56D7" w:rsidRDefault="00BD56D7" w:rsidP="00BD56D7">
      <w:pPr>
        <w:pStyle w:val="Caption"/>
        <w:rPr>
          <w:rStyle w:val="ui-provider"/>
        </w:rPr>
      </w:pPr>
      <w:bookmarkStart w:id="10" w:name="_Ref134798790"/>
      <w:r>
        <w:t xml:space="preserve">Proposal </w:t>
      </w:r>
      <w:r>
        <w:fldChar w:fldCharType="begin"/>
      </w:r>
      <w:r>
        <w:instrText xml:space="preserve"> SEQ Proposal \* ARABIC </w:instrText>
      </w:r>
      <w:r>
        <w:fldChar w:fldCharType="separate"/>
      </w:r>
      <w:r w:rsidR="00982AEA">
        <w:rPr>
          <w:noProof/>
        </w:rPr>
        <w:t>8</w:t>
      </w:r>
      <w:r>
        <w:rPr>
          <w:noProof/>
        </w:rPr>
        <w:fldChar w:fldCharType="end"/>
      </w:r>
      <w:r>
        <w:t>:</w:t>
      </w:r>
      <w:r w:rsidRPr="00DF74F3">
        <w:t xml:space="preserve"> </w:t>
      </w:r>
      <w:r w:rsidRPr="00B01B76">
        <w:rPr>
          <w:rFonts w:hint="eastAsia"/>
          <w:bCs w:val="0"/>
        </w:rPr>
        <w:t xml:space="preserve">For the Rel-17 unified TCI based beam indication in Rel-18 LTM, </w:t>
      </w:r>
      <w:r>
        <w:rPr>
          <w:bCs w:val="0"/>
        </w:rPr>
        <w:t>a</w:t>
      </w:r>
      <w:r>
        <w:rPr>
          <w:rStyle w:val="ui-provider"/>
        </w:rPr>
        <w:t xml:space="preserve"> joint/DL/UL TCI state is indicated in the cell switch command, </w:t>
      </w:r>
      <w:r w:rsidR="00574EAF">
        <w:rPr>
          <w:rStyle w:val="ui-provider"/>
        </w:rPr>
        <w:t>the QCL source of</w:t>
      </w:r>
      <w:r>
        <w:rPr>
          <w:rStyle w:val="ui-provider"/>
        </w:rPr>
        <w:t xml:space="preserve"> the indicated joint/DL/UL TCI </w:t>
      </w:r>
      <w:r w:rsidR="007444B1">
        <w:rPr>
          <w:rStyle w:val="ui-provider"/>
        </w:rPr>
        <w:t>s</w:t>
      </w:r>
      <w:r>
        <w:rPr>
          <w:rStyle w:val="ui-provider"/>
        </w:rPr>
        <w:t xml:space="preserve">tate in the cell switch command </w:t>
      </w:r>
      <w:r w:rsidR="00574EAF">
        <w:rPr>
          <w:rStyle w:val="ui-provider"/>
        </w:rPr>
        <w:t>can be</w:t>
      </w:r>
      <w:r>
        <w:rPr>
          <w:rStyle w:val="ui-provider"/>
        </w:rPr>
        <w:t xml:space="preserve"> </w:t>
      </w:r>
      <w:bookmarkEnd w:id="10"/>
    </w:p>
    <w:p w14:paraId="3EC3413C" w14:textId="77777777" w:rsidR="00574EAF" w:rsidRPr="00711A44" w:rsidRDefault="00574EAF" w:rsidP="00E02AA1">
      <w:pPr>
        <w:pStyle w:val="Caption"/>
        <w:numPr>
          <w:ilvl w:val="0"/>
          <w:numId w:val="22"/>
        </w:numPr>
        <w:rPr>
          <w:rStyle w:val="ui-provider"/>
          <w:bCs w:val="0"/>
        </w:rPr>
      </w:pPr>
      <w:bookmarkStart w:id="11" w:name="_Hlk142404525"/>
      <w:r>
        <w:rPr>
          <w:rStyle w:val="ui-provider"/>
        </w:rPr>
        <w:t xml:space="preserve">Alt1: an SSB index </w:t>
      </w:r>
    </w:p>
    <w:p w14:paraId="3216E89D" w14:textId="52266173" w:rsidR="00BD56D7" w:rsidRPr="00B01B76" w:rsidRDefault="00574EAF" w:rsidP="00E02AA1">
      <w:pPr>
        <w:pStyle w:val="Caption"/>
        <w:numPr>
          <w:ilvl w:val="0"/>
          <w:numId w:val="22"/>
        </w:numPr>
        <w:rPr>
          <w:bCs w:val="0"/>
        </w:rPr>
      </w:pPr>
      <w:r>
        <w:rPr>
          <w:rStyle w:val="ui-provider"/>
        </w:rPr>
        <w:t xml:space="preserve">Alt2: a TRS index </w:t>
      </w:r>
      <w:bookmarkEnd w:id="11"/>
    </w:p>
    <w:p w14:paraId="7C528C99" w14:textId="77777777" w:rsidR="00794A6A" w:rsidRPr="00561DA8" w:rsidRDefault="00794A6A" w:rsidP="00926617">
      <w:pPr>
        <w:rPr>
          <w:u w:val="single"/>
        </w:rPr>
      </w:pPr>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4DC60DD2" w:rsidR="001B6935" w:rsidRDefault="00372849" w:rsidP="00FD3E20">
      <w:pPr>
        <w:spacing w:afterLines="50" w:after="120"/>
        <w:rPr>
          <w:b/>
          <w:bCs/>
        </w:rPr>
      </w:pPr>
      <w:r w:rsidRPr="00D528A5">
        <w:rPr>
          <w:b/>
          <w:bCs/>
        </w:rPr>
        <w:t>In summary, we have the following proposals.</w:t>
      </w:r>
    </w:p>
    <w:p w14:paraId="33673B57" w14:textId="77777777" w:rsidR="008F428F" w:rsidRPr="0079105B" w:rsidRDefault="008F428F" w:rsidP="00FD3E20">
      <w:pPr>
        <w:spacing w:afterLines="50" w:after="120"/>
        <w:rPr>
          <w:b/>
          <w:bCs/>
        </w:rPr>
      </w:pPr>
    </w:p>
    <w:p w14:paraId="508BCDF3" w14:textId="61EB35AC" w:rsidR="0079105B" w:rsidRPr="006466E6" w:rsidRDefault="008F428F" w:rsidP="00FD3E20">
      <w:pPr>
        <w:spacing w:afterLines="50" w:after="120"/>
        <w:rPr>
          <w:b/>
          <w:bCs/>
        </w:rPr>
      </w:pPr>
      <w:r w:rsidRPr="00E02AA1">
        <w:rPr>
          <w:b/>
          <w:bCs/>
        </w:rPr>
        <w:fldChar w:fldCharType="begin"/>
      </w:r>
      <w:r w:rsidRPr="00E02AA1">
        <w:rPr>
          <w:b/>
          <w:bCs/>
        </w:rPr>
        <w:instrText xml:space="preserve"> REF _Ref134795818 \h </w:instrText>
      </w:r>
      <w:r w:rsidR="002518D2" w:rsidRPr="00E02AA1">
        <w:rPr>
          <w:b/>
          <w:bCs/>
        </w:rPr>
        <w:instrText xml:space="preserve"> \* MERGEFORMAT </w:instrText>
      </w:r>
      <w:r w:rsidRPr="00E02AA1">
        <w:rPr>
          <w:b/>
          <w:bCs/>
        </w:rPr>
      </w:r>
      <w:r w:rsidRPr="00E02AA1">
        <w:rPr>
          <w:b/>
          <w:bCs/>
        </w:rPr>
        <w:fldChar w:fldCharType="separate"/>
      </w:r>
      <w:r w:rsidR="00982AEA" w:rsidRPr="00982AEA">
        <w:rPr>
          <w:b/>
          <w:bCs/>
        </w:rPr>
        <w:t xml:space="preserve">Proposal </w:t>
      </w:r>
      <w:r w:rsidR="00982AEA" w:rsidRPr="00982AEA">
        <w:rPr>
          <w:b/>
          <w:bCs/>
          <w:noProof/>
        </w:rPr>
        <w:t>1</w:t>
      </w:r>
      <w:r w:rsidR="00982AEA" w:rsidRPr="00982AEA">
        <w:rPr>
          <w:b/>
          <w:bCs/>
        </w:rPr>
        <w:t>: For Rel-18 L1/L2 mobility, the detailed design of RRC structure for TCI state is up to RAN2.</w:t>
      </w:r>
      <w:r w:rsidRPr="00E02AA1">
        <w:rPr>
          <w:b/>
          <w:bCs/>
        </w:rPr>
        <w:fldChar w:fldCharType="end"/>
      </w:r>
      <w:r w:rsidR="00982AEA" w:rsidRPr="006466E6">
        <w:rPr>
          <w:b/>
          <w:bCs/>
        </w:rPr>
        <w:t xml:space="preserve"> </w:t>
      </w:r>
    </w:p>
    <w:p w14:paraId="34E98587" w14:textId="77777777" w:rsidR="0079105B" w:rsidRPr="006466E6" w:rsidRDefault="0079105B" w:rsidP="00FD3E20">
      <w:pPr>
        <w:spacing w:afterLines="50" w:after="120"/>
        <w:rPr>
          <w:b/>
          <w:bCs/>
        </w:rPr>
      </w:pPr>
    </w:p>
    <w:p w14:paraId="68489783" w14:textId="4BF98DAC"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_Ref127308614 \h </w:instrText>
      </w:r>
      <w:r w:rsidR="006466E6" w:rsidRPr="00561DA8">
        <w:rPr>
          <w:b/>
          <w:bCs/>
        </w:rPr>
        <w:instrText xml:space="preserve"> \* MERGEFORMAT </w:instrText>
      </w:r>
      <w:r w:rsidRPr="00BA4F87">
        <w:rPr>
          <w:b/>
          <w:bCs/>
        </w:rPr>
      </w:r>
      <w:r w:rsidRPr="00BA4F87">
        <w:rPr>
          <w:b/>
          <w:bCs/>
        </w:rPr>
        <w:fldChar w:fldCharType="separate"/>
      </w:r>
      <w:r w:rsidR="00982AEA" w:rsidRPr="00982AEA">
        <w:rPr>
          <w:b/>
          <w:bCs/>
        </w:rPr>
        <w:t xml:space="preserve">Proposal </w:t>
      </w:r>
      <w:r w:rsidR="00982AEA" w:rsidRPr="00982AEA">
        <w:rPr>
          <w:b/>
          <w:bCs/>
          <w:noProof/>
        </w:rPr>
        <w:t>2</w:t>
      </w:r>
      <w:r w:rsidR="00982AEA" w:rsidRPr="00982AEA">
        <w:rPr>
          <w:b/>
          <w:bCs/>
        </w:rPr>
        <w:t>: For Rel-18 L1/L2 mobility, L1-SINR is not supported for intra and inter-frequency candidate cell measurement.</w:t>
      </w:r>
      <w:r w:rsidRPr="00BA4F87">
        <w:rPr>
          <w:b/>
          <w:bCs/>
        </w:rPr>
        <w:fldChar w:fldCharType="end"/>
      </w:r>
    </w:p>
    <w:p w14:paraId="6EF52E76" w14:textId="77777777" w:rsidR="0079105B" w:rsidRPr="006466E6" w:rsidRDefault="0079105B" w:rsidP="00FD3E20">
      <w:pPr>
        <w:spacing w:afterLines="50" w:after="120"/>
        <w:rPr>
          <w:b/>
          <w:bCs/>
        </w:rPr>
      </w:pPr>
    </w:p>
    <w:p w14:paraId="7E86CFDD" w14:textId="0B81ECD0" w:rsidR="0079105B" w:rsidRDefault="0079105B" w:rsidP="00FD3E20">
      <w:pPr>
        <w:spacing w:afterLines="50" w:after="120"/>
        <w:rPr>
          <w:b/>
          <w:bCs/>
        </w:rPr>
      </w:pPr>
      <w:r w:rsidRPr="00BA4F87">
        <w:rPr>
          <w:b/>
          <w:bCs/>
        </w:rPr>
        <w:fldChar w:fldCharType="begin"/>
      </w:r>
      <w:r w:rsidRPr="006466E6">
        <w:rPr>
          <w:b/>
          <w:bCs/>
        </w:rPr>
        <w:instrText xml:space="preserve"> REF _Ref127308619 \h </w:instrText>
      </w:r>
      <w:r w:rsidR="006466E6" w:rsidRPr="00561DA8">
        <w:rPr>
          <w:b/>
          <w:bCs/>
        </w:rPr>
        <w:instrText xml:space="preserve"> \* MERGEFORMAT </w:instrText>
      </w:r>
      <w:r w:rsidRPr="00BA4F87">
        <w:rPr>
          <w:b/>
          <w:bCs/>
        </w:rPr>
      </w:r>
      <w:r w:rsidRPr="00BA4F87">
        <w:rPr>
          <w:b/>
          <w:bCs/>
        </w:rPr>
        <w:fldChar w:fldCharType="separate"/>
      </w:r>
      <w:r w:rsidR="00982AEA" w:rsidRPr="00982AEA">
        <w:rPr>
          <w:b/>
          <w:bCs/>
        </w:rPr>
        <w:t xml:space="preserve">Proposal </w:t>
      </w:r>
      <w:r w:rsidR="00982AEA" w:rsidRPr="00982AEA">
        <w:rPr>
          <w:b/>
          <w:bCs/>
          <w:noProof/>
        </w:rPr>
        <w:t>3</w:t>
      </w:r>
      <w:r w:rsidR="00982AEA" w:rsidRPr="00982AEA">
        <w:rPr>
          <w:b/>
          <w:bCs/>
        </w:rPr>
        <w:t>: For Rel-18 L1/L2 mobility, UE-based filtering to L1 measurement results is not supported.</w:t>
      </w:r>
      <w:r w:rsidRPr="00BA4F87">
        <w:rPr>
          <w:b/>
          <w:bCs/>
        </w:rPr>
        <w:fldChar w:fldCharType="end"/>
      </w:r>
    </w:p>
    <w:p w14:paraId="614B7299" w14:textId="26784D99" w:rsidR="008F428F" w:rsidRDefault="008F428F" w:rsidP="00FD3E20">
      <w:pPr>
        <w:spacing w:afterLines="50" w:after="120"/>
        <w:rPr>
          <w:b/>
          <w:bCs/>
        </w:rPr>
      </w:pPr>
    </w:p>
    <w:p w14:paraId="473D8239" w14:textId="73DB386E" w:rsidR="008F428F" w:rsidRDefault="008F428F" w:rsidP="00FD3E20">
      <w:pPr>
        <w:spacing w:afterLines="50" w:after="120"/>
        <w:rPr>
          <w:b/>
          <w:bCs/>
        </w:rPr>
      </w:pPr>
      <w:r>
        <w:rPr>
          <w:b/>
          <w:bCs/>
        </w:rPr>
        <w:fldChar w:fldCharType="begin"/>
      </w:r>
      <w:r>
        <w:rPr>
          <w:b/>
          <w:bCs/>
        </w:rPr>
        <w:instrText xml:space="preserve"> REF _Ref134795854 \h </w:instrText>
      </w:r>
      <w:r>
        <w:rPr>
          <w:b/>
          <w:bCs/>
        </w:rPr>
      </w:r>
      <w:r>
        <w:rPr>
          <w:b/>
          <w:bCs/>
        </w:rPr>
        <w:fldChar w:fldCharType="separate"/>
      </w:r>
      <w:r w:rsidR="00982AEA" w:rsidRPr="00E02AA1">
        <w:rPr>
          <w:b/>
          <w:bCs/>
        </w:rPr>
        <w:t xml:space="preserve">Proposal </w:t>
      </w:r>
      <w:r w:rsidR="00982AEA">
        <w:rPr>
          <w:b/>
          <w:bCs/>
          <w:noProof/>
        </w:rPr>
        <w:t>4</w:t>
      </w:r>
      <w:r w:rsidR="00982AEA" w:rsidRPr="00E02AA1">
        <w:rPr>
          <w:b/>
          <w:bCs/>
        </w:rPr>
        <w:t>: For Rel-18 L1/L2</w:t>
      </w:r>
      <w:r w:rsidR="00982AEA" w:rsidRPr="0099715E">
        <w:t xml:space="preserve"> </w:t>
      </w:r>
      <w:r w:rsidR="00982AEA" w:rsidRPr="00E02AA1">
        <w:rPr>
          <w:b/>
          <w:bCs/>
        </w:rPr>
        <w:t xml:space="preserve">mobility beam selection in an SSB based L1-RSRP measurement report, </w:t>
      </w:r>
      <w:r w:rsidR="00982AEA">
        <w:rPr>
          <w:b/>
          <w:bCs/>
        </w:rPr>
        <w:t xml:space="preserve">maximum values of </w:t>
      </w:r>
      <w:r w:rsidR="00982AEA" w:rsidRPr="00E02AA1">
        <w:rPr>
          <w:b/>
          <w:bCs/>
        </w:rPr>
        <w:t>M x L=1, 2, 3</w:t>
      </w:r>
      <w:r w:rsidR="00982AEA">
        <w:rPr>
          <w:b/>
          <w:bCs/>
        </w:rPr>
        <w:t>, 4</w:t>
      </w:r>
      <w:r w:rsidR="00982AEA" w:rsidRPr="00E02AA1">
        <w:rPr>
          <w:b/>
          <w:bCs/>
        </w:rPr>
        <w:t xml:space="preserve"> are supported as UE capability</w:t>
      </w:r>
      <w:r>
        <w:rPr>
          <w:b/>
          <w:bCs/>
        </w:rPr>
        <w:fldChar w:fldCharType="end"/>
      </w:r>
    </w:p>
    <w:p w14:paraId="7E3AA62D" w14:textId="4DF06100" w:rsidR="008F428F" w:rsidRDefault="008F428F" w:rsidP="00FD3E20">
      <w:pPr>
        <w:spacing w:afterLines="50" w:after="120"/>
        <w:rPr>
          <w:b/>
          <w:bCs/>
        </w:rPr>
      </w:pPr>
    </w:p>
    <w:p w14:paraId="19C60CE0" w14:textId="1EE39013" w:rsidR="008F428F" w:rsidRPr="00B1156A" w:rsidRDefault="008F428F" w:rsidP="00FD3E20">
      <w:pPr>
        <w:spacing w:afterLines="50" w:after="120"/>
        <w:rPr>
          <w:b/>
          <w:bCs/>
        </w:rPr>
      </w:pPr>
      <w:r w:rsidRPr="00E02AA1">
        <w:rPr>
          <w:b/>
          <w:bCs/>
        </w:rPr>
        <w:fldChar w:fldCharType="begin"/>
      </w:r>
      <w:r w:rsidRPr="00E02AA1">
        <w:rPr>
          <w:b/>
          <w:bCs/>
        </w:rPr>
        <w:instrText xml:space="preserve"> REF _Ref127308624 \h  \* MERGEFORMAT </w:instrText>
      </w:r>
      <w:r w:rsidRPr="00E02AA1">
        <w:rPr>
          <w:b/>
          <w:bCs/>
        </w:rPr>
      </w:r>
      <w:r w:rsidRPr="00E02AA1">
        <w:rPr>
          <w:b/>
          <w:bCs/>
        </w:rPr>
        <w:fldChar w:fldCharType="separate"/>
      </w:r>
      <w:r w:rsidR="00982AEA" w:rsidRPr="00982AEA">
        <w:rPr>
          <w:b/>
          <w:bCs/>
        </w:rPr>
        <w:t xml:space="preserve">Proposal </w:t>
      </w:r>
      <w:r w:rsidR="00982AEA" w:rsidRPr="00982AEA">
        <w:rPr>
          <w:b/>
          <w:bCs/>
          <w:noProof/>
        </w:rPr>
        <w:t>5</w:t>
      </w:r>
      <w:r w:rsidR="00982AEA" w:rsidRPr="00982AEA">
        <w:rPr>
          <w:b/>
          <w:bCs/>
        </w:rPr>
        <w:t>: For Rel-18 L1/L2 mobility, Scenario 1 (beam indication before cell switch command) is not supported.</w:t>
      </w:r>
      <w:r w:rsidRPr="00E02AA1">
        <w:rPr>
          <w:b/>
          <w:bCs/>
        </w:rPr>
        <w:fldChar w:fldCharType="end"/>
      </w:r>
    </w:p>
    <w:p w14:paraId="63205D31" w14:textId="6BA40128" w:rsidR="008F428F" w:rsidRDefault="008F428F" w:rsidP="00FD3E20">
      <w:pPr>
        <w:spacing w:afterLines="50" w:after="120"/>
        <w:rPr>
          <w:b/>
          <w:bCs/>
        </w:rPr>
      </w:pPr>
    </w:p>
    <w:p w14:paraId="236D353F" w14:textId="0E3A7EB6" w:rsidR="0079105B" w:rsidRPr="006466E6" w:rsidRDefault="008F428F" w:rsidP="00FD3E20">
      <w:pPr>
        <w:spacing w:afterLines="50" w:after="120"/>
        <w:rPr>
          <w:b/>
          <w:bCs/>
        </w:rPr>
      </w:pPr>
      <w:r>
        <w:rPr>
          <w:b/>
          <w:bCs/>
        </w:rPr>
        <w:fldChar w:fldCharType="begin"/>
      </w:r>
      <w:r>
        <w:rPr>
          <w:b/>
          <w:bCs/>
        </w:rPr>
        <w:instrText xml:space="preserve"> REF _Ref134795888 \h  \* MERGEFORMAT </w:instrText>
      </w:r>
      <w:r>
        <w:rPr>
          <w:b/>
          <w:bCs/>
        </w:rPr>
      </w:r>
      <w:r>
        <w:rPr>
          <w:b/>
          <w:bCs/>
        </w:rPr>
        <w:fldChar w:fldCharType="separate"/>
      </w:r>
      <w:r w:rsidR="00982AEA" w:rsidRPr="00982AEA">
        <w:rPr>
          <w:b/>
          <w:bCs/>
        </w:rPr>
        <w:t xml:space="preserve">Proposal </w:t>
      </w:r>
      <w:r w:rsidR="00982AEA" w:rsidRPr="00982AEA">
        <w:rPr>
          <w:b/>
          <w:bCs/>
          <w:noProof/>
        </w:rPr>
        <w:t>6</w:t>
      </w:r>
      <w:r w:rsidR="00982AEA">
        <w:t>:</w:t>
      </w:r>
      <w:r w:rsidR="00982AEA" w:rsidRPr="00DF74F3">
        <w:t xml:space="preserve"> </w:t>
      </w:r>
      <w:r w:rsidR="00982AEA" w:rsidRPr="00982AEA">
        <w:rPr>
          <w:rFonts w:hint="eastAsia"/>
          <w:b/>
          <w:bCs/>
        </w:rPr>
        <w:t xml:space="preserve">For the Rel-17 unified TCI based beam indication in Rel-18 LTM, </w:t>
      </w:r>
      <w:r w:rsidR="00982AEA" w:rsidRPr="00982AEA">
        <w:rPr>
          <w:b/>
        </w:rPr>
        <w:t xml:space="preserve">clarify the agreed </w:t>
      </w:r>
      <w:r w:rsidR="00982AEA" w:rsidRPr="00982AEA">
        <w:rPr>
          <w:rFonts w:hint="eastAsia"/>
          <w:b/>
          <w:bCs/>
        </w:rPr>
        <w:t xml:space="preserve">Alt </w:t>
      </w:r>
      <w:r w:rsidR="00982AEA" w:rsidRPr="00982AEA">
        <w:rPr>
          <w:b/>
        </w:rPr>
        <w:t xml:space="preserve">1 </w:t>
      </w:r>
      <w:r w:rsidR="00982AEA" w:rsidRPr="00982AEA">
        <w:rPr>
          <w:b/>
          <w:bCs/>
        </w:rPr>
        <w:t>as:</w:t>
      </w:r>
      <w:r>
        <w:rPr>
          <w:b/>
          <w:bCs/>
        </w:rPr>
        <w:fldChar w:fldCharType="end"/>
      </w:r>
    </w:p>
    <w:p w14:paraId="1CAF4614" w14:textId="77777777" w:rsidR="008F428F" w:rsidRPr="00B01B76" w:rsidRDefault="008F428F" w:rsidP="008F428F">
      <w:pPr>
        <w:numPr>
          <w:ilvl w:val="0"/>
          <w:numId w:val="21"/>
        </w:numPr>
        <w:snapToGrid w:val="0"/>
        <w:jc w:val="both"/>
        <w:rPr>
          <w:rFonts w:ascii="Calibri" w:hAnsi="Calibri" w:cs="Calibri"/>
          <w:b/>
          <w:bCs/>
          <w:sz w:val="22"/>
          <w:szCs w:val="22"/>
        </w:rPr>
      </w:pPr>
      <w:r w:rsidRPr="00B01B76">
        <w:rPr>
          <w:rFonts w:hint="eastAsia"/>
          <w:b/>
          <w:bCs/>
        </w:rPr>
        <w:t xml:space="preserve">Alt 1: </w:t>
      </w:r>
      <w:r>
        <w:rPr>
          <w:b/>
          <w:bCs/>
        </w:rPr>
        <w:t xml:space="preserve">Activation of a </w:t>
      </w:r>
      <w:r w:rsidRPr="00B01B76">
        <w:rPr>
          <w:rFonts w:hint="eastAsia"/>
          <w:b/>
          <w:bCs/>
        </w:rPr>
        <w:t xml:space="preserve">TCI state </w:t>
      </w:r>
      <w:r>
        <w:rPr>
          <w:b/>
          <w:bCs/>
        </w:rPr>
        <w:t xml:space="preserve">associated with a </w:t>
      </w:r>
      <w:r w:rsidRPr="00B01B76">
        <w:rPr>
          <w:b/>
          <w:bCs/>
        </w:rPr>
        <w:t>candidate</w:t>
      </w:r>
      <w:r w:rsidRPr="00B01B76">
        <w:rPr>
          <w:rFonts w:hint="eastAsia"/>
          <w:b/>
          <w:bCs/>
        </w:rPr>
        <w:t xml:space="preserve"> cell is received before the reception of beam indication of the </w:t>
      </w:r>
      <w:r w:rsidRPr="00B01B76">
        <w:rPr>
          <w:b/>
          <w:bCs/>
        </w:rPr>
        <w:t>candidate</w:t>
      </w:r>
      <w:r w:rsidRPr="00B01B76">
        <w:rPr>
          <w:rFonts w:hint="eastAsia"/>
          <w:b/>
          <w:bCs/>
        </w:rPr>
        <w:t xml:space="preserve"> cell, </w:t>
      </w:r>
    </w:p>
    <w:p w14:paraId="714B0726" w14:textId="5A051155" w:rsidR="00982AEA" w:rsidRPr="00982AEA" w:rsidRDefault="008F428F" w:rsidP="00F139FB">
      <w:pPr>
        <w:numPr>
          <w:ilvl w:val="1"/>
          <w:numId w:val="21"/>
        </w:numPr>
        <w:snapToGrid w:val="0"/>
        <w:jc w:val="both"/>
        <w:rPr>
          <w:rFonts w:ascii="Calibri" w:hAnsi="Calibri" w:cs="Calibri"/>
          <w:b/>
          <w:bCs/>
          <w:sz w:val="22"/>
          <w:szCs w:val="22"/>
        </w:rPr>
      </w:pPr>
      <w:r w:rsidRPr="00982AEA">
        <w:rPr>
          <w:b/>
          <w:bCs/>
        </w:rPr>
        <w:t>Whether more than one TCI states from one or more candidate cells can be activated For Rel-18 LTM is determined by RAN2</w:t>
      </w:r>
    </w:p>
    <w:p w14:paraId="5B7E4D29" w14:textId="77777777" w:rsidR="00982AEA" w:rsidRDefault="00982AEA" w:rsidP="00FD3E20">
      <w:pPr>
        <w:spacing w:afterLines="50" w:after="120"/>
        <w:rPr>
          <w:b/>
          <w:bCs/>
        </w:rPr>
      </w:pPr>
    </w:p>
    <w:p w14:paraId="7F2379A2" w14:textId="35F59CF3" w:rsidR="001F590A" w:rsidRPr="00982AEA" w:rsidRDefault="00982AEA" w:rsidP="00FD3E20">
      <w:pPr>
        <w:spacing w:afterLines="50" w:after="120"/>
        <w:rPr>
          <w:b/>
          <w:bCs/>
        </w:rPr>
      </w:pPr>
      <w:r w:rsidRPr="00982AEA">
        <w:rPr>
          <w:b/>
          <w:bCs/>
        </w:rPr>
        <w:fldChar w:fldCharType="begin"/>
      </w:r>
      <w:r w:rsidRPr="00982AEA">
        <w:rPr>
          <w:b/>
          <w:bCs/>
        </w:rPr>
        <w:instrText xml:space="preserve"> REF _Ref142634957 \h </w:instrText>
      </w:r>
      <w:r w:rsidRPr="00982AEA">
        <w:rPr>
          <w:b/>
          <w:bCs/>
        </w:rPr>
      </w:r>
      <w:r w:rsidRPr="00982AEA">
        <w:rPr>
          <w:b/>
          <w:bCs/>
        </w:rPr>
        <w:instrText xml:space="preserve"> \* MERGEFORMAT </w:instrText>
      </w:r>
      <w:r w:rsidRPr="00982AEA">
        <w:rPr>
          <w:b/>
          <w:bCs/>
        </w:rPr>
        <w:fldChar w:fldCharType="separate"/>
      </w:r>
      <w:r w:rsidRPr="00982AEA">
        <w:rPr>
          <w:b/>
          <w:bCs/>
        </w:rPr>
        <w:t xml:space="preserve">Proposal </w:t>
      </w:r>
      <w:r w:rsidRPr="00982AEA">
        <w:rPr>
          <w:b/>
          <w:bCs/>
          <w:noProof/>
        </w:rPr>
        <w:t>7</w:t>
      </w:r>
      <w:r w:rsidRPr="00982AEA">
        <w:rPr>
          <w:b/>
          <w:bCs/>
        </w:rPr>
        <w:t xml:space="preserve">: </w:t>
      </w:r>
      <w:r w:rsidRPr="00982AEA">
        <w:rPr>
          <w:rFonts w:hint="eastAsia"/>
          <w:b/>
          <w:bCs/>
        </w:rPr>
        <w:t xml:space="preserve">For the Rel-17 unified TCI based beam indication in Rel-18 LTM, </w:t>
      </w:r>
      <w:r w:rsidRPr="00982AEA">
        <w:rPr>
          <w:b/>
          <w:bCs/>
        </w:rPr>
        <w:t xml:space="preserve">activation of a </w:t>
      </w:r>
      <w:r w:rsidRPr="00982AEA">
        <w:rPr>
          <w:rFonts w:hint="eastAsia"/>
          <w:b/>
          <w:bCs/>
        </w:rPr>
        <w:t xml:space="preserve">TCI state </w:t>
      </w:r>
      <w:r w:rsidRPr="00982AEA">
        <w:rPr>
          <w:b/>
          <w:bCs/>
        </w:rPr>
        <w:t>associated with a candidate</w:t>
      </w:r>
      <w:r w:rsidRPr="00982AEA">
        <w:rPr>
          <w:rFonts w:hint="eastAsia"/>
          <w:b/>
          <w:bCs/>
        </w:rPr>
        <w:t xml:space="preserve"> cell </w:t>
      </w:r>
      <w:r w:rsidRPr="00982AEA">
        <w:rPr>
          <w:b/>
          <w:bCs/>
        </w:rPr>
        <w:t xml:space="preserve">SSB </w:t>
      </w:r>
      <w:r w:rsidRPr="00982AEA">
        <w:rPr>
          <w:rFonts w:hint="eastAsia"/>
          <w:b/>
          <w:bCs/>
        </w:rPr>
        <w:t xml:space="preserve">before the reception of </w:t>
      </w:r>
      <w:r w:rsidRPr="00982AEA">
        <w:rPr>
          <w:b/>
          <w:bCs/>
        </w:rPr>
        <w:t>cell switch command is supported.</w:t>
      </w:r>
      <w:r w:rsidRPr="00982AEA">
        <w:rPr>
          <w:b/>
          <w:bCs/>
        </w:rPr>
        <w:fldChar w:fldCharType="end"/>
      </w:r>
    </w:p>
    <w:p w14:paraId="445DB541" w14:textId="77777777" w:rsidR="00982AEA" w:rsidRDefault="00982AEA" w:rsidP="00FD3E20">
      <w:pPr>
        <w:spacing w:afterLines="50" w:after="120"/>
        <w:rPr>
          <w:b/>
          <w:bCs/>
        </w:rPr>
      </w:pPr>
    </w:p>
    <w:p w14:paraId="14774718" w14:textId="73DE2699" w:rsidR="002958F9" w:rsidRPr="00E02AA1" w:rsidRDefault="001F590A" w:rsidP="00FD3E20">
      <w:pPr>
        <w:spacing w:afterLines="50" w:after="120"/>
        <w:rPr>
          <w:b/>
          <w:bCs/>
        </w:rPr>
      </w:pPr>
      <w:r w:rsidRPr="00E02AA1">
        <w:rPr>
          <w:b/>
          <w:bCs/>
        </w:rPr>
        <w:fldChar w:fldCharType="begin"/>
      </w:r>
      <w:r w:rsidRPr="00E02AA1">
        <w:rPr>
          <w:b/>
          <w:bCs/>
        </w:rPr>
        <w:instrText xml:space="preserve"> REF _Ref134798790 \h  \* MERGEFORMAT </w:instrText>
      </w:r>
      <w:r w:rsidRPr="00E02AA1">
        <w:rPr>
          <w:b/>
          <w:bCs/>
        </w:rPr>
      </w:r>
      <w:r w:rsidRPr="00E02AA1">
        <w:rPr>
          <w:b/>
          <w:bCs/>
        </w:rPr>
        <w:fldChar w:fldCharType="separate"/>
      </w:r>
      <w:r w:rsidR="00982AEA" w:rsidRPr="00982AEA">
        <w:rPr>
          <w:b/>
          <w:bCs/>
        </w:rPr>
        <w:t xml:space="preserve">Proposal </w:t>
      </w:r>
      <w:r w:rsidR="00982AEA" w:rsidRPr="00982AEA">
        <w:rPr>
          <w:b/>
          <w:bCs/>
          <w:noProof/>
        </w:rPr>
        <w:t>8</w:t>
      </w:r>
      <w:r w:rsidR="00982AEA" w:rsidRPr="00982AEA">
        <w:rPr>
          <w:b/>
          <w:bCs/>
        </w:rPr>
        <w:t xml:space="preserve">: </w:t>
      </w:r>
      <w:r w:rsidR="00982AEA" w:rsidRPr="00982AEA">
        <w:rPr>
          <w:rFonts w:hint="eastAsia"/>
          <w:b/>
          <w:bCs/>
        </w:rPr>
        <w:t xml:space="preserve">For the Rel-17 unified TCI based beam indication in Rel-18 LTM, </w:t>
      </w:r>
      <w:r w:rsidR="00982AEA" w:rsidRPr="00982AEA">
        <w:rPr>
          <w:b/>
          <w:bCs/>
        </w:rPr>
        <w:t>a</w:t>
      </w:r>
      <w:r w:rsidR="00982AEA" w:rsidRPr="00982AEA">
        <w:rPr>
          <w:rStyle w:val="ui-provider"/>
          <w:b/>
          <w:bCs/>
        </w:rPr>
        <w:t xml:space="preserve"> joint/DL/UL TCI state is indicated in the cell switch command, the QCL source of the indicated joint/DL/UL TCI </w:t>
      </w:r>
      <w:r w:rsidR="00982AEA" w:rsidRPr="00982AEA">
        <w:rPr>
          <w:rStyle w:val="ui-provider"/>
          <w:b/>
          <w:bCs/>
        </w:rPr>
        <w:t>s</w:t>
      </w:r>
      <w:r w:rsidR="00982AEA" w:rsidRPr="00982AEA">
        <w:rPr>
          <w:rStyle w:val="ui-provider"/>
          <w:b/>
          <w:bCs/>
        </w:rPr>
        <w:t xml:space="preserve">tate in the cell switch command can be </w:t>
      </w:r>
      <w:r w:rsidRPr="00E02AA1">
        <w:rPr>
          <w:b/>
          <w:bCs/>
        </w:rPr>
        <w:fldChar w:fldCharType="end"/>
      </w:r>
    </w:p>
    <w:p w14:paraId="02EAD831" w14:textId="35BBC1C5" w:rsidR="001A73AC" w:rsidRDefault="001A73AC" w:rsidP="00EA74FB">
      <w:pPr>
        <w:pStyle w:val="Caption"/>
        <w:numPr>
          <w:ilvl w:val="0"/>
          <w:numId w:val="22"/>
        </w:numPr>
        <w:rPr>
          <w:rStyle w:val="ui-provider"/>
        </w:rPr>
      </w:pPr>
      <w:r>
        <w:rPr>
          <w:rStyle w:val="ui-provider"/>
        </w:rPr>
        <w:t xml:space="preserve">Alt1: an SSB index </w:t>
      </w:r>
    </w:p>
    <w:p w14:paraId="7F05780E" w14:textId="4C007037" w:rsidR="001A73AC" w:rsidRPr="007721E6" w:rsidRDefault="001A73AC" w:rsidP="007721E6">
      <w:pPr>
        <w:pStyle w:val="ListParagraph"/>
        <w:numPr>
          <w:ilvl w:val="0"/>
          <w:numId w:val="22"/>
        </w:numPr>
        <w:rPr>
          <w:bCs/>
        </w:rPr>
      </w:pPr>
      <w:r w:rsidRPr="001A73AC">
        <w:rPr>
          <w:b/>
          <w:bCs/>
        </w:rPr>
        <w:t>Alt2: a TRS index</w:t>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6B43FB40" w:rsidR="001243FA" w:rsidRDefault="00AD69D0" w:rsidP="00AD69D0">
      <w:pPr>
        <w:numPr>
          <w:ilvl w:val="0"/>
          <w:numId w:val="6"/>
        </w:numPr>
        <w:spacing w:afterLines="50" w:after="120"/>
      </w:pPr>
      <w:bookmarkStart w:id="12" w:name="_Ref40449526"/>
      <w:bookmarkStart w:id="13" w:name="_Ref528680018"/>
      <w:bookmarkStart w:id="14" w:name="_Ref481596356"/>
      <w:bookmarkStart w:id="15" w:name="_Ref481781528"/>
      <w:bookmarkStart w:id="16"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proofErr w:type="gramStart"/>
      <w:r w:rsidR="00F4110D">
        <w:t>September</w:t>
      </w:r>
      <w:r w:rsidR="003E577B">
        <w:t>,</w:t>
      </w:r>
      <w:proofErr w:type="gramEnd"/>
      <w:r w:rsidR="003E577B">
        <w:t xml:space="preserve"> 202</w:t>
      </w:r>
      <w:bookmarkEnd w:id="12"/>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xml:space="preserve">”, </w:t>
      </w:r>
      <w:proofErr w:type="gramStart"/>
      <w:r w:rsidR="00967DD6">
        <w:t>November,</w:t>
      </w:r>
      <w:proofErr w:type="gramEnd"/>
      <w:r w:rsidR="00967DD6">
        <w:t xml:space="preserve"> 2022</w:t>
      </w:r>
    </w:p>
    <w:bookmarkEnd w:id="1"/>
    <w:bookmarkEnd w:id="13"/>
    <w:bookmarkEnd w:id="14"/>
    <w:bookmarkEnd w:id="15"/>
    <w:bookmarkEnd w:id="16"/>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72ADF" w14:textId="77777777" w:rsidR="00943023" w:rsidRDefault="00943023">
      <w:r>
        <w:separator/>
      </w:r>
    </w:p>
  </w:endnote>
  <w:endnote w:type="continuationSeparator" w:id="0">
    <w:p w14:paraId="4FF23121" w14:textId="77777777" w:rsidR="00943023" w:rsidRDefault="0094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65A9C" w14:textId="77777777" w:rsidR="00943023" w:rsidRDefault="00943023">
      <w:r>
        <w:separator/>
      </w:r>
    </w:p>
  </w:footnote>
  <w:footnote w:type="continuationSeparator" w:id="0">
    <w:p w14:paraId="72CF7D28" w14:textId="77777777" w:rsidR="00943023" w:rsidRDefault="00943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2C2003"/>
    <w:multiLevelType w:val="hybridMultilevel"/>
    <w:tmpl w:val="3FE8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DEB6AAB"/>
    <w:multiLevelType w:val="hybridMultilevel"/>
    <w:tmpl w:val="1FB6F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5"/>
  </w:num>
  <w:num w:numId="5">
    <w:abstractNumId w:val="7"/>
  </w:num>
  <w:num w:numId="6">
    <w:abstractNumId w:val="8"/>
  </w:num>
  <w:num w:numId="7">
    <w:abstractNumId w:val="21"/>
  </w:num>
  <w:num w:numId="8">
    <w:abstractNumId w:val="19"/>
  </w:num>
  <w:num w:numId="9">
    <w:abstractNumId w:val="17"/>
  </w:num>
  <w:num w:numId="10">
    <w:abstractNumId w:val="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11"/>
  </w:num>
  <w:num w:numId="15">
    <w:abstractNumId w:val="4"/>
  </w:num>
  <w:num w:numId="16">
    <w:abstractNumId w:val="14"/>
  </w:num>
  <w:num w:numId="17">
    <w:abstractNumId w:val="6"/>
  </w:num>
  <w:num w:numId="18">
    <w:abstractNumId w:val="3"/>
  </w:num>
  <w:num w:numId="19">
    <w:abstractNumId w:val="0"/>
  </w:num>
  <w:num w:numId="20">
    <w:abstractNumId w:val="15"/>
  </w:num>
  <w:num w:numId="21">
    <w:abstractNumId w:val="20"/>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0FDA"/>
    <w:rsid w:val="00001215"/>
    <w:rsid w:val="00001239"/>
    <w:rsid w:val="00001825"/>
    <w:rsid w:val="00001DBE"/>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6B73"/>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55D4"/>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C7651"/>
    <w:rsid w:val="000D19CD"/>
    <w:rsid w:val="000D1B18"/>
    <w:rsid w:val="000D21E2"/>
    <w:rsid w:val="000D2A94"/>
    <w:rsid w:val="000D3990"/>
    <w:rsid w:val="000D47D9"/>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E9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92A"/>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C77"/>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F7"/>
    <w:rsid w:val="001A0B1E"/>
    <w:rsid w:val="001A28FE"/>
    <w:rsid w:val="001A2F1C"/>
    <w:rsid w:val="001A2FF5"/>
    <w:rsid w:val="001A73AC"/>
    <w:rsid w:val="001A741F"/>
    <w:rsid w:val="001A7B82"/>
    <w:rsid w:val="001B062D"/>
    <w:rsid w:val="001B11C8"/>
    <w:rsid w:val="001B1CB4"/>
    <w:rsid w:val="001B4281"/>
    <w:rsid w:val="001B457A"/>
    <w:rsid w:val="001B5424"/>
    <w:rsid w:val="001B5E24"/>
    <w:rsid w:val="001B6935"/>
    <w:rsid w:val="001B71EE"/>
    <w:rsid w:val="001C101A"/>
    <w:rsid w:val="001C15F6"/>
    <w:rsid w:val="001C17C4"/>
    <w:rsid w:val="001C17D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1303"/>
    <w:rsid w:val="001F1DA2"/>
    <w:rsid w:val="001F1DE9"/>
    <w:rsid w:val="001F24B6"/>
    <w:rsid w:val="001F3EBE"/>
    <w:rsid w:val="001F4E0E"/>
    <w:rsid w:val="001F4EC9"/>
    <w:rsid w:val="001F590A"/>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23C2"/>
    <w:rsid w:val="00223789"/>
    <w:rsid w:val="00223E88"/>
    <w:rsid w:val="00223F2E"/>
    <w:rsid w:val="002240F3"/>
    <w:rsid w:val="00224ECC"/>
    <w:rsid w:val="002259D0"/>
    <w:rsid w:val="00227192"/>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18D2"/>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3551"/>
    <w:rsid w:val="0027414C"/>
    <w:rsid w:val="00274C62"/>
    <w:rsid w:val="002761FB"/>
    <w:rsid w:val="00276C2C"/>
    <w:rsid w:val="00280103"/>
    <w:rsid w:val="00281EB7"/>
    <w:rsid w:val="00282694"/>
    <w:rsid w:val="00282F61"/>
    <w:rsid w:val="00284421"/>
    <w:rsid w:val="002852B9"/>
    <w:rsid w:val="00285A32"/>
    <w:rsid w:val="00286309"/>
    <w:rsid w:val="002866E8"/>
    <w:rsid w:val="00286987"/>
    <w:rsid w:val="00290736"/>
    <w:rsid w:val="00290E8E"/>
    <w:rsid w:val="00290FF7"/>
    <w:rsid w:val="00291CF7"/>
    <w:rsid w:val="00292686"/>
    <w:rsid w:val="00292AB5"/>
    <w:rsid w:val="0029315B"/>
    <w:rsid w:val="00293799"/>
    <w:rsid w:val="002946A4"/>
    <w:rsid w:val="002952E1"/>
    <w:rsid w:val="002958F9"/>
    <w:rsid w:val="00295A80"/>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9E7"/>
    <w:rsid w:val="002E4747"/>
    <w:rsid w:val="002E6394"/>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A55"/>
    <w:rsid w:val="00322050"/>
    <w:rsid w:val="00323B77"/>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89"/>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57F7"/>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507C"/>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37F6B"/>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671D5"/>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9C0"/>
    <w:rsid w:val="00481D56"/>
    <w:rsid w:val="00482252"/>
    <w:rsid w:val="004828F8"/>
    <w:rsid w:val="004837E5"/>
    <w:rsid w:val="00483DAC"/>
    <w:rsid w:val="00484723"/>
    <w:rsid w:val="00486335"/>
    <w:rsid w:val="00490857"/>
    <w:rsid w:val="00491024"/>
    <w:rsid w:val="004912B8"/>
    <w:rsid w:val="00491813"/>
    <w:rsid w:val="00492483"/>
    <w:rsid w:val="0049335A"/>
    <w:rsid w:val="00493ACB"/>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6DC5"/>
    <w:rsid w:val="004D03A8"/>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066EB"/>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B1D"/>
    <w:rsid w:val="00553CAE"/>
    <w:rsid w:val="005543B3"/>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4EAF"/>
    <w:rsid w:val="0057698B"/>
    <w:rsid w:val="0058085F"/>
    <w:rsid w:val="00581AB4"/>
    <w:rsid w:val="0058357F"/>
    <w:rsid w:val="00583EB3"/>
    <w:rsid w:val="00583F03"/>
    <w:rsid w:val="00584C38"/>
    <w:rsid w:val="00584E22"/>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7F9"/>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E5494"/>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25B0"/>
    <w:rsid w:val="006531AD"/>
    <w:rsid w:val="006538B5"/>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406"/>
    <w:rsid w:val="006B5DFA"/>
    <w:rsid w:val="006B65AC"/>
    <w:rsid w:val="006B7F53"/>
    <w:rsid w:val="006C0827"/>
    <w:rsid w:val="006C0CA7"/>
    <w:rsid w:val="006C1381"/>
    <w:rsid w:val="006C16FA"/>
    <w:rsid w:val="006C187A"/>
    <w:rsid w:val="006C1D67"/>
    <w:rsid w:val="006C212B"/>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A98"/>
    <w:rsid w:val="00703BAC"/>
    <w:rsid w:val="007057C9"/>
    <w:rsid w:val="007057F3"/>
    <w:rsid w:val="007067CD"/>
    <w:rsid w:val="00706EEA"/>
    <w:rsid w:val="00710EC2"/>
    <w:rsid w:val="00710F30"/>
    <w:rsid w:val="00710FFE"/>
    <w:rsid w:val="00711A44"/>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3177"/>
    <w:rsid w:val="00743460"/>
    <w:rsid w:val="007444B1"/>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5FD"/>
    <w:rsid w:val="00760782"/>
    <w:rsid w:val="007626E5"/>
    <w:rsid w:val="00762743"/>
    <w:rsid w:val="007633E6"/>
    <w:rsid w:val="007639F1"/>
    <w:rsid w:val="00765514"/>
    <w:rsid w:val="007667C1"/>
    <w:rsid w:val="00766B89"/>
    <w:rsid w:val="0076746E"/>
    <w:rsid w:val="007675FE"/>
    <w:rsid w:val="007705B1"/>
    <w:rsid w:val="007706E9"/>
    <w:rsid w:val="00771323"/>
    <w:rsid w:val="007721E6"/>
    <w:rsid w:val="007729A6"/>
    <w:rsid w:val="00772E36"/>
    <w:rsid w:val="00772F24"/>
    <w:rsid w:val="00773AA3"/>
    <w:rsid w:val="00773B13"/>
    <w:rsid w:val="00774409"/>
    <w:rsid w:val="00775074"/>
    <w:rsid w:val="00775AEE"/>
    <w:rsid w:val="00775F3A"/>
    <w:rsid w:val="00776F34"/>
    <w:rsid w:val="007773A5"/>
    <w:rsid w:val="007773CA"/>
    <w:rsid w:val="007775E1"/>
    <w:rsid w:val="00780F9D"/>
    <w:rsid w:val="0078114C"/>
    <w:rsid w:val="00781432"/>
    <w:rsid w:val="007815A3"/>
    <w:rsid w:val="00783E63"/>
    <w:rsid w:val="00785A0E"/>
    <w:rsid w:val="00785C38"/>
    <w:rsid w:val="00786361"/>
    <w:rsid w:val="00786DA7"/>
    <w:rsid w:val="0078701F"/>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6EFB"/>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351"/>
    <w:rsid w:val="008026F7"/>
    <w:rsid w:val="00802BAD"/>
    <w:rsid w:val="00802D97"/>
    <w:rsid w:val="00803B9C"/>
    <w:rsid w:val="00804F1B"/>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1FBF"/>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45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2AC0"/>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FB8"/>
    <w:rsid w:val="008D05C7"/>
    <w:rsid w:val="008D0C16"/>
    <w:rsid w:val="008D0E94"/>
    <w:rsid w:val="008D118F"/>
    <w:rsid w:val="008D2719"/>
    <w:rsid w:val="008D318C"/>
    <w:rsid w:val="008D52F9"/>
    <w:rsid w:val="008D539A"/>
    <w:rsid w:val="008D53E3"/>
    <w:rsid w:val="008D5A30"/>
    <w:rsid w:val="008D61F1"/>
    <w:rsid w:val="008D6930"/>
    <w:rsid w:val="008D7224"/>
    <w:rsid w:val="008D7FE3"/>
    <w:rsid w:val="008E08A3"/>
    <w:rsid w:val="008E093F"/>
    <w:rsid w:val="008E20AD"/>
    <w:rsid w:val="008E2E28"/>
    <w:rsid w:val="008E3116"/>
    <w:rsid w:val="008E38E0"/>
    <w:rsid w:val="008E7348"/>
    <w:rsid w:val="008E7957"/>
    <w:rsid w:val="008E79C4"/>
    <w:rsid w:val="008F06D9"/>
    <w:rsid w:val="008F0808"/>
    <w:rsid w:val="008F26DD"/>
    <w:rsid w:val="008F2727"/>
    <w:rsid w:val="008F2FB7"/>
    <w:rsid w:val="008F300C"/>
    <w:rsid w:val="008F428F"/>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542"/>
    <w:rsid w:val="00940D5A"/>
    <w:rsid w:val="00942E74"/>
    <w:rsid w:val="00943023"/>
    <w:rsid w:val="009434B9"/>
    <w:rsid w:val="00943A1D"/>
    <w:rsid w:val="009443C1"/>
    <w:rsid w:val="00945913"/>
    <w:rsid w:val="009461C2"/>
    <w:rsid w:val="00946E75"/>
    <w:rsid w:val="0094708D"/>
    <w:rsid w:val="009474F5"/>
    <w:rsid w:val="009506E5"/>
    <w:rsid w:val="0095231B"/>
    <w:rsid w:val="00952DF2"/>
    <w:rsid w:val="009532AD"/>
    <w:rsid w:val="00954F2B"/>
    <w:rsid w:val="0095542F"/>
    <w:rsid w:val="0095565F"/>
    <w:rsid w:val="00957C1A"/>
    <w:rsid w:val="009613D3"/>
    <w:rsid w:val="009633F8"/>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2AEA"/>
    <w:rsid w:val="00984CF2"/>
    <w:rsid w:val="00986608"/>
    <w:rsid w:val="00986F47"/>
    <w:rsid w:val="0098718A"/>
    <w:rsid w:val="009906ED"/>
    <w:rsid w:val="00990E3C"/>
    <w:rsid w:val="00993FE7"/>
    <w:rsid w:val="009948B0"/>
    <w:rsid w:val="0099522A"/>
    <w:rsid w:val="0099523E"/>
    <w:rsid w:val="00995418"/>
    <w:rsid w:val="009959D8"/>
    <w:rsid w:val="009964F3"/>
    <w:rsid w:val="0099715E"/>
    <w:rsid w:val="0099739A"/>
    <w:rsid w:val="009A0866"/>
    <w:rsid w:val="009A160C"/>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3CCE"/>
    <w:rsid w:val="009D57D0"/>
    <w:rsid w:val="009D5A26"/>
    <w:rsid w:val="009D5B55"/>
    <w:rsid w:val="009D5F23"/>
    <w:rsid w:val="009D77FF"/>
    <w:rsid w:val="009E0B86"/>
    <w:rsid w:val="009E172D"/>
    <w:rsid w:val="009E2369"/>
    <w:rsid w:val="009E250B"/>
    <w:rsid w:val="009E2919"/>
    <w:rsid w:val="009E3882"/>
    <w:rsid w:val="009E4645"/>
    <w:rsid w:val="009E5534"/>
    <w:rsid w:val="009E6665"/>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3DE9"/>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5E1"/>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35B2"/>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3B05"/>
    <w:rsid w:val="00A842F8"/>
    <w:rsid w:val="00A86F97"/>
    <w:rsid w:val="00A906EE"/>
    <w:rsid w:val="00A90CAC"/>
    <w:rsid w:val="00A918CD"/>
    <w:rsid w:val="00A91A49"/>
    <w:rsid w:val="00A94F0D"/>
    <w:rsid w:val="00A95003"/>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5062"/>
    <w:rsid w:val="00AE6ADA"/>
    <w:rsid w:val="00AE7EA7"/>
    <w:rsid w:val="00AF050C"/>
    <w:rsid w:val="00AF05D1"/>
    <w:rsid w:val="00AF3C3B"/>
    <w:rsid w:val="00AF53D1"/>
    <w:rsid w:val="00AF7D55"/>
    <w:rsid w:val="00B0107B"/>
    <w:rsid w:val="00B018E0"/>
    <w:rsid w:val="00B02135"/>
    <w:rsid w:val="00B04F85"/>
    <w:rsid w:val="00B05314"/>
    <w:rsid w:val="00B05597"/>
    <w:rsid w:val="00B068A9"/>
    <w:rsid w:val="00B07019"/>
    <w:rsid w:val="00B07169"/>
    <w:rsid w:val="00B073C4"/>
    <w:rsid w:val="00B079C8"/>
    <w:rsid w:val="00B10652"/>
    <w:rsid w:val="00B10E94"/>
    <w:rsid w:val="00B10F46"/>
    <w:rsid w:val="00B1156A"/>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A8A"/>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833"/>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6D7"/>
    <w:rsid w:val="00BD5D3F"/>
    <w:rsid w:val="00BD753B"/>
    <w:rsid w:val="00BD7BBB"/>
    <w:rsid w:val="00BD7DF4"/>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42D"/>
    <w:rsid w:val="00C02BD2"/>
    <w:rsid w:val="00C03A02"/>
    <w:rsid w:val="00C064DF"/>
    <w:rsid w:val="00C0684E"/>
    <w:rsid w:val="00C07867"/>
    <w:rsid w:val="00C07975"/>
    <w:rsid w:val="00C079F6"/>
    <w:rsid w:val="00C10410"/>
    <w:rsid w:val="00C11634"/>
    <w:rsid w:val="00C121E9"/>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D84"/>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25A6"/>
    <w:rsid w:val="00CB346E"/>
    <w:rsid w:val="00CB3A30"/>
    <w:rsid w:val="00CB48B8"/>
    <w:rsid w:val="00CB4FD5"/>
    <w:rsid w:val="00CB5072"/>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2D45"/>
    <w:rsid w:val="00CD467F"/>
    <w:rsid w:val="00CD6DD8"/>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0CCD"/>
    <w:rsid w:val="00D14E73"/>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27ABC"/>
    <w:rsid w:val="00D30B09"/>
    <w:rsid w:val="00D31F18"/>
    <w:rsid w:val="00D33196"/>
    <w:rsid w:val="00D33A14"/>
    <w:rsid w:val="00D33D47"/>
    <w:rsid w:val="00D33E32"/>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4D8"/>
    <w:rsid w:val="00DC0887"/>
    <w:rsid w:val="00DC0BA9"/>
    <w:rsid w:val="00DC20BE"/>
    <w:rsid w:val="00DC2D6B"/>
    <w:rsid w:val="00DC37A0"/>
    <w:rsid w:val="00DC384E"/>
    <w:rsid w:val="00DC393B"/>
    <w:rsid w:val="00DC3A8B"/>
    <w:rsid w:val="00DC44F8"/>
    <w:rsid w:val="00DC4812"/>
    <w:rsid w:val="00DC5D8D"/>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9E2"/>
    <w:rsid w:val="00DF6A3C"/>
    <w:rsid w:val="00DF74F3"/>
    <w:rsid w:val="00DF758E"/>
    <w:rsid w:val="00DF7AC0"/>
    <w:rsid w:val="00E00E89"/>
    <w:rsid w:val="00E024C2"/>
    <w:rsid w:val="00E029E7"/>
    <w:rsid w:val="00E02AA1"/>
    <w:rsid w:val="00E02D92"/>
    <w:rsid w:val="00E03053"/>
    <w:rsid w:val="00E03240"/>
    <w:rsid w:val="00E0339C"/>
    <w:rsid w:val="00E04516"/>
    <w:rsid w:val="00E04988"/>
    <w:rsid w:val="00E05762"/>
    <w:rsid w:val="00E059AC"/>
    <w:rsid w:val="00E05DF5"/>
    <w:rsid w:val="00E069E3"/>
    <w:rsid w:val="00E06D7D"/>
    <w:rsid w:val="00E11798"/>
    <w:rsid w:val="00E11E19"/>
    <w:rsid w:val="00E12FA8"/>
    <w:rsid w:val="00E1379E"/>
    <w:rsid w:val="00E1584E"/>
    <w:rsid w:val="00E15AE7"/>
    <w:rsid w:val="00E16AE3"/>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442"/>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0E58"/>
    <w:rsid w:val="00F115DB"/>
    <w:rsid w:val="00F1269D"/>
    <w:rsid w:val="00F12AE2"/>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1ED"/>
    <w:rsid w:val="00F4785D"/>
    <w:rsid w:val="00F50030"/>
    <w:rsid w:val="00F5113D"/>
    <w:rsid w:val="00F51365"/>
    <w:rsid w:val="00F527E9"/>
    <w:rsid w:val="00F528D9"/>
    <w:rsid w:val="00F52928"/>
    <w:rsid w:val="00F53004"/>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0491"/>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56A5"/>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739"/>
    <w:rsid w:val="00FF08FB"/>
    <w:rsid w:val="00FF0F4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B73"/>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Agreement">
    <w:name w:val="Agreement"/>
    <w:basedOn w:val="Normal"/>
    <w:next w:val="Normal"/>
    <w:uiPriority w:val="99"/>
    <w:qFormat/>
    <w:rsid w:val="00C57D84"/>
    <w:pPr>
      <w:spacing w:before="60"/>
    </w:pPr>
    <w:rPr>
      <w:rFonts w:ascii="Arial" w:eastAsia="MS Mincho" w:hAnsi="Arial"/>
      <w:b/>
      <w:sz w:val="20"/>
      <w:lang w:val="en-GB" w:eastAsia="en-GB"/>
    </w:rPr>
  </w:style>
  <w:style w:type="character" w:customStyle="1" w:styleId="B1Zchn">
    <w:name w:val="B1 Zchn"/>
    <w:qFormat/>
    <w:rsid w:val="00BD56D7"/>
    <w:rPr>
      <w:lang w:val="x-none" w:eastAsia="en-US"/>
    </w:rPr>
  </w:style>
  <w:style w:type="character" w:customStyle="1" w:styleId="ui-provider">
    <w:name w:val="ui-provider"/>
    <w:basedOn w:val="DefaultParagraphFont"/>
    <w:rsid w:val="00BD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94119482">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95149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4.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2678</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5</cp:revision>
  <cp:lastPrinted>2018-01-12T00:47:00Z</cp:lastPrinted>
  <dcterms:created xsi:type="dcterms:W3CDTF">2023-08-11T15:11:00Z</dcterms:created>
  <dcterms:modified xsi:type="dcterms:W3CDTF">2023-08-11T15:30:00Z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