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84C882" w14:textId="052202A5" w:rsidR="0058676B" w:rsidRDefault="00000000">
      <w:pPr>
        <w:tabs>
          <w:tab w:val="right" w:pos="9216"/>
        </w:tabs>
        <w:spacing w:after="0"/>
        <w:jc w:val="left"/>
      </w:pPr>
      <w:r>
        <w:rPr>
          <w:b/>
          <w:bCs/>
          <w:kern w:val="2"/>
        </w:rPr>
        <w:t>3GPP TSG RAN WG1 #114</w:t>
      </w:r>
      <w:r>
        <w:rPr>
          <w:b/>
          <w:kern w:val="2"/>
        </w:rPr>
        <w:tab/>
      </w:r>
      <w:r w:rsidR="004B76E8" w:rsidRPr="004B76E8">
        <w:rPr>
          <w:b/>
          <w:bCs/>
          <w:kern w:val="2"/>
        </w:rPr>
        <w:t>R1-2308003</w:t>
      </w:r>
    </w:p>
    <w:p w14:paraId="560D1857" w14:textId="77777777" w:rsidR="0058676B" w:rsidRDefault="00000000">
      <w:pPr>
        <w:tabs>
          <w:tab w:val="center" w:pos="4536"/>
          <w:tab w:val="right" w:pos="9072"/>
        </w:tabs>
        <w:spacing w:after="0"/>
        <w:jc w:val="left"/>
        <w:rPr>
          <w:b/>
          <w:bCs/>
          <w:kern w:val="2"/>
        </w:rPr>
      </w:pPr>
      <w:r>
        <w:rPr>
          <w:b/>
          <w:bCs/>
          <w:kern w:val="2"/>
        </w:rPr>
        <w:t>Toulouse, France, 21</w:t>
      </w:r>
      <w:r>
        <w:rPr>
          <w:b/>
          <w:bCs/>
          <w:kern w:val="2"/>
          <w:vertAlign w:val="superscript"/>
        </w:rPr>
        <w:t>st</w:t>
      </w:r>
      <w:r>
        <w:rPr>
          <w:b/>
          <w:bCs/>
          <w:kern w:val="2"/>
        </w:rPr>
        <w:t xml:space="preserve"> -25</w:t>
      </w:r>
      <w:r>
        <w:rPr>
          <w:b/>
          <w:bCs/>
          <w:kern w:val="2"/>
          <w:vertAlign w:val="superscript"/>
        </w:rPr>
        <w:t>th</w:t>
      </w:r>
      <w:r>
        <w:rPr>
          <w:b/>
          <w:bCs/>
          <w:kern w:val="2"/>
        </w:rPr>
        <w:t xml:space="preserve"> Aug. 2023</w:t>
      </w:r>
    </w:p>
    <w:p w14:paraId="4F6B97C6" w14:textId="77777777" w:rsidR="0058676B" w:rsidRDefault="0058676B">
      <w:pPr>
        <w:pBdr>
          <w:top w:val="single" w:sz="4" w:space="1" w:color="000000"/>
        </w:pBdr>
        <w:spacing w:after="0"/>
        <w:jc w:val="left"/>
        <w:rPr>
          <w:b/>
          <w:kern w:val="2"/>
          <w:sz w:val="16"/>
          <w:szCs w:val="16"/>
        </w:rPr>
      </w:pPr>
    </w:p>
    <w:p w14:paraId="6DAA5C6C" w14:textId="77777777" w:rsidR="0058676B" w:rsidRDefault="00000000">
      <w:pPr>
        <w:spacing w:after="60"/>
        <w:ind w:left="1555" w:hanging="1555"/>
        <w:jc w:val="left"/>
      </w:pPr>
      <w:r>
        <w:rPr>
          <w:b/>
          <w:kern w:val="2"/>
        </w:rPr>
        <w:t>Agenda Item:</w:t>
      </w:r>
      <w:r>
        <w:rPr>
          <w:b/>
          <w:kern w:val="2"/>
        </w:rPr>
        <w:tab/>
        <w:t>9.3.3</w:t>
      </w:r>
    </w:p>
    <w:p w14:paraId="3BA87EBD" w14:textId="77777777" w:rsidR="0058676B" w:rsidRDefault="00000000">
      <w:pPr>
        <w:spacing w:after="60"/>
        <w:ind w:left="1555" w:hanging="1555"/>
        <w:jc w:val="left"/>
      </w:pPr>
      <w:r>
        <w:rPr>
          <w:b/>
          <w:kern w:val="2"/>
        </w:rPr>
        <w:t>Source:</w:t>
      </w:r>
      <w:r>
        <w:rPr>
          <w:b/>
          <w:kern w:val="2"/>
        </w:rPr>
        <w:tab/>
        <w:t>CEWiT</w:t>
      </w:r>
    </w:p>
    <w:p w14:paraId="4A12FAE4" w14:textId="77777777" w:rsidR="0058676B" w:rsidRDefault="00000000">
      <w:pPr>
        <w:spacing w:after="60"/>
        <w:ind w:left="1555" w:hanging="1555"/>
        <w:jc w:val="left"/>
      </w:pPr>
      <w:r>
        <w:rPr>
          <w:b/>
          <w:kern w:val="2"/>
        </w:rPr>
        <w:t>Title:</w:t>
      </w:r>
      <w:r>
        <w:rPr>
          <w:b/>
          <w:kern w:val="2"/>
        </w:rPr>
        <w:tab/>
        <w:t xml:space="preserve">Discussion on </w:t>
      </w:r>
      <w:r>
        <w:rPr>
          <w:rFonts w:eastAsia="Malgun Gothic"/>
          <w:b/>
          <w:kern w:val="2"/>
          <w:lang w:eastAsia="ko-KR"/>
        </w:rPr>
        <w:t>enhancements on dynamic/flexible TDD</w:t>
      </w:r>
    </w:p>
    <w:p w14:paraId="552FDBB0" w14:textId="77777777" w:rsidR="0058676B" w:rsidRDefault="00000000">
      <w:pPr>
        <w:spacing w:after="60"/>
        <w:ind w:left="1555" w:hanging="1555"/>
        <w:jc w:val="left"/>
      </w:pPr>
      <w:r>
        <w:rPr>
          <w:b/>
          <w:kern w:val="2"/>
        </w:rPr>
        <w:t>Document for:</w:t>
      </w:r>
      <w:r>
        <w:rPr>
          <w:b/>
          <w:kern w:val="2"/>
        </w:rPr>
        <w:tab/>
        <w:t xml:space="preserve">Discussion </w:t>
      </w:r>
    </w:p>
    <w:p w14:paraId="280BC721" w14:textId="77777777" w:rsidR="0058676B" w:rsidRDefault="0058676B">
      <w:pPr>
        <w:pBdr>
          <w:bottom w:val="single" w:sz="4" w:space="1" w:color="000000"/>
        </w:pBdr>
        <w:spacing w:after="0"/>
        <w:jc w:val="left"/>
        <w:rPr>
          <w:b/>
          <w:kern w:val="2"/>
          <w:sz w:val="16"/>
          <w:szCs w:val="16"/>
        </w:rPr>
      </w:pPr>
    </w:p>
    <w:p w14:paraId="66E30ECF" w14:textId="77777777" w:rsidR="0058676B" w:rsidRDefault="00000000">
      <w:pPr>
        <w:pStyle w:val="Heading1"/>
        <w:numPr>
          <w:ilvl w:val="0"/>
          <w:numId w:val="2"/>
        </w:numPr>
      </w:pPr>
      <w:bookmarkStart w:id="0" w:name="_Ref129681862"/>
      <w:bookmarkStart w:id="1" w:name="_Ref124589705"/>
      <w:r>
        <w:t>Introduction</w:t>
      </w:r>
      <w:bookmarkEnd w:id="0"/>
      <w:bookmarkEnd w:id="1"/>
    </w:p>
    <w:p w14:paraId="2FBC0287" w14:textId="77777777" w:rsidR="0058676B" w:rsidRDefault="00000000">
      <w:r>
        <w:t xml:space="preserve">A new study item (SI) on “Study on evolution of NR duplex operation” was approved in RAN#94-e [1]. According to the objectives of this SI, enhancements on </w:t>
      </w:r>
      <w:r>
        <w:rPr>
          <w:rFonts w:eastAsia="Malgun Gothic"/>
          <w:kern w:val="2"/>
          <w:lang w:eastAsia="ko-KR"/>
        </w:rPr>
        <w:t xml:space="preserve">dynamic/flexible TDD is to be studied. The discussions started in RAN1#109-e. A draft TR 38.858 [2] will capture the output of this SI. </w:t>
      </w:r>
    </w:p>
    <w:p w14:paraId="5AB9BB06" w14:textId="77777777" w:rsidR="0058676B" w:rsidRDefault="00000000">
      <w:pPr>
        <w:spacing w:after="204"/>
        <w:jc w:val="left"/>
        <w:rPr>
          <w:color w:val="000000" w:themeColor="text1"/>
        </w:rPr>
      </w:pPr>
      <w:r>
        <w:rPr>
          <w:color w:val="000000" w:themeColor="text1"/>
          <w:lang w:eastAsia="ko-KR"/>
        </w:rPr>
        <w:t xml:space="preserve">This contribution mainly focuses on the </w:t>
      </w:r>
      <w:proofErr w:type="gramStart"/>
      <w:r>
        <w:rPr>
          <w:color w:val="000000" w:themeColor="text1"/>
          <w:lang w:eastAsia="ko-KR"/>
        </w:rPr>
        <w:t>left over</w:t>
      </w:r>
      <w:proofErr w:type="gramEnd"/>
      <w:r>
        <w:rPr>
          <w:color w:val="000000" w:themeColor="text1"/>
          <w:lang w:eastAsia="ko-KR"/>
        </w:rPr>
        <w:t xml:space="preserve"> Moderator proposals of previous meetings and conclusion for TR. </w:t>
      </w:r>
    </w:p>
    <w:p w14:paraId="2248C80C" w14:textId="77777777" w:rsidR="0058676B" w:rsidRDefault="00000000">
      <w:pPr>
        <w:numPr>
          <w:ilvl w:val="0"/>
          <w:numId w:val="2"/>
        </w:numPr>
        <w:rPr>
          <w:b/>
          <w:bCs/>
          <w:sz w:val="24"/>
          <w:szCs w:val="24"/>
        </w:rPr>
      </w:pPr>
      <w:r>
        <w:rPr>
          <w:rFonts w:eastAsia="Malgun Gothic"/>
          <w:b/>
          <w:bCs/>
          <w:color w:val="000000"/>
          <w:sz w:val="24"/>
          <w:szCs w:val="24"/>
          <w:lang w:eastAsia="ko-KR"/>
        </w:rPr>
        <w:t>UE-to-UE co-channel CLI</w:t>
      </w:r>
    </w:p>
    <w:p w14:paraId="5D2F394B" w14:textId="77777777" w:rsidR="0058676B" w:rsidRDefault="00000000">
      <w:pPr>
        <w:numPr>
          <w:ilvl w:val="1"/>
          <w:numId w:val="2"/>
        </w:numPr>
        <w:rPr>
          <w:b/>
          <w:bCs/>
          <w:sz w:val="24"/>
          <w:szCs w:val="24"/>
        </w:rPr>
      </w:pPr>
      <w:r>
        <w:rPr>
          <w:b/>
          <w:bCs/>
          <w:sz w:val="24"/>
          <w:szCs w:val="24"/>
        </w:rPr>
        <w:t>Spatial domain coordination</w:t>
      </w:r>
    </w:p>
    <w:p w14:paraId="77B5D047" w14:textId="77777777" w:rsidR="0058676B" w:rsidRDefault="00000000">
      <w:r>
        <w:rPr>
          <w:rFonts w:eastAsia="Malgun Gothic"/>
          <w:color w:val="000000" w:themeColor="text1"/>
          <w:lang w:eastAsia="ko-KR"/>
        </w:rPr>
        <w:t xml:space="preserve">The following agreement was made in RAN1 #110 meeting [4]. </w:t>
      </w:r>
    </w:p>
    <w:tbl>
      <w:tblPr>
        <w:tblW w:w="9314" w:type="dxa"/>
        <w:tblInd w:w="55" w:type="dxa"/>
        <w:tblCellMar>
          <w:top w:w="55" w:type="dxa"/>
          <w:left w:w="55" w:type="dxa"/>
          <w:bottom w:w="55" w:type="dxa"/>
          <w:right w:w="55" w:type="dxa"/>
        </w:tblCellMar>
        <w:tblLook w:val="04A0" w:firstRow="1" w:lastRow="0" w:firstColumn="1" w:lastColumn="0" w:noHBand="0" w:noVBand="1"/>
      </w:tblPr>
      <w:tblGrid>
        <w:gridCol w:w="9314"/>
      </w:tblGrid>
      <w:tr w:rsidR="0058676B" w14:paraId="1B9F8DC9" w14:textId="77777777">
        <w:tc>
          <w:tcPr>
            <w:tcW w:w="9314" w:type="dxa"/>
            <w:tcBorders>
              <w:top w:val="single" w:sz="2" w:space="0" w:color="000000"/>
              <w:left w:val="single" w:sz="2" w:space="0" w:color="000000"/>
              <w:bottom w:val="single" w:sz="2" w:space="0" w:color="000000"/>
              <w:right w:val="single" w:sz="2" w:space="0" w:color="000000"/>
            </w:tcBorders>
          </w:tcPr>
          <w:p w14:paraId="1504326D" w14:textId="77777777" w:rsidR="0058676B" w:rsidRDefault="00000000">
            <w:pPr>
              <w:rPr>
                <w:rFonts w:eastAsia="Batang"/>
                <w:b/>
                <w:bCs/>
                <w:szCs w:val="20"/>
                <w:highlight w:val="green"/>
                <w:lang w:eastAsia="ko-KR"/>
              </w:rPr>
            </w:pPr>
            <w:r>
              <w:rPr>
                <w:rFonts w:eastAsia="Batang"/>
                <w:b/>
                <w:bCs/>
                <w:szCs w:val="20"/>
                <w:highlight w:val="green"/>
                <w:lang w:eastAsia="ko-KR"/>
              </w:rPr>
              <w:t>Agreement</w:t>
            </w:r>
          </w:p>
          <w:p w14:paraId="5D0F322C" w14:textId="77777777" w:rsidR="0058676B" w:rsidRDefault="00000000">
            <w:pPr>
              <w:rPr>
                <w:rFonts w:eastAsia="Malgun Gothic"/>
                <w:szCs w:val="20"/>
                <w:lang w:eastAsia="ko-KR"/>
              </w:rPr>
            </w:pPr>
            <w:r>
              <w:rPr>
                <w:rFonts w:eastAsia="Malgun Gothic"/>
                <w:szCs w:val="20"/>
                <w:lang w:eastAsia="ko-KR"/>
              </w:rPr>
              <w:t xml:space="preserve">Study the feasibility and potential benefit of UE-to-UE co-channel CLI handling based on spatial domain coordination method which can be specific for dynamic/flexible TDD and/or common for both SBFD and dynamic /flexible TDD, </w:t>
            </w:r>
            <w:r>
              <w:rPr>
                <w:szCs w:val="20"/>
              </w:rPr>
              <w:t>at least includes:</w:t>
            </w:r>
          </w:p>
          <w:p w14:paraId="2B04B321" w14:textId="77777777" w:rsidR="0058676B" w:rsidRDefault="00000000">
            <w:pPr>
              <w:numPr>
                <w:ilvl w:val="0"/>
                <w:numId w:val="3"/>
              </w:numPr>
            </w:pPr>
            <w:r>
              <w:rPr>
                <w:rFonts w:eastAsia="Malgun Gothic"/>
                <w:szCs w:val="20"/>
                <w:lang w:eastAsia="ko-KR"/>
              </w:rPr>
              <w:t xml:space="preserve">Details for spatial domain coordination by </w:t>
            </w:r>
            <w:proofErr w:type="spellStart"/>
            <w:r>
              <w:rPr>
                <w:rFonts w:eastAsia="Malgun Gothic"/>
                <w:szCs w:val="20"/>
                <w:lang w:eastAsia="ko-KR"/>
              </w:rPr>
              <w:t>gNB</w:t>
            </w:r>
            <w:proofErr w:type="spellEnd"/>
          </w:p>
          <w:p w14:paraId="6E58B71A" w14:textId="77777777" w:rsidR="0058676B" w:rsidRDefault="00000000">
            <w:pPr>
              <w:numPr>
                <w:ilvl w:val="0"/>
                <w:numId w:val="3"/>
              </w:numPr>
            </w:pPr>
            <w:r>
              <w:rPr>
                <w:rFonts w:eastAsia="Malgun Gothic"/>
                <w:szCs w:val="20"/>
                <w:lang w:eastAsia="ko-KR"/>
              </w:rPr>
              <w:t>Relevant information exchange (if needed)</w:t>
            </w:r>
          </w:p>
          <w:p w14:paraId="5C755089" w14:textId="77777777" w:rsidR="0058676B" w:rsidRDefault="00000000">
            <w:r>
              <w:rPr>
                <w:rFonts w:eastAsia="Malgun Gothic"/>
                <w:szCs w:val="20"/>
                <w:u w:val="single"/>
                <w:lang w:eastAsia="ko-KR"/>
              </w:rPr>
              <w:t>Note1: Study can include method for FR1 and FR2</w:t>
            </w:r>
          </w:p>
        </w:tc>
      </w:tr>
    </w:tbl>
    <w:p w14:paraId="530F0EB7" w14:textId="77777777" w:rsidR="0058676B" w:rsidRDefault="0058676B">
      <w:pPr>
        <w:rPr>
          <w:rFonts w:eastAsia="Malgun Gothic"/>
          <w:b/>
          <w:bCs/>
          <w:szCs w:val="20"/>
          <w:highlight w:val="green"/>
          <w:u w:val="single"/>
          <w:lang w:eastAsia="ko-KR"/>
        </w:rPr>
      </w:pPr>
    </w:p>
    <w:p w14:paraId="03B47340" w14:textId="77777777" w:rsidR="0058676B" w:rsidRDefault="00000000">
      <w:pPr>
        <w:rPr>
          <w:color w:val="000000" w:themeColor="text1"/>
          <w:lang w:eastAsia="ko-KR"/>
        </w:rPr>
      </w:pPr>
      <w:r>
        <w:rPr>
          <w:rFonts w:eastAsia="Malgun Gothic"/>
          <w:color w:val="000000" w:themeColor="text1"/>
          <w:lang w:eastAsia="ko-KR"/>
        </w:rPr>
        <w:t xml:space="preserve">The following Moderator proposal was discussed in RAN1 #112bis-e </w:t>
      </w:r>
      <w:proofErr w:type="gramStart"/>
      <w:r>
        <w:rPr>
          <w:rFonts w:eastAsia="Malgun Gothic"/>
          <w:color w:val="000000" w:themeColor="text1"/>
          <w:lang w:eastAsia="ko-KR"/>
        </w:rPr>
        <w:t>meeting[</w:t>
      </w:r>
      <w:proofErr w:type="gramEnd"/>
      <w:r>
        <w:rPr>
          <w:rFonts w:eastAsia="Malgun Gothic"/>
          <w:color w:val="000000" w:themeColor="text1"/>
          <w:lang w:eastAsia="ko-KR"/>
        </w:rPr>
        <w:t>5] but no agreement was reached.</w:t>
      </w:r>
    </w:p>
    <w:tbl>
      <w:tblPr>
        <w:tblW w:w="9314" w:type="dxa"/>
        <w:tblInd w:w="55" w:type="dxa"/>
        <w:tblCellMar>
          <w:top w:w="55" w:type="dxa"/>
          <w:left w:w="55" w:type="dxa"/>
          <w:bottom w:w="55" w:type="dxa"/>
          <w:right w:w="55" w:type="dxa"/>
        </w:tblCellMar>
        <w:tblLook w:val="04A0" w:firstRow="1" w:lastRow="0" w:firstColumn="1" w:lastColumn="0" w:noHBand="0" w:noVBand="1"/>
      </w:tblPr>
      <w:tblGrid>
        <w:gridCol w:w="9314"/>
      </w:tblGrid>
      <w:tr w:rsidR="0058676B" w14:paraId="15EAB222" w14:textId="77777777">
        <w:tc>
          <w:tcPr>
            <w:tcW w:w="9314" w:type="dxa"/>
            <w:tcBorders>
              <w:top w:val="single" w:sz="2" w:space="0" w:color="000000"/>
              <w:left w:val="single" w:sz="2" w:space="0" w:color="000000"/>
              <w:bottom w:val="single" w:sz="2" w:space="0" w:color="000000"/>
              <w:right w:val="single" w:sz="2" w:space="0" w:color="000000"/>
            </w:tcBorders>
          </w:tcPr>
          <w:p w14:paraId="3CB61FE3" w14:textId="77777777" w:rsidR="0058676B" w:rsidRDefault="00000000">
            <w:pPr>
              <w:pStyle w:val="Proposal2"/>
              <w:ind w:left="864" w:hanging="864"/>
              <w:rPr>
                <w:iCs w:val="0"/>
                <w:sz w:val="22"/>
                <w:szCs w:val="22"/>
              </w:rPr>
            </w:pPr>
            <w:r>
              <w:rPr>
                <w:rFonts w:eastAsia="Yu Mincho"/>
                <w:iCs w:val="0"/>
                <w:sz w:val="22"/>
                <w:szCs w:val="22"/>
                <w:highlight w:val="yellow"/>
              </w:rPr>
              <w:t>Moderator Proposal #23-1 (6)</w:t>
            </w:r>
            <w:r>
              <w:rPr>
                <w:rFonts w:eastAsia="Yu Mincho"/>
                <w:iCs w:val="0"/>
                <w:sz w:val="22"/>
                <w:szCs w:val="22"/>
                <w:highlight w:val="yellow"/>
                <w:u w:val="none"/>
              </w:rPr>
              <w:t xml:space="preserve"> -1</w:t>
            </w:r>
          </w:p>
          <w:p w14:paraId="31F225CD" w14:textId="77777777" w:rsidR="0058676B" w:rsidRDefault="00000000">
            <w:pPr>
              <w:spacing w:after="80"/>
            </w:pPr>
            <w:r>
              <w:rPr>
                <w:rFonts w:eastAsia="Malgun Gothic"/>
                <w:lang w:val="en-GB" w:eastAsia="ko-KR"/>
              </w:rPr>
              <w:t>For mitigating co-channel UE-to-UE CLI, at least the following aspects as spatial domain coordination method for UE-to-UE co-channel CLI can be studied.</w:t>
            </w:r>
          </w:p>
          <w:p w14:paraId="31A0F740" w14:textId="77777777" w:rsidR="0058676B" w:rsidRDefault="00000000">
            <w:pPr>
              <w:pStyle w:val="10"/>
              <w:spacing w:after="80"/>
            </w:pPr>
            <w:r>
              <w:rPr>
                <w:rFonts w:eastAsia="Malgun Gothic"/>
                <w:lang w:val="en-GB" w:eastAsia="ko-KR"/>
              </w:rPr>
              <w:t xml:space="preserve">Victim UE can measure UE-to-UE co-channel CLI from multiple SRS resources of an aggressor </w:t>
            </w:r>
            <w:proofErr w:type="gramStart"/>
            <w:r>
              <w:rPr>
                <w:rFonts w:eastAsia="Malgun Gothic"/>
                <w:lang w:val="en-GB" w:eastAsia="ko-KR"/>
              </w:rPr>
              <w:t>UE</w:t>
            </w:r>
            <w:proofErr w:type="gramEnd"/>
          </w:p>
          <w:p w14:paraId="073A1A8F" w14:textId="77777777" w:rsidR="0058676B" w:rsidRDefault="00000000">
            <w:pPr>
              <w:pStyle w:val="10"/>
              <w:spacing w:after="80"/>
            </w:pPr>
            <w:r>
              <w:rPr>
                <w:rFonts w:eastAsia="Malgun Gothic"/>
                <w:lang w:val="en-GB" w:eastAsia="ko-KR"/>
              </w:rPr>
              <w:t xml:space="preserve">Victim UE can report </w:t>
            </w:r>
            <w:r>
              <w:rPr>
                <w:rFonts w:eastAsia="Malgun Gothic"/>
                <w:bCs/>
                <w:lang w:val="en-GB" w:eastAsia="ko-KR"/>
              </w:rPr>
              <w:t>int</w:t>
            </w:r>
            <w:r>
              <w:rPr>
                <w:rFonts w:eastAsia="Malgun Gothic"/>
                <w:bCs/>
                <w:color w:val="000000"/>
                <w:lang w:val="en-GB" w:eastAsia="ko-KR"/>
              </w:rPr>
              <w:t>erfering</w:t>
            </w:r>
            <w:r>
              <w:rPr>
                <w:rFonts w:eastAsia="Malgun Gothic"/>
                <w:color w:val="000000"/>
                <w:lang w:val="en-GB" w:eastAsia="ko-KR"/>
              </w:rPr>
              <w:t xml:space="preserve"> CLI resources of aggressor UE, with/without corresponding SRS-RSRP(s) or CLI-RSSI(s), to the serving </w:t>
            </w:r>
            <w:proofErr w:type="spellStart"/>
            <w:proofErr w:type="gramStart"/>
            <w:r>
              <w:rPr>
                <w:rFonts w:eastAsia="Malgun Gothic"/>
                <w:color w:val="000000"/>
                <w:lang w:val="en-GB" w:eastAsia="ko-KR"/>
              </w:rPr>
              <w:t>gNB</w:t>
            </w:r>
            <w:proofErr w:type="spellEnd"/>
            <w:proofErr w:type="gramEnd"/>
          </w:p>
          <w:p w14:paraId="5B199E4A" w14:textId="77777777" w:rsidR="0058676B" w:rsidRDefault="00000000">
            <w:pPr>
              <w:pStyle w:val="10"/>
              <w:spacing w:after="80"/>
            </w:pPr>
            <w:r>
              <w:rPr>
                <w:rFonts w:eastAsia="Malgun Gothic"/>
                <w:color w:val="000000"/>
                <w:lang w:val="en-GB" w:eastAsia="ko-KR"/>
              </w:rPr>
              <w:t xml:space="preserve">Exchange of information between </w:t>
            </w:r>
            <w:proofErr w:type="spellStart"/>
            <w:r>
              <w:rPr>
                <w:rFonts w:eastAsia="Malgun Gothic"/>
                <w:color w:val="000000"/>
                <w:lang w:val="en-GB" w:eastAsia="ko-KR"/>
              </w:rPr>
              <w:t>gNBs</w:t>
            </w:r>
            <w:proofErr w:type="spellEnd"/>
            <w:r>
              <w:rPr>
                <w:rFonts w:eastAsia="Malgun Gothic"/>
                <w:color w:val="000000"/>
                <w:lang w:val="en-GB" w:eastAsia="ko-KR"/>
              </w:rPr>
              <w:t xml:space="preserve"> on </w:t>
            </w:r>
            <w:r>
              <w:rPr>
                <w:rFonts w:eastAsia="Malgun Gothic"/>
                <w:bCs/>
                <w:color w:val="000000"/>
                <w:lang w:val="en-GB" w:eastAsia="ko-KR"/>
              </w:rPr>
              <w:t>interfering</w:t>
            </w:r>
            <w:r>
              <w:rPr>
                <w:rFonts w:eastAsia="Malgun Gothic"/>
                <w:color w:val="000000"/>
                <w:lang w:val="en-GB" w:eastAsia="ko-KR"/>
              </w:rPr>
              <w:t xml:space="preserve"> Tx beam(s) of aggressor UE based on, e.g., identification of CLI </w:t>
            </w:r>
            <w:proofErr w:type="gramStart"/>
            <w:r>
              <w:rPr>
                <w:rFonts w:eastAsia="Malgun Gothic"/>
                <w:color w:val="000000"/>
                <w:lang w:val="en-GB" w:eastAsia="ko-KR"/>
              </w:rPr>
              <w:t>resources</w:t>
            </w:r>
            <w:proofErr w:type="gramEnd"/>
          </w:p>
          <w:p w14:paraId="00DA5B85" w14:textId="77777777" w:rsidR="0058676B" w:rsidRDefault="00000000">
            <w:pPr>
              <w:pStyle w:val="10"/>
              <w:spacing w:after="80"/>
            </w:pPr>
            <w:r>
              <w:rPr>
                <w:rFonts w:eastAsia="Malgun Gothic"/>
                <w:color w:val="000000"/>
                <w:lang w:val="en-GB" w:eastAsia="ko-KR"/>
              </w:rPr>
              <w:t xml:space="preserve">The serving </w:t>
            </w:r>
            <w:proofErr w:type="spellStart"/>
            <w:r>
              <w:rPr>
                <w:rFonts w:eastAsia="Malgun Gothic"/>
                <w:color w:val="000000"/>
                <w:lang w:val="en-GB" w:eastAsia="ko-KR"/>
              </w:rPr>
              <w:t>gNB</w:t>
            </w:r>
            <w:proofErr w:type="spellEnd"/>
            <w:r>
              <w:rPr>
                <w:rFonts w:eastAsia="Malgun Gothic"/>
                <w:color w:val="000000"/>
                <w:lang w:val="en-GB" w:eastAsia="ko-KR"/>
              </w:rPr>
              <w:t xml:space="preserve"> can configure UE Rx beam (QCL-D) via CLI resource configuration to the victim </w:t>
            </w:r>
            <w:proofErr w:type="gramStart"/>
            <w:r>
              <w:rPr>
                <w:rFonts w:eastAsia="Malgun Gothic"/>
                <w:color w:val="000000"/>
                <w:lang w:val="en-GB" w:eastAsia="ko-KR"/>
              </w:rPr>
              <w:t>UE</w:t>
            </w:r>
            <w:proofErr w:type="gramEnd"/>
          </w:p>
          <w:p w14:paraId="53F5C09A" w14:textId="77777777" w:rsidR="0058676B" w:rsidRDefault="00000000">
            <w:pPr>
              <w:pStyle w:val="10"/>
              <w:spacing w:after="80"/>
              <w:ind w:firstLine="0"/>
            </w:pPr>
            <w:r>
              <w:rPr>
                <w:rFonts w:eastAsia="Malgun Gothic"/>
                <w:color w:val="000000"/>
                <w:lang w:val="en-GB" w:eastAsia="ko-KR"/>
              </w:rPr>
              <w:t>Note: Companies are encouraged to provide evaluation results.</w:t>
            </w:r>
          </w:p>
        </w:tc>
      </w:tr>
    </w:tbl>
    <w:p w14:paraId="67C08DA7" w14:textId="77777777" w:rsidR="0058676B" w:rsidRDefault="0058676B">
      <w:pPr>
        <w:rPr>
          <w:rFonts w:eastAsia="Calibri" w:cs="Calibri"/>
          <w:color w:val="000000" w:themeColor="text1"/>
          <w:szCs w:val="24"/>
          <w:lang w:eastAsia="ko-KR"/>
        </w:rPr>
      </w:pPr>
    </w:p>
    <w:p w14:paraId="61072E8F" w14:textId="77777777" w:rsidR="0058676B" w:rsidRDefault="00000000">
      <w:r>
        <w:rPr>
          <w:rFonts w:eastAsia="Calibri" w:cs="Calibri"/>
          <w:color w:val="000000" w:themeColor="text1"/>
          <w:szCs w:val="24"/>
          <w:lang w:eastAsia="ko-KR"/>
        </w:rPr>
        <w:t xml:space="preserve">In our understanding, the fourth bullet point suggests that the </w:t>
      </w:r>
      <w:proofErr w:type="spellStart"/>
      <w:r>
        <w:rPr>
          <w:rFonts w:eastAsia="Calibri" w:cs="Calibri"/>
          <w:color w:val="000000" w:themeColor="text1"/>
          <w:szCs w:val="24"/>
          <w:lang w:eastAsia="ko-KR"/>
        </w:rPr>
        <w:t>gNB</w:t>
      </w:r>
      <w:proofErr w:type="spellEnd"/>
      <w:r>
        <w:rPr>
          <w:rFonts w:eastAsia="Calibri" w:cs="Calibri"/>
          <w:color w:val="000000" w:themeColor="text1"/>
          <w:szCs w:val="24"/>
          <w:lang w:eastAsia="ko-KR"/>
        </w:rPr>
        <w:t xml:space="preserve"> can configure the UE to measure CLI on different Rx beams and report CLI for different Rx beams/report a subset of Rx beams. Further, UE </w:t>
      </w:r>
      <w:r>
        <w:rPr>
          <w:rFonts w:eastAsia="Calibri" w:cs="Calibri"/>
          <w:color w:val="000000" w:themeColor="text1"/>
          <w:szCs w:val="24"/>
          <w:lang w:eastAsia="ko-KR"/>
        </w:rPr>
        <w:lastRenderedPageBreak/>
        <w:t>measuring multiple SRS resources (first bullet point) suggests that multiple SRS resources are transmitted using different transmit beams. Thus, the UE measures CLI on different Tx beams and different Rx beams (</w:t>
      </w:r>
      <w:proofErr w:type="gramStart"/>
      <w:r>
        <w:rPr>
          <w:rFonts w:eastAsia="Calibri" w:cs="Calibri"/>
          <w:color w:val="000000" w:themeColor="text1"/>
          <w:szCs w:val="24"/>
          <w:lang w:eastAsia="ko-KR"/>
        </w:rPr>
        <w:t>similar to</w:t>
      </w:r>
      <w:proofErr w:type="gramEnd"/>
      <w:r>
        <w:rPr>
          <w:rFonts w:eastAsia="Calibri" w:cs="Calibri"/>
          <w:color w:val="000000" w:themeColor="text1"/>
          <w:szCs w:val="24"/>
          <w:lang w:eastAsia="ko-KR"/>
        </w:rPr>
        <w:t xml:space="preserve"> beam pairing procedure). </w:t>
      </w:r>
    </w:p>
    <w:p w14:paraId="6B921D8E" w14:textId="77777777" w:rsidR="0058676B" w:rsidRDefault="00000000">
      <w:r>
        <w:rPr>
          <w:rFonts w:eastAsia="Calibri" w:cs="Calibri"/>
          <w:color w:val="000000" w:themeColor="text1"/>
          <w:szCs w:val="24"/>
          <w:lang w:eastAsia="ko-KR"/>
        </w:rPr>
        <w:t>Based on the above understanding, the Moderator proposal is updated.</w:t>
      </w:r>
    </w:p>
    <w:p w14:paraId="5F84C938" w14:textId="77777777" w:rsidR="0058676B" w:rsidRDefault="00000000">
      <w:pPr>
        <w:pStyle w:val="ListParagraph"/>
        <w:ind w:left="0"/>
        <w:rPr>
          <w:b/>
          <w:bCs/>
        </w:rPr>
      </w:pPr>
      <w:r>
        <w:rPr>
          <w:rFonts w:eastAsia="Calibri" w:cs="Calibri"/>
          <w:b/>
          <w:bCs/>
          <w:color w:val="000000" w:themeColor="text1"/>
        </w:rPr>
        <w:t xml:space="preserve">Proposal 1: </w:t>
      </w:r>
    </w:p>
    <w:p w14:paraId="04285445" w14:textId="77777777" w:rsidR="0058676B" w:rsidRDefault="00000000">
      <w:pPr>
        <w:spacing w:after="80"/>
        <w:rPr>
          <w:rFonts w:eastAsia="Malgun Gothic"/>
          <w:b/>
          <w:bCs/>
          <w:lang w:val="en-GB" w:eastAsia="ko-KR"/>
        </w:rPr>
      </w:pPr>
      <w:r>
        <w:rPr>
          <w:rFonts w:eastAsia="Malgun Gothic"/>
          <w:b/>
          <w:bCs/>
          <w:lang w:val="en-GB" w:eastAsia="ko-KR"/>
        </w:rPr>
        <w:t>For mitigating co-channel UE-to-UE CLI, at least the following aspects as spatial domain coordination method for UE-to-UE co-channel CLI can be considered.</w:t>
      </w:r>
    </w:p>
    <w:p w14:paraId="1A359643" w14:textId="77777777" w:rsidR="0058676B" w:rsidRDefault="00000000">
      <w:pPr>
        <w:pStyle w:val="10"/>
        <w:spacing w:after="80"/>
        <w:rPr>
          <w:b/>
          <w:bCs/>
        </w:rPr>
      </w:pPr>
      <w:r>
        <w:rPr>
          <w:rFonts w:eastAsia="Malgun Gothic"/>
          <w:b/>
          <w:bCs/>
          <w:lang w:val="en-GB" w:eastAsia="ko-KR"/>
        </w:rPr>
        <w:t>Victim UE</w:t>
      </w:r>
      <w:r>
        <w:rPr>
          <w:rFonts w:eastAsia="Malgun Gothic"/>
          <w:b/>
          <w:bCs/>
          <w:color w:val="000000"/>
          <w:lang w:val="en-GB" w:eastAsia="ko-KR"/>
        </w:rPr>
        <w:t xml:space="preserve"> can measure UE-to-UE co-channel CLI from multiple SRS resources on different Tx beams of an aggressor </w:t>
      </w:r>
      <w:proofErr w:type="gramStart"/>
      <w:r>
        <w:rPr>
          <w:rFonts w:eastAsia="Malgun Gothic"/>
          <w:b/>
          <w:bCs/>
          <w:color w:val="000000"/>
          <w:lang w:val="en-GB" w:eastAsia="ko-KR"/>
        </w:rPr>
        <w:t>UE</w:t>
      </w:r>
      <w:proofErr w:type="gramEnd"/>
    </w:p>
    <w:p w14:paraId="14D24EDA" w14:textId="77777777" w:rsidR="0058676B" w:rsidRDefault="00000000">
      <w:pPr>
        <w:pStyle w:val="10"/>
        <w:spacing w:after="80"/>
      </w:pPr>
      <w:r>
        <w:rPr>
          <w:rFonts w:eastAsia="Malgun Gothic"/>
          <w:b/>
          <w:bCs/>
          <w:color w:val="000000"/>
          <w:lang w:val="en-GB" w:eastAsia="ko-KR"/>
        </w:rPr>
        <w:t xml:space="preserve">Victim UE can report interfering CLI resources of aggressor UE with different Tx beams, with/without corresponding SRS-RSRP(s) or CLI-RSSI(s), to the serving </w:t>
      </w:r>
      <w:proofErr w:type="spellStart"/>
      <w:proofErr w:type="gramStart"/>
      <w:r>
        <w:rPr>
          <w:rFonts w:eastAsia="Malgun Gothic"/>
          <w:b/>
          <w:bCs/>
          <w:color w:val="000000"/>
          <w:lang w:val="en-GB" w:eastAsia="ko-KR"/>
        </w:rPr>
        <w:t>gNB</w:t>
      </w:r>
      <w:proofErr w:type="spellEnd"/>
      <w:proofErr w:type="gramEnd"/>
    </w:p>
    <w:p w14:paraId="6327B1BF" w14:textId="77777777" w:rsidR="0058676B" w:rsidRDefault="00000000">
      <w:pPr>
        <w:pStyle w:val="10"/>
        <w:spacing w:after="80"/>
      </w:pPr>
      <w:r>
        <w:rPr>
          <w:rFonts w:eastAsia="Malgun Gothic"/>
          <w:b/>
          <w:bCs/>
          <w:color w:val="000000"/>
          <w:lang w:val="en-GB" w:eastAsia="ko-KR"/>
        </w:rPr>
        <w:t xml:space="preserve">Exchange of information between </w:t>
      </w:r>
      <w:proofErr w:type="spellStart"/>
      <w:r>
        <w:rPr>
          <w:rFonts w:eastAsia="Malgun Gothic"/>
          <w:b/>
          <w:bCs/>
          <w:color w:val="000000"/>
          <w:lang w:val="en-GB" w:eastAsia="ko-KR"/>
        </w:rPr>
        <w:t>gNBs</w:t>
      </w:r>
      <w:proofErr w:type="spellEnd"/>
      <w:r>
        <w:rPr>
          <w:rFonts w:eastAsia="Malgun Gothic"/>
          <w:b/>
          <w:bCs/>
          <w:color w:val="000000"/>
          <w:lang w:val="en-GB" w:eastAsia="ko-KR"/>
        </w:rPr>
        <w:t xml:space="preserve"> on interfering Tx beam(s) of aggressor UE based on, e.g., identification of CLI </w:t>
      </w:r>
      <w:proofErr w:type="gramStart"/>
      <w:r>
        <w:rPr>
          <w:rFonts w:eastAsia="Malgun Gothic"/>
          <w:b/>
          <w:bCs/>
          <w:color w:val="000000"/>
          <w:lang w:val="en-GB" w:eastAsia="ko-KR"/>
        </w:rPr>
        <w:t>resources</w:t>
      </w:r>
      <w:proofErr w:type="gramEnd"/>
    </w:p>
    <w:p w14:paraId="04DAE134" w14:textId="77777777" w:rsidR="0058676B" w:rsidRDefault="00000000">
      <w:pPr>
        <w:pStyle w:val="10"/>
        <w:spacing w:after="80"/>
      </w:pPr>
      <w:r>
        <w:rPr>
          <w:rFonts w:eastAsia="Malgun Gothic"/>
          <w:b/>
          <w:bCs/>
          <w:color w:val="000000"/>
          <w:lang w:val="en-GB" w:eastAsia="ko-KR"/>
        </w:rPr>
        <w:t xml:space="preserve">The serving </w:t>
      </w:r>
      <w:proofErr w:type="spellStart"/>
      <w:r>
        <w:rPr>
          <w:rFonts w:eastAsia="Malgun Gothic"/>
          <w:b/>
          <w:bCs/>
          <w:color w:val="000000"/>
          <w:lang w:val="en-GB" w:eastAsia="ko-KR"/>
        </w:rPr>
        <w:t>gNB</w:t>
      </w:r>
      <w:proofErr w:type="spellEnd"/>
      <w:r>
        <w:rPr>
          <w:rFonts w:eastAsia="Malgun Gothic"/>
          <w:b/>
          <w:bCs/>
          <w:color w:val="000000"/>
          <w:lang w:val="en-GB" w:eastAsia="ko-KR"/>
        </w:rPr>
        <w:t xml:space="preserve"> can configure UE Rx beam (QCL-D) via CLI resource configuration to the victim </w:t>
      </w:r>
      <w:proofErr w:type="gramStart"/>
      <w:r>
        <w:rPr>
          <w:rFonts w:eastAsia="Malgun Gothic"/>
          <w:b/>
          <w:bCs/>
          <w:color w:val="000000"/>
          <w:lang w:val="en-GB" w:eastAsia="ko-KR"/>
        </w:rPr>
        <w:t>UE</w:t>
      </w:r>
      <w:proofErr w:type="gramEnd"/>
    </w:p>
    <w:p w14:paraId="5BFE422F" w14:textId="77777777" w:rsidR="0058676B" w:rsidRDefault="00000000">
      <w:pPr>
        <w:pStyle w:val="10"/>
        <w:spacing w:after="80"/>
      </w:pPr>
      <w:r>
        <w:rPr>
          <w:rFonts w:eastAsia="Malgun Gothic"/>
          <w:b/>
          <w:bCs/>
          <w:color w:val="000000"/>
          <w:lang w:val="en-GB" w:eastAsia="ko-KR"/>
        </w:rPr>
        <w:t xml:space="preserve">The serving </w:t>
      </w:r>
      <w:proofErr w:type="spellStart"/>
      <w:r>
        <w:rPr>
          <w:rFonts w:eastAsia="Malgun Gothic"/>
          <w:b/>
          <w:bCs/>
          <w:color w:val="000000"/>
          <w:lang w:val="en-GB" w:eastAsia="ko-KR"/>
        </w:rPr>
        <w:t>gNB</w:t>
      </w:r>
      <w:proofErr w:type="spellEnd"/>
      <w:r>
        <w:rPr>
          <w:rFonts w:eastAsia="Malgun Gothic"/>
          <w:b/>
          <w:bCs/>
          <w:color w:val="000000"/>
          <w:lang w:val="en-GB" w:eastAsia="ko-KR"/>
        </w:rPr>
        <w:t xml:space="preserve"> can configure UE to report CLI measurement on different Rx beams and/or most/least interfered Rx beams.</w:t>
      </w:r>
    </w:p>
    <w:p w14:paraId="443DEB0D" w14:textId="77777777" w:rsidR="0058676B" w:rsidRDefault="0058676B">
      <w:pPr>
        <w:pStyle w:val="10"/>
        <w:spacing w:after="80"/>
        <w:ind w:firstLine="0"/>
        <w:rPr>
          <w:b/>
          <w:bCs/>
        </w:rPr>
      </w:pPr>
    </w:p>
    <w:p w14:paraId="166F33BB" w14:textId="77777777" w:rsidR="0058676B" w:rsidRDefault="00000000">
      <w:pPr>
        <w:pStyle w:val="Heading2"/>
        <w:numPr>
          <w:ilvl w:val="1"/>
          <w:numId w:val="2"/>
        </w:numPr>
      </w:pPr>
      <w:r>
        <w:t xml:space="preserve">UE and </w:t>
      </w:r>
      <w:proofErr w:type="spellStart"/>
      <w:r>
        <w:t>gNB</w:t>
      </w:r>
      <w:proofErr w:type="spellEnd"/>
      <w:r>
        <w:t xml:space="preserve"> transmission and reception timing</w:t>
      </w:r>
    </w:p>
    <w:p w14:paraId="432056E3" w14:textId="77777777" w:rsidR="0058676B" w:rsidRDefault="00000000">
      <w:pPr>
        <w:rPr>
          <w:color w:val="000000" w:themeColor="text1"/>
          <w:lang w:eastAsia="ko-KR"/>
        </w:rPr>
      </w:pPr>
      <w:r>
        <w:rPr>
          <w:color w:val="000000" w:themeColor="text1"/>
          <w:lang w:eastAsia="ko-KR"/>
        </w:rPr>
        <w:t xml:space="preserve">The following agreement was made for </w:t>
      </w:r>
      <w:r>
        <w:rPr>
          <w:rFonts w:eastAsia="Malgun Gothic"/>
          <w:color w:val="000000" w:themeColor="text1"/>
          <w:sz w:val="20"/>
          <w:szCs w:val="20"/>
          <w:lang w:eastAsia="ko-KR"/>
        </w:rPr>
        <w:t xml:space="preserve">UE-to-UE co-channel CLI measurement </w:t>
      </w:r>
      <w:r>
        <w:rPr>
          <w:color w:val="000000" w:themeColor="text1"/>
          <w:lang w:eastAsia="ko-KR"/>
        </w:rPr>
        <w:t xml:space="preserve">in RAN1 #112bis-e meeting [5]. </w:t>
      </w:r>
    </w:p>
    <w:tbl>
      <w:tblPr>
        <w:tblW w:w="9314" w:type="dxa"/>
        <w:tblInd w:w="55" w:type="dxa"/>
        <w:tblCellMar>
          <w:top w:w="55" w:type="dxa"/>
          <w:left w:w="55" w:type="dxa"/>
          <w:bottom w:w="55" w:type="dxa"/>
          <w:right w:w="55" w:type="dxa"/>
        </w:tblCellMar>
        <w:tblLook w:val="04A0" w:firstRow="1" w:lastRow="0" w:firstColumn="1" w:lastColumn="0" w:noHBand="0" w:noVBand="1"/>
      </w:tblPr>
      <w:tblGrid>
        <w:gridCol w:w="9314"/>
      </w:tblGrid>
      <w:tr w:rsidR="0058676B" w14:paraId="3819827B" w14:textId="77777777">
        <w:tc>
          <w:tcPr>
            <w:tcW w:w="9314" w:type="dxa"/>
            <w:tcBorders>
              <w:top w:val="single" w:sz="2" w:space="0" w:color="000000"/>
              <w:left w:val="single" w:sz="2" w:space="0" w:color="000000"/>
              <w:bottom w:val="single" w:sz="2" w:space="0" w:color="000000"/>
              <w:right w:val="single" w:sz="2" w:space="0" w:color="000000"/>
            </w:tcBorders>
          </w:tcPr>
          <w:p w14:paraId="4AB22705" w14:textId="77777777" w:rsidR="0058676B" w:rsidRDefault="00000000">
            <w:r>
              <w:rPr>
                <w:b/>
                <w:bCs/>
                <w:highlight w:val="green"/>
                <w:lang w:eastAsia="ko-KR"/>
              </w:rPr>
              <w:t>Agreement</w:t>
            </w:r>
          </w:p>
          <w:p w14:paraId="2F8FBB84" w14:textId="77777777" w:rsidR="0058676B" w:rsidRDefault="00000000">
            <w:r>
              <w:rPr>
                <w:rStyle w:val="CommentReference"/>
                <w:rFonts w:eastAsia="Malgun Gothic"/>
                <w:sz w:val="22"/>
                <w:szCs w:val="22"/>
                <w:lang w:eastAsia="ko-KR"/>
              </w:rPr>
              <w:t xml:space="preserve">For UE-to-UE co-channel CLI measurement, study the impact on system performance because of CLI measurement inaccuracy at victim UE due to misalignment between DL reception timing at victim UE of DL channel/signal transmitted from serving </w:t>
            </w:r>
            <w:proofErr w:type="spellStart"/>
            <w:r>
              <w:rPr>
                <w:rStyle w:val="CommentReference"/>
                <w:rFonts w:eastAsia="Malgun Gothic"/>
                <w:sz w:val="22"/>
                <w:szCs w:val="22"/>
                <w:lang w:eastAsia="ko-KR"/>
              </w:rPr>
              <w:t>gNB</w:t>
            </w:r>
            <w:proofErr w:type="spellEnd"/>
            <w:r>
              <w:rPr>
                <w:rStyle w:val="CommentReference"/>
                <w:rFonts w:eastAsia="Malgun Gothic"/>
                <w:sz w:val="22"/>
                <w:szCs w:val="22"/>
                <w:lang w:eastAsia="ko-KR"/>
              </w:rPr>
              <w:t xml:space="preserve"> and DL reception timing at victim UE of CLI measurement resource transmitted from aggressor UE(s). </w:t>
            </w:r>
          </w:p>
        </w:tc>
      </w:tr>
    </w:tbl>
    <w:p w14:paraId="45AF861F" w14:textId="77777777" w:rsidR="0058676B" w:rsidRDefault="0058676B">
      <w:pPr>
        <w:rPr>
          <w:rFonts w:eastAsia="Calibri" w:cs="Calibri"/>
          <w:color w:val="000000" w:themeColor="text1"/>
        </w:rPr>
      </w:pPr>
    </w:p>
    <w:p w14:paraId="79B91A24" w14:textId="77777777" w:rsidR="0058676B" w:rsidRDefault="00000000">
      <w:r>
        <w:rPr>
          <w:rFonts w:eastAsia="Calibri" w:cs="Calibri"/>
          <w:color w:val="000000" w:themeColor="text1"/>
        </w:rPr>
        <w:t>This section discusses the potential enhancements for SRS resources in Rel-16 for improving the accuracy of SRS-RSRP measurement.</w:t>
      </w:r>
    </w:p>
    <w:p w14:paraId="4D2CD0D6" w14:textId="77777777" w:rsidR="0058676B" w:rsidRDefault="00000000">
      <w:r>
        <w:rPr>
          <w:rFonts w:eastAsia="Calibri" w:cs="Calibri"/>
          <w:color w:val="000000" w:themeColor="text1"/>
        </w:rPr>
        <w:t>According to Rel. 16 SRS-RSRP measurement, victim UE performs CLI measurement on sounding reference signal (SRS) transmitted from the aggressor UE. The victim UE shifts its receiving boundaries by a constant implementation specific offset while receiving the SRS.  As per 38.133 [6],</w:t>
      </w:r>
      <w:r>
        <w:rPr>
          <w:rStyle w:val="CommentReference"/>
          <w:rFonts w:eastAsia="Calibri" w:cs="Calibri"/>
          <w:color w:val="000000" w:themeColor="text1"/>
          <w:sz w:val="22"/>
          <w:szCs w:val="22"/>
        </w:rPr>
        <w:t>￹￹￹￹￹</w:t>
      </w:r>
    </w:p>
    <w:p w14:paraId="4B548206" w14:textId="77777777" w:rsidR="0058676B" w:rsidRDefault="00000000">
      <w:r>
        <w:t xml:space="preserve">the time difference between UE’s DL reference timing in the serving cell and SRS arrival time is no larger than </w:t>
      </w:r>
      <w:proofErr w:type="spellStart"/>
      <w:r>
        <w:t>T</w:t>
      </w:r>
      <w:r>
        <w:rPr>
          <w:vertAlign w:val="subscript"/>
        </w:rPr>
        <w:t>error_SRS_RSRP</w:t>
      </w:r>
      <w:proofErr w:type="spellEnd"/>
      <w:r>
        <w:t xml:space="preserve">, </w:t>
      </w:r>
      <w:proofErr w:type="gramStart"/>
      <w:r>
        <w:t>where</w:t>
      </w:r>
      <w:proofErr w:type="gramEnd"/>
    </w:p>
    <w:p w14:paraId="040D09AF" w14:textId="77777777" w:rsidR="0058676B"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+ 4.67us for FR1 </w:t>
      </w:r>
    </w:p>
    <w:p w14:paraId="03392877" w14:textId="77777777" w:rsidR="0058676B" w:rsidRDefault="00000000">
      <w:pPr>
        <w:pStyle w:val="B2"/>
      </w:pPr>
      <w:r>
        <w:t>-</w:t>
      </w:r>
      <w:r>
        <w:tab/>
      </w:r>
      <w:proofErr w:type="spellStart"/>
      <w:r>
        <w:t>T</w:t>
      </w:r>
      <w:r>
        <w:rPr>
          <w:vertAlign w:val="subscript"/>
        </w:rPr>
        <w:t>error_SRS_RSRP</w:t>
      </w:r>
      <w:proofErr w:type="spellEnd"/>
      <w:r>
        <w:t xml:space="preserve"> = T</w:t>
      </w:r>
      <w:r>
        <w:rPr>
          <w:vertAlign w:val="subscript"/>
        </w:rPr>
        <w:t>C</w:t>
      </w:r>
      <w:r>
        <w:t xml:space="preserve"> × </w:t>
      </w:r>
      <w:proofErr w:type="spellStart"/>
      <w:r>
        <w:t>N</w:t>
      </w:r>
      <w:r>
        <w:rPr>
          <w:vertAlign w:val="subscript"/>
        </w:rPr>
        <w:t>TA_offset</w:t>
      </w:r>
      <w:proofErr w:type="spellEnd"/>
      <w:r>
        <w:t xml:space="preserve"> + 3.67us for FR2 </w:t>
      </w:r>
    </w:p>
    <w:p w14:paraId="42D1FEF3" w14:textId="77777777" w:rsidR="0058676B" w:rsidRDefault="00000000">
      <w:pPr>
        <w:pStyle w:val="B2"/>
      </w:pPr>
      <w:r>
        <w:t>-</w:t>
      </w:r>
      <w:r>
        <w:tab/>
      </w:r>
      <w:proofErr w:type="spellStart"/>
      <w:r>
        <w:t>N</w:t>
      </w:r>
      <w:r>
        <w:rPr>
          <w:vertAlign w:val="subscript"/>
        </w:rPr>
        <w:t>TA_offset</w:t>
      </w:r>
      <w:proofErr w:type="spellEnd"/>
      <w:r>
        <w:t xml:space="preserve"> is defined in Table 7.1.2-2</w:t>
      </w:r>
    </w:p>
    <w:p w14:paraId="0D2E8015" w14:textId="77777777" w:rsidR="0058676B" w:rsidRDefault="00000000">
      <w:pPr>
        <w:pStyle w:val="B2"/>
      </w:pPr>
      <w:r>
        <w:rPr>
          <w:rStyle w:val="CommentReference"/>
          <w:rFonts w:eastAsia="Calibri" w:cs="Calibri"/>
          <w:color w:val="000000" w:themeColor="text1"/>
          <w:sz w:val="22"/>
          <w:szCs w:val="22"/>
        </w:rPr>
        <w:t>-</w:t>
      </w:r>
      <w:r>
        <w:rPr>
          <w:rStyle w:val="CommentReference"/>
          <w:rFonts w:eastAsia="Calibri" w:cs="Calibri"/>
          <w:color w:val="000000" w:themeColor="text1"/>
          <w:sz w:val="22"/>
          <w:szCs w:val="22"/>
        </w:rPr>
        <w:tab/>
        <w:t>T</w:t>
      </w:r>
      <w:r>
        <w:rPr>
          <w:rStyle w:val="CommentReference"/>
          <w:rFonts w:eastAsia="Calibri" w:cs="Calibri"/>
          <w:color w:val="000000" w:themeColor="text1"/>
          <w:sz w:val="22"/>
          <w:szCs w:val="22"/>
          <w:vertAlign w:val="subscript"/>
        </w:rPr>
        <w:t xml:space="preserve">C </w:t>
      </w:r>
      <w:r>
        <w:rPr>
          <w:rStyle w:val="CommentReference"/>
          <w:rFonts w:eastAsia="Calibri" w:cs="Calibri"/>
          <w:color w:val="000000" w:themeColor="text1"/>
          <w:sz w:val="22"/>
          <w:szCs w:val="22"/>
        </w:rPr>
        <w:t>is 0.509ns</w:t>
      </w:r>
    </w:p>
    <w:p w14:paraId="4BF45AE7" w14:textId="77777777" w:rsidR="0058676B" w:rsidRDefault="00000000">
      <w:r>
        <w:rPr>
          <w:rStyle w:val="CommentReference"/>
          <w:rFonts w:eastAsia="Calibri" w:cs="Calibri"/>
          <w:color w:val="000000" w:themeColor="text1"/>
          <w:sz w:val="22"/>
          <w:szCs w:val="22"/>
        </w:rPr>
        <w:t xml:space="preserve">As illustrated in Fig 1A, the SRS symbol is transmitted from UE 2 (aggressor UE) with some timing advance (TA). UE2 is served by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The transmission boundary of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is also shown in the figure. In Fig. 1B, the SRS is received at UE 1 (victim UE), which is served by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after a propagation delay of ‘t’ in case of an ideal scenario. Here, UE 1 has adjusted its reception boundaries to match with the transmission boundaries of its serving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This adjustment is possible since UE 1 knows its own TA </w:t>
      </w:r>
      <w:proofErr w:type="gramStart"/>
      <w:r>
        <w:rPr>
          <w:rStyle w:val="CommentReference"/>
          <w:rFonts w:eastAsia="Calibri" w:cs="Calibri"/>
          <w:color w:val="000000" w:themeColor="text1"/>
          <w:sz w:val="22"/>
          <w:szCs w:val="22"/>
        </w:rPr>
        <w:t xml:space="preserve">and  </w:t>
      </w:r>
      <w:proofErr w:type="spellStart"/>
      <w:r>
        <w:rPr>
          <w:rStyle w:val="CommentReference"/>
          <w:rFonts w:eastAsia="Calibri" w:cs="Calibri"/>
          <w:color w:val="000000" w:themeColor="text1"/>
          <w:sz w:val="22"/>
          <w:szCs w:val="22"/>
        </w:rPr>
        <w:t>N</w:t>
      </w:r>
      <w:r>
        <w:rPr>
          <w:rStyle w:val="CommentReference"/>
          <w:rFonts w:eastAsia="Calibri" w:cs="Calibri"/>
          <w:color w:val="000000" w:themeColor="text1"/>
          <w:sz w:val="22"/>
          <w:szCs w:val="22"/>
          <w:vertAlign w:val="subscript"/>
        </w:rPr>
        <w:t>TA</w:t>
      </w:r>
      <w:proofErr w:type="gramEnd"/>
      <w:r>
        <w:rPr>
          <w:rStyle w:val="CommentReference"/>
          <w:rFonts w:eastAsia="Calibri" w:cs="Calibri"/>
          <w:color w:val="000000" w:themeColor="text1"/>
          <w:sz w:val="22"/>
          <w:szCs w:val="22"/>
          <w:vertAlign w:val="subscript"/>
        </w:rPr>
        <w:t>_offset</w:t>
      </w:r>
      <w:proofErr w:type="spellEnd"/>
      <w:r>
        <w:rPr>
          <w:rStyle w:val="CommentReference"/>
          <w:rFonts w:eastAsia="Calibri" w:cs="Calibri"/>
          <w:color w:val="000000" w:themeColor="text1"/>
          <w:sz w:val="22"/>
          <w:szCs w:val="22"/>
          <w:vertAlign w:val="subscript"/>
        </w:rPr>
        <w:t xml:space="preserve">. </w:t>
      </w:r>
      <w:r>
        <w:rPr>
          <w:rStyle w:val="CommentReference"/>
          <w:rFonts w:eastAsia="Calibri" w:cs="Calibri"/>
          <w:color w:val="000000" w:themeColor="text1"/>
          <w:sz w:val="22"/>
          <w:szCs w:val="22"/>
        </w:rPr>
        <w:t xml:space="preserve">Also, it is assumed that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and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are perfectly synchronized and hence </w:t>
      </w:r>
      <w:r>
        <w:rPr>
          <w:rStyle w:val="CommentReference"/>
          <w:rFonts w:eastAsia="Calibri" w:cs="Calibri"/>
          <w:color w:val="000000" w:themeColor="text1"/>
          <w:sz w:val="22"/>
          <w:szCs w:val="22"/>
        </w:rPr>
        <w:lastRenderedPageBreak/>
        <w:t xml:space="preserve">the transmission boundary of gNB1 and gNB2 are same. In this case, the full SRS sequence can be received by UE 1 since the misalignment in reception is within the CP duration as shown in Fig. 1B. However, in practical scenarios, there is a synchronization error (max 4.67us for FR1 and 3.67us for FR2) between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1 and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2 which is unknown at UE 1.  This is illustrated in Fig 1C. Hence, the reception boundary at UE 1 </w:t>
      </w:r>
      <w:proofErr w:type="gramStart"/>
      <w:r>
        <w:rPr>
          <w:rStyle w:val="CommentReference"/>
          <w:rFonts w:eastAsia="Calibri" w:cs="Calibri"/>
          <w:color w:val="000000" w:themeColor="text1"/>
          <w:sz w:val="22"/>
          <w:szCs w:val="22"/>
        </w:rPr>
        <w:t>still remains</w:t>
      </w:r>
      <w:proofErr w:type="gramEnd"/>
      <w:r>
        <w:rPr>
          <w:rStyle w:val="CommentReference"/>
          <w:rFonts w:eastAsia="Calibri" w:cs="Calibri"/>
          <w:color w:val="000000" w:themeColor="text1"/>
          <w:sz w:val="22"/>
          <w:szCs w:val="22"/>
        </w:rPr>
        <w:t xml:space="preserve"> misaligned by a factor of the synchronization error even after adjustment. Thus, the misalignment in SRS reception by UE1 goes beyond the CP duration resulting in loss of information, especially in cases of small CP duration.  This will degrade the RSRP measured by the UE. </w:t>
      </w:r>
    </w:p>
    <w:p w14:paraId="78502F60" w14:textId="77777777" w:rsidR="0058676B" w:rsidRDefault="0058676B">
      <w:pPr>
        <w:rPr>
          <w:rStyle w:val="CommentReference"/>
          <w:rFonts w:eastAsia="Calibri" w:cs="Calibri"/>
          <w:color w:val="000000" w:themeColor="text1"/>
          <w:sz w:val="22"/>
          <w:szCs w:val="22"/>
        </w:rPr>
      </w:pPr>
    </w:p>
    <w:p w14:paraId="37365F73" w14:textId="77777777" w:rsidR="0058676B" w:rsidRDefault="00000000">
      <w:pPr>
        <w:pStyle w:val="ListParagraph"/>
        <w:rPr>
          <w:rFonts w:eastAsia="Calibri" w:cs="Calibri"/>
          <w:color w:val="000000"/>
        </w:rPr>
      </w:pPr>
      <w:r>
        <w:rPr>
          <w:rFonts w:eastAsia="Calibri" w:cs="Calibri"/>
          <w:noProof/>
          <w:color w:val="000000"/>
        </w:rPr>
        <w:drawing>
          <wp:anchor distT="0" distB="0" distL="0" distR="0" simplePos="0" relativeHeight="2" behindDoc="0" locked="0" layoutInCell="1" allowOverlap="1" wp14:anchorId="6CCA7A25" wp14:editId="2EBCBC4D">
            <wp:simplePos x="0" y="0"/>
            <wp:positionH relativeFrom="column">
              <wp:align>center</wp:align>
            </wp:positionH>
            <wp:positionV relativeFrom="paragraph">
              <wp:posOffset>635</wp:posOffset>
            </wp:positionV>
            <wp:extent cx="3091180" cy="2411730"/>
            <wp:effectExtent l="0" t="0" r="0" b="0"/>
            <wp:wrapTopAndBottom/>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5"/>
                    <a:stretch>
                      <a:fillRect/>
                    </a:stretch>
                  </pic:blipFill>
                  <pic:spPr bwMode="auto">
                    <a:xfrm>
                      <a:off x="0" y="0"/>
                      <a:ext cx="3091180" cy="2411730"/>
                    </a:xfrm>
                    <a:prstGeom prst="rect">
                      <a:avLst/>
                    </a:prstGeom>
                  </pic:spPr>
                </pic:pic>
              </a:graphicData>
            </a:graphic>
          </wp:anchor>
        </w:drawing>
      </w:r>
    </w:p>
    <w:p w14:paraId="3BF89612" w14:textId="77777777" w:rsidR="0058676B" w:rsidRDefault="00000000">
      <w:pPr>
        <w:pStyle w:val="ListParagraph"/>
        <w:jc w:val="center"/>
        <w:rPr>
          <w:rFonts w:eastAsia="Calibri" w:cs="Calibri"/>
          <w:color w:val="000000"/>
        </w:rPr>
      </w:pPr>
      <w:r>
        <w:rPr>
          <w:rStyle w:val="CommentReference"/>
          <w:rFonts w:eastAsia="Calibri" w:cs="Calibri"/>
          <w:color w:val="000000"/>
          <w:sz w:val="22"/>
          <w:szCs w:val="22"/>
        </w:rPr>
        <w:t xml:space="preserve">Fig. 1 Transmission and reception boundaries of SRS at aggressor and victim UEs with and without </w:t>
      </w:r>
      <w:proofErr w:type="spellStart"/>
      <w:r>
        <w:rPr>
          <w:rStyle w:val="CommentReference"/>
          <w:rFonts w:eastAsia="Calibri" w:cs="Calibri"/>
          <w:color w:val="000000"/>
          <w:sz w:val="22"/>
          <w:szCs w:val="22"/>
        </w:rPr>
        <w:t>gNB</w:t>
      </w:r>
      <w:proofErr w:type="spellEnd"/>
      <w:r>
        <w:rPr>
          <w:rStyle w:val="CommentReference"/>
          <w:rFonts w:eastAsia="Calibri" w:cs="Calibri"/>
          <w:color w:val="000000"/>
          <w:sz w:val="22"/>
          <w:szCs w:val="22"/>
        </w:rPr>
        <w:t xml:space="preserve"> synchronization error</w:t>
      </w:r>
    </w:p>
    <w:p w14:paraId="4AA1FB78" w14:textId="77777777" w:rsidR="0058676B" w:rsidRDefault="00000000">
      <w:r>
        <w:rPr>
          <w:rStyle w:val="CommentReference"/>
          <w:rFonts w:eastAsia="Calibri" w:cs="Calibri"/>
          <w:b/>
          <w:bCs/>
          <w:color w:val="000000" w:themeColor="text1"/>
          <w:sz w:val="22"/>
          <w:szCs w:val="22"/>
        </w:rPr>
        <w:t xml:space="preserve">Observation 1: Factors like synchronization errors between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smaller CP length in higher numerologies, higher propagation delay between the UEs and implementation specific adjustment of reception timing causes the misalignment between DL reception timing at victim UE of DL channel/signal transmitted from serving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and DL reception timing at victim UE of CLI measurement resource transmitted from aggressor UE(s) to go beyond CP duration.</w:t>
      </w:r>
    </w:p>
    <w:p w14:paraId="4338F6A5" w14:textId="77777777" w:rsidR="0058676B" w:rsidRDefault="00000000">
      <w:r>
        <w:rPr>
          <w:rStyle w:val="CommentReference"/>
          <w:rFonts w:eastAsia="Calibri" w:cs="Calibri"/>
          <w:color w:val="000000" w:themeColor="text1"/>
          <w:sz w:val="22"/>
          <w:szCs w:val="22"/>
        </w:rPr>
        <w:t xml:space="preserve">The </w:t>
      </w:r>
      <w:proofErr w:type="gramStart"/>
      <w:r>
        <w:rPr>
          <w:rStyle w:val="CommentReference"/>
          <w:rFonts w:eastAsia="Calibri" w:cs="Calibri"/>
          <w:color w:val="000000" w:themeColor="text1"/>
          <w:sz w:val="22"/>
          <w:szCs w:val="22"/>
        </w:rPr>
        <w:t>above mentioned</w:t>
      </w:r>
      <w:proofErr w:type="gramEnd"/>
      <w:r>
        <w:rPr>
          <w:rStyle w:val="CommentReference"/>
          <w:rFonts w:eastAsia="Calibri" w:cs="Calibri"/>
          <w:color w:val="000000" w:themeColor="text1"/>
          <w:sz w:val="22"/>
          <w:szCs w:val="22"/>
        </w:rPr>
        <w:t xml:space="preserve"> issue can be solved by modifying the way of SRS transmission as illustrated in Fig. 2. Here, S1 and S2 are two SRS sequences (same sequence) in frequency domain. S2 is phase rotated by a certain </w:t>
      </w:r>
      <w:proofErr w:type="gramStart"/>
      <w:r>
        <w:rPr>
          <w:rStyle w:val="CommentReference"/>
          <w:rFonts w:eastAsia="Calibri" w:cs="Calibri"/>
          <w:color w:val="000000" w:themeColor="text1"/>
          <w:sz w:val="22"/>
          <w:szCs w:val="22"/>
        </w:rPr>
        <w:t>factor  such</w:t>
      </w:r>
      <w:proofErr w:type="gramEnd"/>
      <w:r>
        <w:rPr>
          <w:rStyle w:val="CommentReference"/>
          <w:rFonts w:eastAsia="Calibri" w:cs="Calibri"/>
          <w:color w:val="000000" w:themeColor="text1"/>
          <w:sz w:val="22"/>
          <w:szCs w:val="22"/>
        </w:rPr>
        <w:t xml:space="preserve"> that after taking IFFT and adding CP, time domain continuity is maintained over the 2 symbols. The design is </w:t>
      </w:r>
      <w:proofErr w:type="gramStart"/>
      <w:r>
        <w:rPr>
          <w:rStyle w:val="CommentReference"/>
          <w:rFonts w:eastAsia="Calibri" w:cs="Calibri"/>
          <w:color w:val="000000" w:themeColor="text1"/>
          <w:sz w:val="22"/>
          <w:szCs w:val="22"/>
        </w:rPr>
        <w:t>similar to</w:t>
      </w:r>
      <w:proofErr w:type="gramEnd"/>
      <w:r>
        <w:rPr>
          <w:rStyle w:val="CommentReference"/>
          <w:rFonts w:eastAsia="Calibri" w:cs="Calibri"/>
          <w:color w:val="000000" w:themeColor="text1"/>
          <w:sz w:val="22"/>
          <w:szCs w:val="22"/>
        </w:rPr>
        <w:t xml:space="preserve"> Rel. 16 RIM RS. The proposed method of transmitting the symbol will ensure that the SRS misalignment does not go beyond the CP duration. As a result, SRS information is not lost despite the synchronization error between the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DL rate matching around SRS can further improve the CLI measurement accuracy.</w:t>
      </w:r>
    </w:p>
    <w:p w14:paraId="7B5AFFCA" w14:textId="77777777" w:rsidR="0058676B" w:rsidRDefault="0058676B">
      <w:pPr>
        <w:rPr>
          <w:rStyle w:val="CommentReference"/>
          <w:sz w:val="22"/>
          <w:szCs w:val="22"/>
        </w:rPr>
      </w:pPr>
    </w:p>
    <w:p w14:paraId="6D13DF24" w14:textId="77777777" w:rsidR="0058676B" w:rsidRDefault="00000000">
      <w:pPr>
        <w:rPr>
          <w:rStyle w:val="CommentReference"/>
          <w:sz w:val="22"/>
          <w:szCs w:val="22"/>
        </w:rPr>
      </w:pPr>
      <w:r>
        <w:rPr>
          <w:noProof/>
        </w:rPr>
        <w:drawing>
          <wp:anchor distT="0" distB="0" distL="0" distR="0" simplePos="0" relativeHeight="3" behindDoc="0" locked="0" layoutInCell="1" allowOverlap="1" wp14:anchorId="1990AE51" wp14:editId="5E7C12D2">
            <wp:simplePos x="0" y="0"/>
            <wp:positionH relativeFrom="column">
              <wp:align>center</wp:align>
            </wp:positionH>
            <wp:positionV relativeFrom="paragraph">
              <wp:posOffset>635</wp:posOffset>
            </wp:positionV>
            <wp:extent cx="2618105" cy="1542415"/>
            <wp:effectExtent l="0" t="0" r="0" b="0"/>
            <wp:wrapTopAndBottom/>
            <wp:docPr id="2" name="I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3"/>
                    <pic:cNvPicPr>
                      <a:picLocks noChangeAspect="1" noChangeArrowheads="1"/>
                    </pic:cNvPicPr>
                  </pic:nvPicPr>
                  <pic:blipFill>
                    <a:blip r:embed="rId6"/>
                    <a:stretch>
                      <a:fillRect/>
                    </a:stretch>
                  </pic:blipFill>
                  <pic:spPr bwMode="auto">
                    <a:xfrm>
                      <a:off x="0" y="0"/>
                      <a:ext cx="2618105" cy="1542415"/>
                    </a:xfrm>
                    <a:prstGeom prst="rect">
                      <a:avLst/>
                    </a:prstGeom>
                  </pic:spPr>
                </pic:pic>
              </a:graphicData>
            </a:graphic>
          </wp:anchor>
        </w:drawing>
      </w:r>
    </w:p>
    <w:p w14:paraId="2E646489" w14:textId="77777777" w:rsidR="0058676B" w:rsidRDefault="00000000">
      <w:pPr>
        <w:pStyle w:val="ListParagraph"/>
        <w:jc w:val="center"/>
        <w:rPr>
          <w:rFonts w:eastAsia="Calibri" w:cs="Calibri"/>
          <w:color w:val="000000"/>
        </w:rPr>
      </w:pPr>
      <w:r>
        <w:rPr>
          <w:rStyle w:val="CommentReference"/>
          <w:rFonts w:eastAsia="Calibri" w:cs="Calibri"/>
          <w:color w:val="000000"/>
          <w:sz w:val="22"/>
          <w:szCs w:val="22"/>
        </w:rPr>
        <w:lastRenderedPageBreak/>
        <w:t>Fig. 2 Phase rotated SRS transmission</w:t>
      </w:r>
    </w:p>
    <w:p w14:paraId="5C71AA5E" w14:textId="77777777" w:rsidR="0058676B" w:rsidRDefault="00000000">
      <w:r>
        <w:rPr>
          <w:rFonts w:eastAsia="Calibri" w:cs="Calibri"/>
          <w:color w:val="000000" w:themeColor="text1"/>
        </w:rPr>
        <w:t xml:space="preserve">A simple </w:t>
      </w:r>
      <w:proofErr w:type="gramStart"/>
      <w:r>
        <w:rPr>
          <w:rFonts w:eastAsia="Calibri" w:cs="Calibri"/>
          <w:color w:val="000000" w:themeColor="text1"/>
        </w:rPr>
        <w:t>simulation based</w:t>
      </w:r>
      <w:proofErr w:type="gramEnd"/>
      <w:r>
        <w:rPr>
          <w:rFonts w:eastAsia="Calibri" w:cs="Calibri"/>
          <w:color w:val="000000" w:themeColor="text1"/>
        </w:rPr>
        <w:t xml:space="preserve"> comparison for RSRP measurement between Rel. 16 SRS transmission and the proposed method of SRS transmission is shown in Fig. 3. The simulation assumes FR2 and corresponding synchronization error (3.67 us) between </w:t>
      </w:r>
      <w:proofErr w:type="spellStart"/>
      <w:r>
        <w:rPr>
          <w:rFonts w:eastAsia="Calibri" w:cs="Calibri"/>
          <w:color w:val="000000" w:themeColor="text1"/>
        </w:rPr>
        <w:t>gNB</w:t>
      </w:r>
      <w:proofErr w:type="spellEnd"/>
      <w:r>
        <w:rPr>
          <w:rFonts w:eastAsia="Calibri" w:cs="Calibri"/>
          <w:color w:val="000000" w:themeColor="text1"/>
        </w:rPr>
        <w:t xml:space="preserve">. The reception boundary is adjusted by TA + </w:t>
      </w:r>
      <w:proofErr w:type="spellStart"/>
      <w:r>
        <w:rPr>
          <w:rStyle w:val="CommentReference"/>
          <w:rFonts w:eastAsia="Calibri" w:cs="Calibri"/>
          <w:color w:val="000000" w:themeColor="text1"/>
          <w:sz w:val="22"/>
          <w:szCs w:val="22"/>
        </w:rPr>
        <w:t>N</w:t>
      </w:r>
      <w:r>
        <w:rPr>
          <w:rStyle w:val="CommentReference"/>
          <w:rFonts w:eastAsia="Calibri" w:cs="Calibri"/>
          <w:color w:val="000000" w:themeColor="text1"/>
          <w:sz w:val="22"/>
          <w:szCs w:val="22"/>
          <w:vertAlign w:val="subscript"/>
        </w:rPr>
        <w:t>TA_offset</w:t>
      </w:r>
      <w:proofErr w:type="spellEnd"/>
      <w:r>
        <w:rPr>
          <w:rStyle w:val="CommentReference"/>
          <w:rFonts w:eastAsia="Calibri" w:cs="Calibri"/>
          <w:color w:val="000000" w:themeColor="text1"/>
          <w:sz w:val="22"/>
          <w:szCs w:val="22"/>
          <w:vertAlign w:val="subscript"/>
        </w:rPr>
        <w:t xml:space="preserve"> </w:t>
      </w:r>
      <w:r>
        <w:rPr>
          <w:rStyle w:val="CommentReference"/>
          <w:rFonts w:eastAsia="Calibri" w:cs="Calibri"/>
          <w:color w:val="000000" w:themeColor="text1"/>
          <w:sz w:val="22"/>
          <w:szCs w:val="22"/>
        </w:rPr>
        <w:t>by the victim UE.</w:t>
      </w:r>
      <w:r>
        <w:rPr>
          <w:rStyle w:val="CommentReference"/>
          <w:rFonts w:eastAsia="Calibri" w:cs="Calibri"/>
          <w:color w:val="000000" w:themeColor="text1"/>
          <w:sz w:val="22"/>
          <w:szCs w:val="22"/>
          <w:vertAlign w:val="subscript"/>
        </w:rPr>
        <w:t xml:space="preserve"> </w:t>
      </w:r>
      <w:r>
        <w:rPr>
          <w:rFonts w:eastAsia="Calibri" w:cs="Calibri"/>
          <w:color w:val="000000" w:themeColor="text1"/>
        </w:rPr>
        <w:t xml:space="preserve">The measured RSRP is compared with the RSRP of a sequence without noise to calculate the error. The CP duration decreases as the numerology is increased. As a result, for constant synchronization error, more amount of SRS information is lost in Rel. 16 transmission scheme as numerology increases which degrades the RSRP. However, in </w:t>
      </w:r>
      <w:proofErr w:type="gramStart"/>
      <w:r>
        <w:rPr>
          <w:rFonts w:eastAsia="Calibri" w:cs="Calibri"/>
          <w:color w:val="000000" w:themeColor="text1"/>
        </w:rPr>
        <w:t>case</w:t>
      </w:r>
      <w:proofErr w:type="gramEnd"/>
      <w:r>
        <w:rPr>
          <w:rFonts w:eastAsia="Calibri" w:cs="Calibri"/>
          <w:color w:val="000000" w:themeColor="text1"/>
        </w:rPr>
        <w:t xml:space="preserve"> of the proposed method, the error in RSRP is independent of the numerology.  </w:t>
      </w:r>
    </w:p>
    <w:p w14:paraId="0FA1C6BF" w14:textId="77777777" w:rsidR="0058676B" w:rsidRDefault="00000000">
      <w:r>
        <w:rPr>
          <w:noProof/>
        </w:rPr>
        <w:drawing>
          <wp:anchor distT="0" distB="0" distL="0" distR="0" simplePos="0" relativeHeight="4" behindDoc="0" locked="0" layoutInCell="1" allowOverlap="1" wp14:anchorId="58EAE15F" wp14:editId="45D4E69B">
            <wp:simplePos x="0" y="0"/>
            <wp:positionH relativeFrom="column">
              <wp:align>center</wp:align>
            </wp:positionH>
            <wp:positionV relativeFrom="paragraph">
              <wp:posOffset>635</wp:posOffset>
            </wp:positionV>
            <wp:extent cx="3719195" cy="2106295"/>
            <wp:effectExtent l="0" t="0" r="0" b="0"/>
            <wp:wrapTopAndBottom/>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7"/>
                    <a:stretch>
                      <a:fillRect/>
                    </a:stretch>
                  </pic:blipFill>
                  <pic:spPr bwMode="auto">
                    <a:xfrm>
                      <a:off x="0" y="0"/>
                      <a:ext cx="3719195" cy="2106295"/>
                    </a:xfrm>
                    <a:prstGeom prst="rect">
                      <a:avLst/>
                    </a:prstGeom>
                  </pic:spPr>
                </pic:pic>
              </a:graphicData>
            </a:graphic>
          </wp:anchor>
        </w:drawing>
      </w:r>
    </w:p>
    <w:p w14:paraId="4C5244C2" w14:textId="77777777" w:rsidR="0058676B" w:rsidRDefault="0058676B">
      <w:pPr>
        <w:pStyle w:val="ListParagraph"/>
        <w:rPr>
          <w:rFonts w:eastAsia="Calibri" w:cs="Calibri"/>
          <w:color w:val="000000"/>
        </w:rPr>
      </w:pPr>
    </w:p>
    <w:p w14:paraId="0B24A93C" w14:textId="77777777" w:rsidR="0058676B" w:rsidRDefault="00000000">
      <w:pPr>
        <w:pStyle w:val="ListParagraph"/>
        <w:jc w:val="center"/>
        <w:rPr>
          <w:rFonts w:eastAsia="Calibri" w:cs="Calibri"/>
          <w:color w:val="000000"/>
        </w:rPr>
      </w:pPr>
      <w:r>
        <w:rPr>
          <w:rStyle w:val="CommentReference"/>
          <w:rFonts w:eastAsia="Calibri" w:cs="Calibri"/>
          <w:color w:val="000000"/>
          <w:sz w:val="22"/>
          <w:szCs w:val="22"/>
        </w:rPr>
        <w:t>Fig. 3 Comparison of error in SRS RSRP measurement for Rel. 16 SRS transmission and the proposed method</w:t>
      </w:r>
    </w:p>
    <w:p w14:paraId="187D25B6" w14:textId="77777777" w:rsidR="0058676B" w:rsidRDefault="00000000">
      <w:r>
        <w:rPr>
          <w:rStyle w:val="CommentReference"/>
          <w:rFonts w:eastAsia="Calibri" w:cs="Calibri"/>
          <w:color w:val="000000" w:themeColor="text1"/>
          <w:sz w:val="22"/>
          <w:szCs w:val="22"/>
        </w:rPr>
        <w:t>Further, using the proposed method, no TA adjustment is required at the aggressor UE side. TA adjustment at aggressor UE side will be an issue in case of multiple victim UEs receiving the SRS from one aggressor. Similarly, one victim UE can receive the SRS properly from multiple aggressor UEs since there is no UE specific reception timing adjustment required with the proposed method.</w:t>
      </w:r>
    </w:p>
    <w:p w14:paraId="141C7277" w14:textId="77777777" w:rsidR="0058676B" w:rsidRDefault="00000000">
      <w:r>
        <w:rPr>
          <w:rStyle w:val="CommentReference"/>
          <w:rFonts w:eastAsia="Calibri" w:cs="Calibri"/>
          <w:b/>
          <w:bCs/>
          <w:color w:val="000000" w:themeColor="text1"/>
          <w:sz w:val="22"/>
          <w:szCs w:val="22"/>
        </w:rPr>
        <w:t>Observation 2: Timing adjustment for transmission or reception by aggressor and victim UE respectively will restrict SRS RSRP measurement in scenarios of multiple aggressor and victim UEs.</w:t>
      </w:r>
    </w:p>
    <w:p w14:paraId="225FED50" w14:textId="77777777" w:rsidR="0058676B" w:rsidRDefault="00000000">
      <w:r>
        <w:rPr>
          <w:rStyle w:val="CommentReference"/>
          <w:rFonts w:eastAsia="Calibri" w:cs="Calibri"/>
          <w:b/>
          <w:bCs/>
          <w:color w:val="000000" w:themeColor="text1"/>
          <w:sz w:val="22"/>
          <w:szCs w:val="22"/>
        </w:rPr>
        <w:t>Observation 3: SRS RSRP measured on phase rotated SRS symbols (Enhanced Rel. 16 SRS) repeated in time domain (</w:t>
      </w:r>
      <w:proofErr w:type="gramStart"/>
      <w:r>
        <w:rPr>
          <w:rStyle w:val="CommentReference"/>
          <w:rFonts w:eastAsia="Calibri" w:cs="Calibri"/>
          <w:b/>
          <w:bCs/>
          <w:color w:val="000000" w:themeColor="text1"/>
          <w:sz w:val="22"/>
          <w:szCs w:val="22"/>
        </w:rPr>
        <w:t>similar to</w:t>
      </w:r>
      <w:proofErr w:type="gramEnd"/>
      <w:r>
        <w:rPr>
          <w:rStyle w:val="CommentReference"/>
          <w:rFonts w:eastAsia="Calibri" w:cs="Calibri"/>
          <w:b/>
          <w:bCs/>
          <w:color w:val="000000" w:themeColor="text1"/>
          <w:sz w:val="22"/>
          <w:szCs w:val="22"/>
        </w:rPr>
        <w:t xml:space="preserve"> RIM RS design principle) has the following advantages-</w:t>
      </w:r>
    </w:p>
    <w:p w14:paraId="551FE4BC" w14:textId="77777777" w:rsidR="0058676B" w:rsidRDefault="00000000">
      <w:r>
        <w:rPr>
          <w:rStyle w:val="CommentReference"/>
          <w:rFonts w:eastAsia="Calibri" w:cs="Calibri"/>
          <w:b/>
          <w:bCs/>
          <w:color w:val="000000" w:themeColor="text1"/>
          <w:sz w:val="22"/>
          <w:szCs w:val="22"/>
        </w:rPr>
        <w:tab/>
        <w:t xml:space="preserve">a. SRS RSRP accuracy improves as compared to accuracy using Rel. 16 CLI RSRP </w:t>
      </w:r>
      <w:r>
        <w:rPr>
          <w:rStyle w:val="CommentReference"/>
          <w:rFonts w:eastAsia="Calibri" w:cs="Calibri"/>
          <w:b/>
          <w:bCs/>
          <w:color w:val="000000" w:themeColor="text1"/>
          <w:sz w:val="22"/>
          <w:szCs w:val="22"/>
        </w:rPr>
        <w:tab/>
        <w:t>measurement method based on Rel. 16 SRS.</w:t>
      </w:r>
    </w:p>
    <w:p w14:paraId="4396F5DC" w14:textId="77777777" w:rsidR="0058676B" w:rsidRDefault="00000000">
      <w:r>
        <w:rPr>
          <w:rStyle w:val="CommentReference"/>
          <w:rFonts w:eastAsia="Calibri" w:cs="Calibri"/>
          <w:b/>
          <w:bCs/>
          <w:color w:val="000000" w:themeColor="text1"/>
          <w:sz w:val="22"/>
          <w:szCs w:val="22"/>
        </w:rPr>
        <w:tab/>
        <w:t xml:space="preserve">b. No need for TA adjustment at the aggressor UE. Thus, SRS RSRP measurement can be </w:t>
      </w:r>
      <w:r>
        <w:rPr>
          <w:rStyle w:val="CommentReference"/>
          <w:rFonts w:eastAsia="Calibri" w:cs="Calibri"/>
          <w:b/>
          <w:bCs/>
          <w:color w:val="000000" w:themeColor="text1"/>
          <w:sz w:val="22"/>
          <w:szCs w:val="22"/>
        </w:rPr>
        <w:tab/>
        <w:t>done by multiple victim UEs.</w:t>
      </w:r>
    </w:p>
    <w:p w14:paraId="1162D28A" w14:textId="77777777" w:rsidR="0058676B" w:rsidRDefault="00000000">
      <w:r>
        <w:rPr>
          <w:rStyle w:val="CommentReference"/>
          <w:rFonts w:eastAsia="Calibri" w:cs="Calibri"/>
          <w:b/>
          <w:bCs/>
          <w:color w:val="000000" w:themeColor="text1"/>
          <w:sz w:val="22"/>
          <w:szCs w:val="22"/>
        </w:rPr>
        <w:tab/>
        <w:t xml:space="preserve">c. SRS RSRP measurement can be done by a single victim UE from </w:t>
      </w:r>
      <w:proofErr w:type="gramStart"/>
      <w:r>
        <w:rPr>
          <w:rStyle w:val="CommentReference"/>
          <w:rFonts w:eastAsia="Calibri" w:cs="Calibri"/>
          <w:b/>
          <w:bCs/>
          <w:color w:val="000000" w:themeColor="text1"/>
          <w:sz w:val="22"/>
          <w:szCs w:val="22"/>
        </w:rPr>
        <w:t>multiple  aggressor</w:t>
      </w:r>
      <w:proofErr w:type="gramEnd"/>
      <w:r>
        <w:rPr>
          <w:rStyle w:val="CommentReference"/>
          <w:rFonts w:eastAsia="Calibri" w:cs="Calibri"/>
          <w:b/>
          <w:bCs/>
          <w:color w:val="000000" w:themeColor="text1"/>
          <w:sz w:val="22"/>
          <w:szCs w:val="22"/>
        </w:rPr>
        <w:t xml:space="preserve"> UEs.</w:t>
      </w:r>
    </w:p>
    <w:p w14:paraId="1733B4E7" w14:textId="77777777" w:rsidR="0058676B" w:rsidRDefault="00000000">
      <w:r>
        <w:rPr>
          <w:rStyle w:val="CommentReference"/>
          <w:rFonts w:eastAsia="Calibri" w:cs="Calibri"/>
          <w:color w:val="000000" w:themeColor="text1"/>
          <w:sz w:val="22"/>
          <w:szCs w:val="22"/>
        </w:rPr>
        <w:t xml:space="preserve">Moreover, RIM RS design has already been proven to work in case of </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-to-</w:t>
      </w:r>
      <w:proofErr w:type="spellStart"/>
      <w:r>
        <w:rPr>
          <w:rStyle w:val="CommentReference"/>
          <w:rFonts w:eastAsia="Calibri" w:cs="Calibri"/>
          <w:color w:val="000000" w:themeColor="text1"/>
          <w:sz w:val="22"/>
          <w:szCs w:val="22"/>
        </w:rPr>
        <w:t>gNB</w:t>
      </w:r>
      <w:proofErr w:type="spellEnd"/>
      <w:r>
        <w:rPr>
          <w:rStyle w:val="CommentReference"/>
          <w:rFonts w:eastAsia="Calibri" w:cs="Calibri"/>
          <w:color w:val="000000" w:themeColor="text1"/>
          <w:sz w:val="22"/>
          <w:szCs w:val="22"/>
        </w:rPr>
        <w:t xml:space="preserve"> interference measurement where there is timing </w:t>
      </w:r>
      <w:proofErr w:type="spellStart"/>
      <w:r>
        <w:rPr>
          <w:rStyle w:val="CommentReference"/>
          <w:rFonts w:eastAsia="Calibri" w:cs="Calibri"/>
          <w:color w:val="000000" w:themeColor="text1"/>
          <w:sz w:val="22"/>
          <w:szCs w:val="22"/>
        </w:rPr>
        <w:t>synchronisation</w:t>
      </w:r>
      <w:proofErr w:type="spellEnd"/>
      <w:r>
        <w:rPr>
          <w:rStyle w:val="CommentReference"/>
          <w:rFonts w:eastAsia="Calibri" w:cs="Calibri"/>
          <w:color w:val="000000" w:themeColor="text1"/>
          <w:sz w:val="22"/>
          <w:szCs w:val="22"/>
        </w:rPr>
        <w:t xml:space="preserve"> misalignment between the </w:t>
      </w:r>
      <w:proofErr w:type="spellStart"/>
      <w:r>
        <w:rPr>
          <w:rStyle w:val="CommentReference"/>
          <w:rFonts w:eastAsia="Calibri" w:cs="Calibri"/>
          <w:color w:val="000000" w:themeColor="text1"/>
          <w:sz w:val="22"/>
          <w:szCs w:val="22"/>
        </w:rPr>
        <w:t>gNBs</w:t>
      </w:r>
      <w:proofErr w:type="spellEnd"/>
      <w:r>
        <w:rPr>
          <w:rStyle w:val="CommentReference"/>
          <w:rFonts w:eastAsia="Calibri" w:cs="Calibri"/>
          <w:color w:val="000000" w:themeColor="text1"/>
          <w:sz w:val="22"/>
          <w:szCs w:val="22"/>
        </w:rPr>
        <w:t>. The same design principle can be applied to enhance the Rel. 16 SRS.</w:t>
      </w:r>
    </w:p>
    <w:p w14:paraId="35AFC14F" w14:textId="77777777" w:rsidR="0058676B" w:rsidRDefault="00000000">
      <w:r>
        <w:rPr>
          <w:rStyle w:val="CommentReference"/>
          <w:rFonts w:eastAsia="Calibri" w:cs="Calibri"/>
          <w:b/>
          <w:bCs/>
          <w:color w:val="000000" w:themeColor="text1"/>
          <w:sz w:val="22"/>
          <w:szCs w:val="22"/>
        </w:rPr>
        <w:t xml:space="preserve">Observation 4: RIM RS design has already been proven to work in case of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-to-</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interference measurement where there is timing </w:t>
      </w:r>
      <w:proofErr w:type="spellStart"/>
      <w:r>
        <w:rPr>
          <w:rStyle w:val="CommentReference"/>
          <w:rFonts w:eastAsia="Calibri" w:cs="Calibri"/>
          <w:b/>
          <w:bCs/>
          <w:color w:val="000000" w:themeColor="text1"/>
          <w:sz w:val="22"/>
          <w:szCs w:val="22"/>
        </w:rPr>
        <w:t>synchronisation</w:t>
      </w:r>
      <w:proofErr w:type="spellEnd"/>
      <w:r>
        <w:rPr>
          <w:rStyle w:val="CommentReference"/>
          <w:rFonts w:eastAsia="Calibri" w:cs="Calibri"/>
          <w:b/>
          <w:bCs/>
          <w:color w:val="000000" w:themeColor="text1"/>
          <w:sz w:val="22"/>
          <w:szCs w:val="22"/>
        </w:rPr>
        <w:t xml:space="preserve"> misalignment between the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The same design principle can be applied to enhance the Rel. 16 SRS by phase rotating the symbols and repeating them in time domain.</w:t>
      </w:r>
    </w:p>
    <w:p w14:paraId="3297C0CD" w14:textId="77777777" w:rsidR="0058676B" w:rsidRDefault="00000000">
      <w:r>
        <w:rPr>
          <w:rStyle w:val="CommentReference"/>
          <w:rFonts w:eastAsia="Calibri" w:cs="Calibri"/>
          <w:color w:val="000000" w:themeColor="text1"/>
          <w:sz w:val="22"/>
          <w:szCs w:val="22"/>
        </w:rPr>
        <w:lastRenderedPageBreak/>
        <w:t>Based on the above agreement and observations, the following proposal is made along the lines of moderator’s proposal in the previous meeting RAN1 #113 [3].</w:t>
      </w:r>
    </w:p>
    <w:p w14:paraId="02CC4ECB" w14:textId="77777777" w:rsidR="0058676B" w:rsidRDefault="00000000">
      <w:pPr>
        <w:rPr>
          <w:rStyle w:val="StrongEmphasis"/>
          <w:rFonts w:eastAsia="Malgun Gothic"/>
          <w:b w:val="0"/>
          <w:bCs w:val="0"/>
          <w:color w:val="000000" w:themeColor="text1"/>
          <w:lang w:eastAsia="ko-KR"/>
        </w:rPr>
      </w:pPr>
      <w:r>
        <w:rPr>
          <w:rStyle w:val="CommentReference"/>
          <w:rFonts w:eastAsia="Calibri" w:cs="Calibri"/>
          <w:b/>
          <w:bCs/>
          <w:color w:val="000000" w:themeColor="text1"/>
          <w:sz w:val="22"/>
          <w:szCs w:val="22"/>
        </w:rPr>
        <w:t xml:space="preserve">Proposal 2: </w:t>
      </w:r>
    </w:p>
    <w:p w14:paraId="72F77ECF" w14:textId="77777777" w:rsidR="0058676B" w:rsidRDefault="00000000">
      <w:pPr>
        <w:rPr>
          <w:b/>
          <w:bCs/>
        </w:rPr>
      </w:pPr>
      <w:r>
        <w:rPr>
          <w:b/>
          <w:bCs/>
        </w:rPr>
        <w:t xml:space="preserve">From the study the UE-to-UE co-channel CLI measurement inaccuracy at victim UE due to misalignment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following is observed:</w:t>
      </w:r>
    </w:p>
    <w:p w14:paraId="1BC8CCD4" w14:textId="77777777" w:rsidR="0058676B" w:rsidRDefault="00000000">
      <w:pPr>
        <w:pStyle w:val="ListParagraph"/>
        <w:numPr>
          <w:ilvl w:val="0"/>
          <w:numId w:val="4"/>
        </w:numPr>
        <w:rPr>
          <w:b/>
          <w:bCs/>
        </w:rPr>
      </w:pPr>
      <w:r>
        <w:rPr>
          <w:b/>
          <w:bCs/>
        </w:rPr>
        <w:t xml:space="preserve">In case of misalignment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UE-to-UE co-channel measurement inaccuracy at victim UE exists. And when the subcarrier spacing is higher, the UE-to-UE CLI measurement inaccuracy is increased.</w:t>
      </w:r>
    </w:p>
    <w:p w14:paraId="0166B4B7" w14:textId="77777777" w:rsidR="0058676B" w:rsidRDefault="00000000">
      <w:pPr>
        <w:pStyle w:val="ListParagraph"/>
        <w:numPr>
          <w:ilvl w:val="0"/>
          <w:numId w:val="4"/>
        </w:numPr>
        <w:rPr>
          <w:b/>
          <w:bCs/>
        </w:rPr>
      </w:pPr>
      <w:r>
        <w:rPr>
          <w:b/>
          <w:bCs/>
        </w:rPr>
        <w:t xml:space="preserve">Timing 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can be beneficial for reducing the CLI measurement error in RSRP.</w:t>
      </w:r>
    </w:p>
    <w:p w14:paraId="5C2F7FD5" w14:textId="77777777" w:rsidR="0058676B" w:rsidRDefault="0058676B">
      <w:pPr>
        <w:pStyle w:val="ListParagraph"/>
        <w:rPr>
          <w:b/>
          <w:bCs/>
        </w:rPr>
      </w:pPr>
    </w:p>
    <w:p w14:paraId="254806CB" w14:textId="77777777" w:rsidR="0058676B" w:rsidRDefault="00000000">
      <w:pPr>
        <w:numPr>
          <w:ilvl w:val="1"/>
          <w:numId w:val="2"/>
        </w:numPr>
        <w:rPr>
          <w:b/>
          <w:bCs/>
          <w:sz w:val="24"/>
        </w:rPr>
      </w:pPr>
      <w:r>
        <w:rPr>
          <w:b/>
          <w:bCs/>
          <w:sz w:val="24"/>
        </w:rPr>
        <w:t>Proposal for Conclusion section in TR</w:t>
      </w:r>
    </w:p>
    <w:p w14:paraId="573954B7" w14:textId="77777777" w:rsidR="0058676B" w:rsidRDefault="00000000">
      <w:pPr>
        <w:ind w:left="9"/>
      </w:pPr>
      <w:r>
        <w:t xml:space="preserve">Based on all the agreements and discussion in the previous meetings, we try to summarize the important aspects of </w:t>
      </w:r>
      <w:r>
        <w:rPr>
          <w:spacing w:val="5"/>
        </w:rPr>
        <w:t xml:space="preserve">UE-to-UE co-channel CLI in this section. </w:t>
      </w:r>
    </w:p>
    <w:p w14:paraId="4D73C872" w14:textId="77777777" w:rsidR="0058676B" w:rsidRDefault="00000000">
      <w:pPr>
        <w:numPr>
          <w:ilvl w:val="0"/>
          <w:numId w:val="6"/>
        </w:numPr>
      </w:pPr>
      <w:r>
        <w:rPr>
          <w:spacing w:val="5"/>
        </w:rPr>
        <w:t>L1/L2 based UE-to-UE CLI measurement and reporting</w:t>
      </w:r>
      <w:r>
        <w:t xml:space="preserve"> </w:t>
      </w:r>
      <w:proofErr w:type="gramStart"/>
      <w:r>
        <w:t xml:space="preserve">in  </w:t>
      </w:r>
      <w:r>
        <w:rPr>
          <w:spacing w:val="5"/>
        </w:rPr>
        <w:t>UE</w:t>
      </w:r>
      <w:proofErr w:type="gramEnd"/>
      <w:r>
        <w:rPr>
          <w:spacing w:val="5"/>
        </w:rPr>
        <w:t xml:space="preserve">-to-UE co-channel CLI </w:t>
      </w:r>
      <w:r>
        <w:t xml:space="preserve">have been extensively discussed in the previous meetings. </w:t>
      </w:r>
    </w:p>
    <w:p w14:paraId="6DDDA0B1" w14:textId="77777777" w:rsidR="0058676B" w:rsidRDefault="00000000">
      <w:pPr>
        <w:numPr>
          <w:ilvl w:val="0"/>
          <w:numId w:val="6"/>
        </w:numPr>
      </w:pPr>
      <w:r>
        <w:rPr>
          <w:spacing w:val="5"/>
        </w:rPr>
        <w:t xml:space="preserve">Apart from that, as mentioned in section 2.1, spatial domain coordination has also been discussed in the previous meetings. Proposal 1 in this contribution proposes the details of </w:t>
      </w:r>
      <w:proofErr w:type="gramStart"/>
      <w:r>
        <w:rPr>
          <w:spacing w:val="5"/>
        </w:rPr>
        <w:t>the  spatial</w:t>
      </w:r>
      <w:proofErr w:type="gramEnd"/>
      <w:r>
        <w:rPr>
          <w:spacing w:val="5"/>
        </w:rPr>
        <w:t xml:space="preserve"> domain coordination method which can be agreed upon in this meeting. </w:t>
      </w:r>
    </w:p>
    <w:p w14:paraId="6A6A99FD" w14:textId="77777777" w:rsidR="0058676B" w:rsidRDefault="00000000">
      <w:pPr>
        <w:numPr>
          <w:ilvl w:val="0"/>
          <w:numId w:val="6"/>
        </w:numPr>
      </w:pPr>
      <w:r>
        <w:rPr>
          <w:spacing w:val="5"/>
        </w:rPr>
        <w:t xml:space="preserve">Further, in our understanding, improving the accuracy </w:t>
      </w:r>
      <w:proofErr w:type="gramStart"/>
      <w:r>
        <w:rPr>
          <w:spacing w:val="5"/>
        </w:rPr>
        <w:t>of  UE</w:t>
      </w:r>
      <w:proofErr w:type="gramEnd"/>
      <w:r>
        <w:rPr>
          <w:spacing w:val="5"/>
        </w:rPr>
        <w:t xml:space="preserve">-to-UE CLI measurement as compared to Rel. 16 CLI measurement is an important aspect specifically considering  L1/L2 based UE-to-UE CLI measurement and reporting  which requires accurate  measurement. In this context, as per the agreement, observations and details provided in section 2.2, the CLI measurement accuracy will be impacted by the UE and </w:t>
      </w:r>
      <w:proofErr w:type="spellStart"/>
      <w:r>
        <w:rPr>
          <w:spacing w:val="5"/>
        </w:rPr>
        <w:t>gNB</w:t>
      </w:r>
      <w:proofErr w:type="spellEnd"/>
      <w:r>
        <w:rPr>
          <w:spacing w:val="5"/>
        </w:rPr>
        <w:t xml:space="preserve"> transmission and reception timing.</w:t>
      </w:r>
    </w:p>
    <w:p w14:paraId="16A26A23" w14:textId="77777777" w:rsidR="0058676B" w:rsidRDefault="00000000">
      <w:pPr>
        <w:numPr>
          <w:ilvl w:val="0"/>
          <w:numId w:val="6"/>
        </w:numPr>
      </w:pPr>
      <w:r>
        <w:rPr>
          <w:spacing w:val="5"/>
        </w:rPr>
        <w:t xml:space="preserve">In Rel. 16 UE-to-UE co-channel CLI management, relevant information exchange required to support this was not agreed. An agreement was made in RAN1 #110 [4] on relevant information exchange </w:t>
      </w:r>
      <w:proofErr w:type="gramStart"/>
      <w:r>
        <w:rPr>
          <w:spacing w:val="5"/>
        </w:rPr>
        <w:t>for  UE</w:t>
      </w:r>
      <w:proofErr w:type="gramEnd"/>
      <w:r>
        <w:rPr>
          <w:spacing w:val="5"/>
        </w:rPr>
        <w:t xml:space="preserve">-to-UE co-channel CLI measurement and reporting. </w:t>
      </w:r>
    </w:p>
    <w:tbl>
      <w:tblPr>
        <w:tblW w:w="9314" w:type="dxa"/>
        <w:tblInd w:w="55" w:type="dxa"/>
        <w:tblCellMar>
          <w:top w:w="55" w:type="dxa"/>
          <w:left w:w="55" w:type="dxa"/>
          <w:bottom w:w="55" w:type="dxa"/>
          <w:right w:w="55" w:type="dxa"/>
        </w:tblCellMar>
        <w:tblLook w:val="04A0" w:firstRow="1" w:lastRow="0" w:firstColumn="1" w:lastColumn="0" w:noHBand="0" w:noVBand="1"/>
      </w:tblPr>
      <w:tblGrid>
        <w:gridCol w:w="9314"/>
      </w:tblGrid>
      <w:tr w:rsidR="0058676B" w14:paraId="7B7A42AE" w14:textId="77777777">
        <w:tc>
          <w:tcPr>
            <w:tcW w:w="9314" w:type="dxa"/>
            <w:tcBorders>
              <w:top w:val="single" w:sz="2" w:space="0" w:color="000000"/>
              <w:left w:val="single" w:sz="2" w:space="0" w:color="000000"/>
              <w:bottom w:val="single" w:sz="2" w:space="0" w:color="000000"/>
              <w:right w:val="single" w:sz="2" w:space="0" w:color="000000"/>
            </w:tcBorders>
          </w:tcPr>
          <w:p w14:paraId="6FCE716A" w14:textId="77777777" w:rsidR="0058676B" w:rsidRDefault="00000000">
            <w:pPr>
              <w:rPr>
                <w:spacing w:val="5"/>
              </w:rPr>
            </w:pPr>
            <w:r>
              <w:rPr>
                <w:spacing w:val="5"/>
                <w:highlight w:val="green"/>
              </w:rPr>
              <w:t>Agreement</w:t>
            </w:r>
          </w:p>
          <w:p w14:paraId="5DE1F242" w14:textId="77777777" w:rsidR="0058676B" w:rsidRDefault="00000000">
            <w:pPr>
              <w:rPr>
                <w:spacing w:val="5"/>
              </w:rPr>
            </w:pPr>
            <w:r>
              <w:rPr>
                <w:spacing w:val="5"/>
              </w:rPr>
              <w:t>Study the feasibility and potential benefit of UE-to-UE co-channel CLI measurement and reporting, which can be specific for dynamic/flexible TDD and/or common for both SBFD and dynamic/flexible TDD, at least includes:</w:t>
            </w:r>
          </w:p>
          <w:p w14:paraId="4017A678" w14:textId="77777777" w:rsidR="0058676B" w:rsidRDefault="00000000">
            <w:pPr>
              <w:numPr>
                <w:ilvl w:val="0"/>
                <w:numId w:val="5"/>
              </w:numPr>
              <w:rPr>
                <w:spacing w:val="5"/>
              </w:rPr>
            </w:pPr>
            <w:r>
              <w:rPr>
                <w:spacing w:val="5"/>
              </w:rPr>
              <w:t>Measurement resource/reporting configuration</w:t>
            </w:r>
          </w:p>
          <w:p w14:paraId="665A10EC" w14:textId="77777777" w:rsidR="0058676B" w:rsidRDefault="00000000">
            <w:pPr>
              <w:numPr>
                <w:ilvl w:val="0"/>
                <w:numId w:val="5"/>
              </w:numPr>
              <w:rPr>
                <w:spacing w:val="5"/>
              </w:rPr>
            </w:pPr>
            <w:r>
              <w:rPr>
                <w:spacing w:val="5"/>
              </w:rPr>
              <w:t>Measurement/reporting details (including UE processing delay)</w:t>
            </w:r>
          </w:p>
          <w:p w14:paraId="28482AF1" w14:textId="77777777" w:rsidR="0058676B" w:rsidRDefault="00000000">
            <w:pPr>
              <w:numPr>
                <w:ilvl w:val="0"/>
                <w:numId w:val="5"/>
              </w:numPr>
              <w:rPr>
                <w:spacing w:val="5"/>
              </w:rPr>
            </w:pPr>
            <w:r>
              <w:rPr>
                <w:spacing w:val="5"/>
              </w:rPr>
              <w:t xml:space="preserve">Relevant information exchange (between </w:t>
            </w:r>
            <w:proofErr w:type="spellStart"/>
            <w:r>
              <w:rPr>
                <w:spacing w:val="5"/>
              </w:rPr>
              <w:t>gNBs</w:t>
            </w:r>
            <w:proofErr w:type="spellEnd"/>
            <w:r>
              <w:rPr>
                <w:spacing w:val="5"/>
              </w:rPr>
              <w:t xml:space="preserve">) if </w:t>
            </w:r>
            <w:proofErr w:type="gramStart"/>
            <w:r>
              <w:rPr>
                <w:spacing w:val="5"/>
              </w:rPr>
              <w:t>needed</w:t>
            </w:r>
            <w:proofErr w:type="gramEnd"/>
          </w:p>
          <w:p w14:paraId="73A42708" w14:textId="77777777" w:rsidR="0058676B" w:rsidRDefault="00000000">
            <w:pPr>
              <w:numPr>
                <w:ilvl w:val="0"/>
                <w:numId w:val="5"/>
              </w:numPr>
              <w:rPr>
                <w:spacing w:val="5"/>
              </w:rPr>
            </w:pPr>
            <w:r>
              <w:rPr>
                <w:spacing w:val="5"/>
              </w:rPr>
              <w:t xml:space="preserve">Usage of measurement at </w:t>
            </w:r>
            <w:proofErr w:type="spellStart"/>
            <w:r>
              <w:rPr>
                <w:spacing w:val="5"/>
              </w:rPr>
              <w:t>gNB</w:t>
            </w:r>
            <w:proofErr w:type="spellEnd"/>
          </w:p>
        </w:tc>
      </w:tr>
    </w:tbl>
    <w:p w14:paraId="1C5D1941" w14:textId="77777777" w:rsidR="0058676B" w:rsidRDefault="0058676B">
      <w:pPr>
        <w:rPr>
          <w:spacing w:val="5"/>
        </w:rPr>
      </w:pPr>
    </w:p>
    <w:p w14:paraId="3A9E98D2" w14:textId="77777777" w:rsidR="0058676B" w:rsidRDefault="00000000">
      <w:pPr>
        <w:rPr>
          <w:spacing w:val="5"/>
        </w:rPr>
      </w:pPr>
      <w:r>
        <w:rPr>
          <w:color w:val="000000"/>
          <w:spacing w:val="5"/>
        </w:rPr>
        <w:tab/>
        <w:t>Further, for Coordinated scheduling for time/frequency resources and spatial domain coordination, relevant information exchange might be required. The following agreement was made in RAN1 #110 [4].</w:t>
      </w:r>
    </w:p>
    <w:tbl>
      <w:tblPr>
        <w:tblW w:w="9314" w:type="dxa"/>
        <w:tblInd w:w="55" w:type="dxa"/>
        <w:tblCellMar>
          <w:top w:w="55" w:type="dxa"/>
          <w:left w:w="55" w:type="dxa"/>
          <w:bottom w:w="55" w:type="dxa"/>
          <w:right w:w="55" w:type="dxa"/>
        </w:tblCellMar>
        <w:tblLook w:val="04A0" w:firstRow="1" w:lastRow="0" w:firstColumn="1" w:lastColumn="0" w:noHBand="0" w:noVBand="1"/>
      </w:tblPr>
      <w:tblGrid>
        <w:gridCol w:w="9314"/>
      </w:tblGrid>
      <w:tr w:rsidR="0058676B" w14:paraId="295CBCCD" w14:textId="77777777">
        <w:tc>
          <w:tcPr>
            <w:tcW w:w="9314" w:type="dxa"/>
            <w:tcBorders>
              <w:top w:val="single" w:sz="2" w:space="0" w:color="000000"/>
              <w:left w:val="single" w:sz="2" w:space="0" w:color="000000"/>
              <w:bottom w:val="single" w:sz="2" w:space="0" w:color="000000"/>
              <w:right w:val="single" w:sz="2" w:space="0" w:color="000000"/>
            </w:tcBorders>
          </w:tcPr>
          <w:p w14:paraId="715991B1" w14:textId="77777777" w:rsidR="0058676B" w:rsidRDefault="00000000">
            <w:pPr>
              <w:rPr>
                <w:spacing w:val="5"/>
                <w:highlight w:val="green"/>
              </w:rPr>
            </w:pPr>
            <w:r>
              <w:rPr>
                <w:color w:val="000000"/>
                <w:spacing w:val="5"/>
                <w:highlight w:val="green"/>
              </w:rPr>
              <w:lastRenderedPageBreak/>
              <w:t>Agreement</w:t>
            </w:r>
          </w:p>
          <w:p w14:paraId="1437389A" w14:textId="77777777" w:rsidR="0058676B" w:rsidRDefault="00000000">
            <w:pPr>
              <w:rPr>
                <w:spacing w:val="5"/>
              </w:rPr>
            </w:pPr>
            <w:r>
              <w:rPr>
                <w:color w:val="000000"/>
                <w:spacing w:val="5"/>
              </w:rPr>
              <w:t xml:space="preserve">Study the feasibility and potential benefits of coordinated scheduling for time/frequency resources between </w:t>
            </w:r>
            <w:proofErr w:type="spellStart"/>
            <w:r>
              <w:rPr>
                <w:color w:val="000000"/>
                <w:spacing w:val="5"/>
              </w:rPr>
              <w:t>gNBs</w:t>
            </w:r>
            <w:proofErr w:type="spellEnd"/>
            <w:r>
              <w:rPr>
                <w:color w:val="000000"/>
                <w:spacing w:val="5"/>
              </w:rPr>
              <w:t xml:space="preserve"> (if needed) for UE-to-UE co-channel CLI handling which can be specific for dynamic/flexible TDD and/or common for both SBFD and dynamic/flexible TDD, at least includes:</w:t>
            </w:r>
          </w:p>
          <w:p w14:paraId="258324D1" w14:textId="77777777" w:rsidR="0058676B" w:rsidRDefault="00000000">
            <w:pPr>
              <w:numPr>
                <w:ilvl w:val="0"/>
                <w:numId w:val="5"/>
              </w:numPr>
              <w:rPr>
                <w:spacing w:val="5"/>
              </w:rPr>
            </w:pPr>
            <w:r>
              <w:rPr>
                <w:color w:val="000000"/>
                <w:spacing w:val="5"/>
              </w:rPr>
              <w:t>Details of coordinated scheduling for time/frequency resources</w:t>
            </w:r>
          </w:p>
          <w:p w14:paraId="33283A99" w14:textId="77777777" w:rsidR="0058676B" w:rsidRDefault="00000000">
            <w:pPr>
              <w:numPr>
                <w:ilvl w:val="0"/>
                <w:numId w:val="5"/>
              </w:numPr>
              <w:rPr>
                <w:spacing w:val="5"/>
              </w:rPr>
            </w:pPr>
            <w:r>
              <w:rPr>
                <w:color w:val="000000"/>
                <w:spacing w:val="5"/>
              </w:rPr>
              <w:t>Relevant information exchange (if needed)</w:t>
            </w:r>
          </w:p>
        </w:tc>
      </w:tr>
    </w:tbl>
    <w:p w14:paraId="65C3C74F" w14:textId="77777777" w:rsidR="0058676B" w:rsidRDefault="0058676B">
      <w:pPr>
        <w:rPr>
          <w:b/>
          <w:bCs/>
          <w:spacing w:val="5"/>
          <w:highlight w:val="yellow"/>
        </w:rPr>
      </w:pPr>
    </w:p>
    <w:p w14:paraId="22C1FC71" w14:textId="77777777" w:rsidR="0058676B" w:rsidRDefault="00000000">
      <w:pPr>
        <w:ind w:left="-17"/>
        <w:rPr>
          <w:spacing w:val="5"/>
        </w:rPr>
      </w:pPr>
      <w:r>
        <w:rPr>
          <w:color w:val="000000"/>
          <w:spacing w:val="5"/>
        </w:rPr>
        <w:t xml:space="preserve">Thus, summarizing the above discussion, we propose that the conclusion in the TR should capture the following aspects. </w:t>
      </w:r>
    </w:p>
    <w:p w14:paraId="06FE2D42" w14:textId="77777777" w:rsidR="0058676B" w:rsidRDefault="00000000">
      <w:r>
        <w:rPr>
          <w:b/>
          <w:bCs/>
          <w:color w:val="000000"/>
          <w:spacing w:val="5"/>
        </w:rPr>
        <w:t>Proposal 3:</w:t>
      </w:r>
      <w:r>
        <w:rPr>
          <w:b/>
          <w:bCs/>
          <w:spacing w:val="5"/>
        </w:rPr>
        <w:t xml:space="preserve"> </w:t>
      </w:r>
      <w:r>
        <w:rPr>
          <w:rStyle w:val="cf01"/>
          <w:rFonts w:cs="Times New Roman"/>
          <w:spacing w:val="5"/>
          <w:sz w:val="22"/>
          <w:szCs w:val="22"/>
        </w:rPr>
        <w:t>Capture the following in the conclusion and recommendation section of the TR.</w:t>
      </w:r>
    </w:p>
    <w:p w14:paraId="601AE4E9" w14:textId="23308D20" w:rsidR="0058676B" w:rsidRDefault="00000000">
      <w:pPr>
        <w:ind w:left="720"/>
      </w:pPr>
      <w:proofErr w:type="gramStart"/>
      <w:r>
        <w:rPr>
          <w:b/>
          <w:bCs/>
          <w:spacing w:val="5"/>
        </w:rPr>
        <w:t>Following</w:t>
      </w:r>
      <w:proofErr w:type="gramEnd"/>
      <w:r>
        <w:rPr>
          <w:b/>
          <w:bCs/>
          <w:spacing w:val="5"/>
        </w:rPr>
        <w:t xml:space="preserve"> </w:t>
      </w:r>
      <w:r w:rsidR="00C7715D">
        <w:rPr>
          <w:b/>
          <w:bCs/>
          <w:spacing w:val="5"/>
        </w:rPr>
        <w:t>point</w:t>
      </w:r>
      <w:r>
        <w:rPr>
          <w:b/>
          <w:bCs/>
          <w:spacing w:val="5"/>
        </w:rPr>
        <w:t xml:space="preserve">s were identified as the key aspects for UE-to-UE CLI management during SI phase. The same should be recommended for normative work during the WI phase. </w:t>
      </w:r>
    </w:p>
    <w:p w14:paraId="02CCB7BC" w14:textId="77777777" w:rsidR="0058676B" w:rsidRDefault="00000000">
      <w:pPr>
        <w:numPr>
          <w:ilvl w:val="0"/>
          <w:numId w:val="5"/>
        </w:numPr>
        <w:rPr>
          <w:b/>
          <w:bCs/>
        </w:rPr>
      </w:pPr>
      <w:r>
        <w:rPr>
          <w:b/>
          <w:bCs/>
          <w:color w:val="000000"/>
          <w:spacing w:val="5"/>
        </w:rPr>
        <w:t xml:space="preserve">L1/L2 based UE-to-UE CLI measurement and </w:t>
      </w:r>
      <w:proofErr w:type="gramStart"/>
      <w:r>
        <w:rPr>
          <w:b/>
          <w:bCs/>
          <w:color w:val="000000"/>
          <w:spacing w:val="5"/>
        </w:rPr>
        <w:t>reporting</w:t>
      </w:r>
      <w:proofErr w:type="gramEnd"/>
    </w:p>
    <w:p w14:paraId="02B148CB" w14:textId="77777777" w:rsidR="0058676B" w:rsidRDefault="00000000">
      <w:pPr>
        <w:numPr>
          <w:ilvl w:val="0"/>
          <w:numId w:val="5"/>
        </w:numPr>
        <w:rPr>
          <w:b/>
          <w:bCs/>
        </w:rPr>
      </w:pPr>
      <w:r>
        <w:rPr>
          <w:b/>
          <w:bCs/>
          <w:color w:val="000000"/>
          <w:spacing w:val="5"/>
        </w:rPr>
        <w:t>Relevant information exchange for UE-to-UE co-channel CLI management (e.g., for measurement, coordinated scheduling, spatial domain coordination etc.)</w:t>
      </w:r>
    </w:p>
    <w:p w14:paraId="66424EA4" w14:textId="77777777" w:rsidR="0058676B" w:rsidRDefault="00000000">
      <w:pPr>
        <w:numPr>
          <w:ilvl w:val="0"/>
          <w:numId w:val="5"/>
        </w:numPr>
        <w:rPr>
          <w:b/>
          <w:bCs/>
        </w:rPr>
      </w:pPr>
      <w:r>
        <w:rPr>
          <w:b/>
          <w:bCs/>
          <w:color w:val="000000"/>
          <w:spacing w:val="5"/>
        </w:rPr>
        <w:t xml:space="preserve">Spatial domain coordination for management of </w:t>
      </w:r>
      <w:r>
        <w:rPr>
          <w:b/>
          <w:bCs/>
          <w:spacing w:val="5"/>
        </w:rPr>
        <w:t>UE-to-UE CLI</w:t>
      </w:r>
    </w:p>
    <w:p w14:paraId="18CFD194" w14:textId="77777777" w:rsidR="0058676B" w:rsidRDefault="00000000">
      <w:pPr>
        <w:numPr>
          <w:ilvl w:val="0"/>
          <w:numId w:val="5"/>
        </w:numPr>
        <w:rPr>
          <w:b/>
          <w:bCs/>
        </w:rPr>
      </w:pPr>
      <w:r>
        <w:rPr>
          <w:b/>
          <w:bCs/>
          <w:color w:val="000000"/>
          <w:spacing w:val="5"/>
        </w:rPr>
        <w:t xml:space="preserve">Impact of UE and </w:t>
      </w:r>
      <w:proofErr w:type="spellStart"/>
      <w:r>
        <w:rPr>
          <w:b/>
          <w:bCs/>
          <w:color w:val="000000"/>
          <w:spacing w:val="5"/>
        </w:rPr>
        <w:t>gNB</w:t>
      </w:r>
      <w:proofErr w:type="spellEnd"/>
      <w:r>
        <w:rPr>
          <w:b/>
          <w:bCs/>
          <w:color w:val="000000"/>
          <w:spacing w:val="5"/>
        </w:rPr>
        <w:t xml:space="preserve"> transmission and reception timing on </w:t>
      </w:r>
      <w:r>
        <w:rPr>
          <w:b/>
          <w:bCs/>
          <w:spacing w:val="5"/>
        </w:rPr>
        <w:t xml:space="preserve">UE-to-UE CLI and enhancements related to </w:t>
      </w:r>
      <w:proofErr w:type="gramStart"/>
      <w:r>
        <w:rPr>
          <w:b/>
          <w:bCs/>
          <w:spacing w:val="5"/>
        </w:rPr>
        <w:t>it</w:t>
      </w:r>
      <w:proofErr w:type="gramEnd"/>
    </w:p>
    <w:p w14:paraId="77A7CB17" w14:textId="77777777" w:rsidR="0058676B" w:rsidRDefault="0058676B">
      <w:pPr>
        <w:ind w:left="1296"/>
        <w:rPr>
          <w:b/>
          <w:bCs/>
          <w:spacing w:val="5"/>
        </w:rPr>
      </w:pPr>
    </w:p>
    <w:p w14:paraId="7B2737A0" w14:textId="77777777" w:rsidR="0058676B" w:rsidRDefault="00000000">
      <w:pPr>
        <w:pStyle w:val="Heading1"/>
        <w:numPr>
          <w:ilvl w:val="0"/>
          <w:numId w:val="2"/>
        </w:numPr>
      </w:pPr>
      <w:r>
        <w:rPr>
          <w:rFonts w:eastAsia="Wingdings" w:cs="Wingdings"/>
        </w:rPr>
        <w:t>Conclusion</w:t>
      </w:r>
    </w:p>
    <w:p w14:paraId="2A8DE226" w14:textId="77777777" w:rsidR="0058676B" w:rsidRDefault="00000000">
      <w:r>
        <w:rPr>
          <w:rFonts w:eastAsia="Wingdings" w:cs="Wingdings"/>
          <w:kern w:val="2"/>
          <w:lang w:val="en-GB"/>
        </w:rPr>
        <w:t>In this contribution, the following o</w:t>
      </w:r>
      <w:r>
        <w:rPr>
          <w:rFonts w:eastAsia="Calibri" w:cs="Calibri"/>
          <w:color w:val="000000" w:themeColor="text1"/>
          <w:kern w:val="2"/>
          <w:lang w:val="en-GB"/>
        </w:rPr>
        <w:t>bservations</w:t>
      </w:r>
      <w:r>
        <w:rPr>
          <w:rFonts w:eastAsia="Wingdings" w:cs="Wingdings"/>
          <w:kern w:val="2"/>
          <w:lang w:val="en-GB"/>
        </w:rPr>
        <w:t xml:space="preserve"> and proposals are made: </w:t>
      </w:r>
    </w:p>
    <w:p w14:paraId="20298A5F" w14:textId="77777777" w:rsidR="0058676B" w:rsidRDefault="00000000">
      <w:pPr>
        <w:pStyle w:val="ListParagraph"/>
        <w:ind w:left="0"/>
        <w:rPr>
          <w:b/>
          <w:bCs/>
        </w:rPr>
      </w:pPr>
      <w:r>
        <w:rPr>
          <w:rFonts w:eastAsia="Calibri" w:cs="Calibri"/>
          <w:b/>
          <w:bCs/>
          <w:color w:val="000000" w:themeColor="text1"/>
        </w:rPr>
        <w:t xml:space="preserve">Proposal 1: </w:t>
      </w:r>
    </w:p>
    <w:p w14:paraId="74AE2BAF" w14:textId="77777777" w:rsidR="0058676B" w:rsidRDefault="00000000">
      <w:pPr>
        <w:spacing w:after="80"/>
        <w:rPr>
          <w:rFonts w:eastAsia="Malgun Gothic"/>
          <w:b/>
          <w:bCs/>
          <w:lang w:val="en-GB" w:eastAsia="ko-KR"/>
        </w:rPr>
      </w:pPr>
      <w:r>
        <w:rPr>
          <w:rFonts w:eastAsia="Malgun Gothic"/>
          <w:b/>
          <w:bCs/>
          <w:lang w:val="en-GB" w:eastAsia="ko-KR"/>
        </w:rPr>
        <w:t>For mitigating co-channel UE-to-UE CLI, at least the following aspects as spatial domain coordination method for UE-to-UE co-channel CLI can be considered.</w:t>
      </w:r>
    </w:p>
    <w:p w14:paraId="58CEDC39" w14:textId="77777777" w:rsidR="0058676B" w:rsidRDefault="00000000">
      <w:pPr>
        <w:pStyle w:val="10"/>
        <w:spacing w:after="80"/>
        <w:rPr>
          <w:b/>
          <w:bCs/>
        </w:rPr>
      </w:pPr>
      <w:r>
        <w:rPr>
          <w:rFonts w:eastAsia="Malgun Gothic"/>
          <w:b/>
          <w:bCs/>
          <w:lang w:val="en-GB" w:eastAsia="ko-KR"/>
        </w:rPr>
        <w:t>Victim UE</w:t>
      </w:r>
      <w:r>
        <w:rPr>
          <w:rFonts w:eastAsia="Malgun Gothic"/>
          <w:b/>
          <w:bCs/>
          <w:color w:val="000000"/>
          <w:lang w:val="en-GB" w:eastAsia="ko-KR"/>
        </w:rPr>
        <w:t xml:space="preserve"> can measure UE-to-UE co-channel CLI from multiple SRS resources on different Tx beams of an aggressor </w:t>
      </w:r>
      <w:proofErr w:type="gramStart"/>
      <w:r>
        <w:rPr>
          <w:rFonts w:eastAsia="Malgun Gothic"/>
          <w:b/>
          <w:bCs/>
          <w:color w:val="000000"/>
          <w:lang w:val="en-GB" w:eastAsia="ko-KR"/>
        </w:rPr>
        <w:t>UE</w:t>
      </w:r>
      <w:proofErr w:type="gramEnd"/>
    </w:p>
    <w:p w14:paraId="12E35618" w14:textId="77777777" w:rsidR="0058676B" w:rsidRDefault="00000000">
      <w:pPr>
        <w:pStyle w:val="10"/>
        <w:spacing w:after="80"/>
      </w:pPr>
      <w:r>
        <w:rPr>
          <w:rFonts w:eastAsia="Malgun Gothic"/>
          <w:b/>
          <w:bCs/>
          <w:color w:val="000000"/>
          <w:lang w:val="en-GB" w:eastAsia="ko-KR"/>
        </w:rPr>
        <w:t xml:space="preserve">Victim UE can report interfering CLI resources of aggressor UE with different Tx beams, with/without corresponding SRS-RSRP(s) or CLI-RSSI(s), to the serving </w:t>
      </w:r>
      <w:proofErr w:type="spellStart"/>
      <w:proofErr w:type="gramStart"/>
      <w:r>
        <w:rPr>
          <w:rFonts w:eastAsia="Malgun Gothic"/>
          <w:b/>
          <w:bCs/>
          <w:color w:val="000000"/>
          <w:lang w:val="en-GB" w:eastAsia="ko-KR"/>
        </w:rPr>
        <w:t>gNB</w:t>
      </w:r>
      <w:proofErr w:type="spellEnd"/>
      <w:proofErr w:type="gramEnd"/>
    </w:p>
    <w:p w14:paraId="366A92F6" w14:textId="77777777" w:rsidR="0058676B" w:rsidRDefault="00000000">
      <w:pPr>
        <w:pStyle w:val="10"/>
        <w:spacing w:after="80"/>
      </w:pPr>
      <w:r>
        <w:rPr>
          <w:rFonts w:eastAsia="Malgun Gothic"/>
          <w:b/>
          <w:bCs/>
          <w:color w:val="000000"/>
          <w:lang w:val="en-GB" w:eastAsia="ko-KR"/>
        </w:rPr>
        <w:t xml:space="preserve">Exchange of information between </w:t>
      </w:r>
      <w:proofErr w:type="spellStart"/>
      <w:r>
        <w:rPr>
          <w:rFonts w:eastAsia="Malgun Gothic"/>
          <w:b/>
          <w:bCs/>
          <w:color w:val="000000"/>
          <w:lang w:val="en-GB" w:eastAsia="ko-KR"/>
        </w:rPr>
        <w:t>gNBs</w:t>
      </w:r>
      <w:proofErr w:type="spellEnd"/>
      <w:r>
        <w:rPr>
          <w:rFonts w:eastAsia="Malgun Gothic"/>
          <w:b/>
          <w:bCs/>
          <w:color w:val="000000"/>
          <w:lang w:val="en-GB" w:eastAsia="ko-KR"/>
        </w:rPr>
        <w:t xml:space="preserve"> on interfering Tx beam(s) of aggressor UE based on, e.g., identification of CLI </w:t>
      </w:r>
      <w:proofErr w:type="gramStart"/>
      <w:r>
        <w:rPr>
          <w:rFonts w:eastAsia="Malgun Gothic"/>
          <w:b/>
          <w:bCs/>
          <w:color w:val="000000"/>
          <w:lang w:val="en-GB" w:eastAsia="ko-KR"/>
        </w:rPr>
        <w:t>resources</w:t>
      </w:r>
      <w:proofErr w:type="gramEnd"/>
    </w:p>
    <w:p w14:paraId="3194C2B5" w14:textId="77777777" w:rsidR="0058676B" w:rsidRDefault="00000000">
      <w:pPr>
        <w:pStyle w:val="10"/>
        <w:spacing w:after="80"/>
      </w:pPr>
      <w:r>
        <w:rPr>
          <w:rFonts w:eastAsia="Malgun Gothic"/>
          <w:b/>
          <w:bCs/>
          <w:color w:val="000000"/>
          <w:lang w:val="en-GB" w:eastAsia="ko-KR"/>
        </w:rPr>
        <w:t xml:space="preserve">The serving </w:t>
      </w:r>
      <w:proofErr w:type="spellStart"/>
      <w:r>
        <w:rPr>
          <w:rFonts w:eastAsia="Malgun Gothic"/>
          <w:b/>
          <w:bCs/>
          <w:color w:val="000000"/>
          <w:lang w:val="en-GB" w:eastAsia="ko-KR"/>
        </w:rPr>
        <w:t>gNB</w:t>
      </w:r>
      <w:proofErr w:type="spellEnd"/>
      <w:r>
        <w:rPr>
          <w:rFonts w:eastAsia="Malgun Gothic"/>
          <w:b/>
          <w:bCs/>
          <w:color w:val="000000"/>
          <w:lang w:val="en-GB" w:eastAsia="ko-KR"/>
        </w:rPr>
        <w:t xml:space="preserve"> can configure UE Rx beam (QCL-D) via CLI resource configuration to the victim </w:t>
      </w:r>
      <w:proofErr w:type="gramStart"/>
      <w:r>
        <w:rPr>
          <w:rFonts w:eastAsia="Malgun Gothic"/>
          <w:b/>
          <w:bCs/>
          <w:color w:val="000000"/>
          <w:lang w:val="en-GB" w:eastAsia="ko-KR"/>
        </w:rPr>
        <w:t>UE</w:t>
      </w:r>
      <w:proofErr w:type="gramEnd"/>
    </w:p>
    <w:p w14:paraId="32FE5D57" w14:textId="77777777" w:rsidR="0058676B" w:rsidRDefault="00000000">
      <w:pPr>
        <w:pStyle w:val="10"/>
        <w:spacing w:after="80"/>
      </w:pPr>
      <w:r>
        <w:rPr>
          <w:rFonts w:eastAsia="Malgun Gothic"/>
          <w:b/>
          <w:bCs/>
          <w:color w:val="000000"/>
          <w:lang w:val="en-GB" w:eastAsia="ko-KR"/>
        </w:rPr>
        <w:t xml:space="preserve">The serving </w:t>
      </w:r>
      <w:proofErr w:type="spellStart"/>
      <w:r>
        <w:rPr>
          <w:rFonts w:eastAsia="Malgun Gothic"/>
          <w:b/>
          <w:bCs/>
          <w:color w:val="000000"/>
          <w:lang w:val="en-GB" w:eastAsia="ko-KR"/>
        </w:rPr>
        <w:t>gNB</w:t>
      </w:r>
      <w:proofErr w:type="spellEnd"/>
      <w:r>
        <w:rPr>
          <w:rFonts w:eastAsia="Malgun Gothic"/>
          <w:b/>
          <w:bCs/>
          <w:color w:val="000000"/>
          <w:lang w:val="en-GB" w:eastAsia="ko-KR"/>
        </w:rPr>
        <w:t xml:space="preserve"> can configure UE to report CLI measurement on different Rx beams and/or most/least interfered Rx beams.</w:t>
      </w:r>
    </w:p>
    <w:p w14:paraId="634FA64C" w14:textId="77777777" w:rsidR="0058676B" w:rsidRDefault="0058676B">
      <w:pPr>
        <w:pStyle w:val="10"/>
        <w:spacing w:after="80"/>
        <w:rPr>
          <w:rFonts w:eastAsia="Malgun Gothic"/>
          <w:b/>
          <w:bCs/>
          <w:color w:val="000000"/>
          <w:lang w:val="en-GB" w:eastAsia="ko-KR"/>
        </w:rPr>
      </w:pPr>
    </w:p>
    <w:p w14:paraId="01ABADB2" w14:textId="77777777" w:rsidR="0058676B" w:rsidRDefault="00000000">
      <w:pPr>
        <w:spacing w:after="80"/>
      </w:pPr>
      <w:r>
        <w:rPr>
          <w:rStyle w:val="CommentReference"/>
          <w:rFonts w:eastAsia="Calibri" w:cs="Calibri"/>
          <w:b/>
          <w:bCs/>
          <w:color w:val="000000" w:themeColor="text1"/>
          <w:sz w:val="22"/>
          <w:szCs w:val="22"/>
          <w:lang w:val="en-GB" w:eastAsia="ko-KR"/>
        </w:rPr>
        <w:t xml:space="preserve">Observation 1: Factors like synchronization errors between </w:t>
      </w:r>
      <w:proofErr w:type="spellStart"/>
      <w:r>
        <w:rPr>
          <w:rStyle w:val="CommentReference"/>
          <w:rFonts w:eastAsia="Calibri" w:cs="Calibri"/>
          <w:b/>
          <w:bCs/>
          <w:color w:val="000000" w:themeColor="text1"/>
          <w:sz w:val="22"/>
          <w:szCs w:val="22"/>
          <w:lang w:val="en-GB" w:eastAsia="ko-KR"/>
        </w:rPr>
        <w:t>gNB</w:t>
      </w:r>
      <w:proofErr w:type="spellEnd"/>
      <w:r>
        <w:rPr>
          <w:rStyle w:val="CommentReference"/>
          <w:rFonts w:eastAsia="Calibri" w:cs="Calibri"/>
          <w:b/>
          <w:bCs/>
          <w:color w:val="000000" w:themeColor="text1"/>
          <w:sz w:val="22"/>
          <w:szCs w:val="22"/>
          <w:lang w:val="en-GB" w:eastAsia="ko-KR"/>
        </w:rPr>
        <w:t xml:space="preserve">, smaller CP length in higher numerologies, higher propagation delay between the UEs and implementation specific adjustment of reception timing causes the </w:t>
      </w:r>
      <w:proofErr w:type="spellStart"/>
      <w:r>
        <w:rPr>
          <w:rStyle w:val="CommentReference"/>
          <w:rFonts w:eastAsia="Calibri" w:cs="Calibri"/>
          <w:b/>
          <w:bCs/>
          <w:color w:val="000000" w:themeColor="text1"/>
          <w:sz w:val="22"/>
          <w:szCs w:val="22"/>
          <w:lang w:val="en-GB" w:eastAsia="ko-KR"/>
        </w:rPr>
        <w:t>misalig</w:t>
      </w:r>
      <w:r>
        <w:rPr>
          <w:rStyle w:val="CommentReference"/>
          <w:rFonts w:eastAsia="Calibri" w:cs="Calibri"/>
          <w:b/>
          <w:bCs/>
          <w:color w:val="000000" w:themeColor="text1"/>
          <w:sz w:val="22"/>
          <w:szCs w:val="22"/>
        </w:rPr>
        <w:t>nment</w:t>
      </w:r>
      <w:proofErr w:type="spellEnd"/>
      <w:r>
        <w:rPr>
          <w:rStyle w:val="CommentReference"/>
          <w:rFonts w:eastAsia="Calibri" w:cs="Calibri"/>
          <w:b/>
          <w:bCs/>
          <w:color w:val="000000" w:themeColor="text1"/>
          <w:sz w:val="22"/>
          <w:szCs w:val="22"/>
        </w:rPr>
        <w:t xml:space="preserve"> between DL reception timing at victim UE of DL channel/signal transmitted from serving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and DL reception timing at victim UE of CLI measurement resource transmitted from aggressor UE(s) to go beyond CP duration.</w:t>
      </w:r>
    </w:p>
    <w:p w14:paraId="32333159" w14:textId="77777777" w:rsidR="0058676B" w:rsidRDefault="0058676B">
      <w:pPr>
        <w:spacing w:after="80"/>
        <w:rPr>
          <w:rStyle w:val="CommentReference"/>
          <w:rFonts w:eastAsia="Calibri" w:cs="Calibri"/>
          <w:b/>
          <w:bCs/>
          <w:color w:val="000000" w:themeColor="text1"/>
          <w:sz w:val="22"/>
          <w:szCs w:val="22"/>
        </w:rPr>
      </w:pPr>
    </w:p>
    <w:p w14:paraId="70F8F933" w14:textId="77777777" w:rsidR="0058676B" w:rsidRDefault="00000000">
      <w:r>
        <w:rPr>
          <w:rStyle w:val="CommentReference"/>
          <w:rFonts w:eastAsia="Calibri" w:cs="Calibri"/>
          <w:b/>
          <w:bCs/>
          <w:color w:val="000000" w:themeColor="text1"/>
          <w:sz w:val="22"/>
          <w:szCs w:val="22"/>
        </w:rPr>
        <w:t>Observation 2: Timing adjustment for transmission or reception by aggressor and victim UE respectively will restrict SRS RSRP measurement in scenarios of multiple aggressor and victim UEs.</w:t>
      </w:r>
    </w:p>
    <w:p w14:paraId="1A7D1084" w14:textId="77777777" w:rsidR="0058676B" w:rsidRDefault="00000000">
      <w:r>
        <w:rPr>
          <w:rStyle w:val="CommentReference"/>
          <w:rFonts w:eastAsia="Calibri" w:cs="Calibri"/>
          <w:b/>
          <w:bCs/>
          <w:color w:val="000000" w:themeColor="text1"/>
          <w:sz w:val="22"/>
          <w:szCs w:val="22"/>
        </w:rPr>
        <w:t>Observation 3: SRS RSRP measured on phase rotated SRS symbols (Enhanced Rel. 16 SRS) repeated in time domain (</w:t>
      </w:r>
      <w:proofErr w:type="gramStart"/>
      <w:r>
        <w:rPr>
          <w:rStyle w:val="CommentReference"/>
          <w:rFonts w:eastAsia="Calibri" w:cs="Calibri"/>
          <w:b/>
          <w:bCs/>
          <w:color w:val="000000" w:themeColor="text1"/>
          <w:sz w:val="22"/>
          <w:szCs w:val="22"/>
        </w:rPr>
        <w:t>similar to</w:t>
      </w:r>
      <w:proofErr w:type="gramEnd"/>
      <w:r>
        <w:rPr>
          <w:rStyle w:val="CommentReference"/>
          <w:rFonts w:eastAsia="Calibri" w:cs="Calibri"/>
          <w:b/>
          <w:bCs/>
          <w:color w:val="000000" w:themeColor="text1"/>
          <w:sz w:val="22"/>
          <w:szCs w:val="22"/>
        </w:rPr>
        <w:t xml:space="preserve"> RIM RS design principle) has the following advantages-</w:t>
      </w:r>
    </w:p>
    <w:p w14:paraId="4AEF5C83" w14:textId="77777777" w:rsidR="0058676B" w:rsidRDefault="00000000">
      <w:r>
        <w:rPr>
          <w:rStyle w:val="CommentReference"/>
          <w:rFonts w:eastAsia="Calibri" w:cs="Calibri"/>
          <w:b/>
          <w:bCs/>
          <w:color w:val="000000" w:themeColor="text1"/>
          <w:sz w:val="22"/>
          <w:szCs w:val="22"/>
        </w:rPr>
        <w:tab/>
        <w:t xml:space="preserve">a. SRS RSRP accuracy improves as compared to accuracy using Rel. 16 CLI RSRP </w:t>
      </w:r>
      <w:r>
        <w:rPr>
          <w:rStyle w:val="CommentReference"/>
          <w:rFonts w:eastAsia="Calibri" w:cs="Calibri"/>
          <w:b/>
          <w:bCs/>
          <w:color w:val="000000" w:themeColor="text1"/>
          <w:sz w:val="22"/>
          <w:szCs w:val="22"/>
        </w:rPr>
        <w:tab/>
        <w:t>measurement method based on Rel. 16 SRS.</w:t>
      </w:r>
    </w:p>
    <w:p w14:paraId="5BBCEF25" w14:textId="77777777" w:rsidR="0058676B" w:rsidRDefault="00000000">
      <w:r>
        <w:rPr>
          <w:rStyle w:val="CommentReference"/>
          <w:rFonts w:eastAsia="Calibri" w:cs="Calibri"/>
          <w:b/>
          <w:bCs/>
          <w:color w:val="000000" w:themeColor="text1"/>
          <w:sz w:val="22"/>
          <w:szCs w:val="22"/>
        </w:rPr>
        <w:tab/>
        <w:t xml:space="preserve">b. No need for TA adjustment at the aggressor UE. Thus, SRS RSRP measurement can be </w:t>
      </w:r>
      <w:r>
        <w:rPr>
          <w:rStyle w:val="CommentReference"/>
          <w:rFonts w:eastAsia="Calibri" w:cs="Calibri"/>
          <w:b/>
          <w:bCs/>
          <w:color w:val="000000" w:themeColor="text1"/>
          <w:sz w:val="22"/>
          <w:szCs w:val="22"/>
        </w:rPr>
        <w:tab/>
        <w:t>done by multiple victim UEs.</w:t>
      </w:r>
    </w:p>
    <w:p w14:paraId="7A2F4B4F" w14:textId="77777777" w:rsidR="0058676B" w:rsidRDefault="00000000">
      <w:pPr>
        <w:spacing w:after="80"/>
      </w:pPr>
      <w:r>
        <w:rPr>
          <w:rStyle w:val="CommentReference"/>
          <w:rFonts w:eastAsia="Calibri" w:cs="Calibri"/>
          <w:b/>
          <w:bCs/>
          <w:color w:val="000000" w:themeColor="text1"/>
          <w:sz w:val="22"/>
          <w:szCs w:val="22"/>
        </w:rPr>
        <w:t xml:space="preserve">c. SRS RSRP measurement can be done by a single victim UE from </w:t>
      </w:r>
      <w:proofErr w:type="gramStart"/>
      <w:r>
        <w:rPr>
          <w:rStyle w:val="CommentReference"/>
          <w:rFonts w:eastAsia="Calibri" w:cs="Calibri"/>
          <w:b/>
          <w:bCs/>
          <w:color w:val="000000" w:themeColor="text1"/>
          <w:sz w:val="22"/>
          <w:szCs w:val="22"/>
        </w:rPr>
        <w:t>multiple  aggressor</w:t>
      </w:r>
      <w:proofErr w:type="gramEnd"/>
      <w:r>
        <w:rPr>
          <w:rStyle w:val="CommentReference"/>
          <w:rFonts w:eastAsia="Calibri" w:cs="Calibri"/>
          <w:b/>
          <w:bCs/>
          <w:color w:val="000000" w:themeColor="text1"/>
          <w:sz w:val="22"/>
          <w:szCs w:val="22"/>
        </w:rPr>
        <w:t xml:space="preserve"> UEs.</w:t>
      </w:r>
    </w:p>
    <w:p w14:paraId="036912FC" w14:textId="77777777" w:rsidR="0058676B" w:rsidRDefault="0058676B">
      <w:pPr>
        <w:spacing w:after="80"/>
        <w:rPr>
          <w:rStyle w:val="CommentReference"/>
          <w:rFonts w:eastAsia="Calibri" w:cs="Calibri"/>
          <w:b/>
          <w:bCs/>
          <w:color w:val="000000" w:themeColor="text1"/>
          <w:sz w:val="22"/>
          <w:szCs w:val="22"/>
        </w:rPr>
      </w:pPr>
    </w:p>
    <w:p w14:paraId="7109F5A1" w14:textId="77777777" w:rsidR="0058676B" w:rsidRDefault="00000000">
      <w:pPr>
        <w:spacing w:after="80"/>
      </w:pPr>
      <w:r>
        <w:rPr>
          <w:rStyle w:val="CommentReference"/>
          <w:rFonts w:eastAsia="Calibri" w:cs="Calibri"/>
          <w:b/>
          <w:bCs/>
          <w:color w:val="000000" w:themeColor="text1"/>
          <w:sz w:val="22"/>
          <w:szCs w:val="22"/>
        </w:rPr>
        <w:t xml:space="preserve">Observation 4: RIM RS design has already been proven to work in case of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-to-</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interference measurement where there is timing </w:t>
      </w:r>
      <w:proofErr w:type="spellStart"/>
      <w:r>
        <w:rPr>
          <w:rStyle w:val="CommentReference"/>
          <w:rFonts w:eastAsia="Calibri" w:cs="Calibri"/>
          <w:b/>
          <w:bCs/>
          <w:color w:val="000000" w:themeColor="text1"/>
          <w:sz w:val="22"/>
          <w:szCs w:val="22"/>
        </w:rPr>
        <w:t>synchronisation</w:t>
      </w:r>
      <w:proofErr w:type="spellEnd"/>
      <w:r>
        <w:rPr>
          <w:rStyle w:val="CommentReference"/>
          <w:rFonts w:eastAsia="Calibri" w:cs="Calibri"/>
          <w:b/>
          <w:bCs/>
          <w:color w:val="000000" w:themeColor="text1"/>
          <w:sz w:val="22"/>
          <w:szCs w:val="22"/>
        </w:rPr>
        <w:t xml:space="preserve"> misalignment between the </w:t>
      </w:r>
      <w:proofErr w:type="spellStart"/>
      <w:r>
        <w:rPr>
          <w:rStyle w:val="CommentReference"/>
          <w:rFonts w:eastAsia="Calibri" w:cs="Calibri"/>
          <w:b/>
          <w:bCs/>
          <w:color w:val="000000" w:themeColor="text1"/>
          <w:sz w:val="22"/>
          <w:szCs w:val="22"/>
        </w:rPr>
        <w:t>gNBs</w:t>
      </w:r>
      <w:proofErr w:type="spellEnd"/>
      <w:r>
        <w:rPr>
          <w:rStyle w:val="CommentReference"/>
          <w:rFonts w:eastAsia="Calibri" w:cs="Calibri"/>
          <w:b/>
          <w:bCs/>
          <w:color w:val="000000" w:themeColor="text1"/>
          <w:sz w:val="22"/>
          <w:szCs w:val="22"/>
        </w:rPr>
        <w:t>. The same design principle can be applied to enhance the Rel. 16 SRS by phase rotating the symbols and repeating them in time domain.</w:t>
      </w:r>
    </w:p>
    <w:p w14:paraId="26212883" w14:textId="77777777" w:rsidR="0058676B" w:rsidRDefault="0058676B">
      <w:pPr>
        <w:spacing w:after="80"/>
        <w:rPr>
          <w:rStyle w:val="CommentReference"/>
          <w:rFonts w:eastAsia="Calibri" w:cs="Calibri"/>
          <w:b/>
          <w:bCs/>
          <w:color w:val="000000" w:themeColor="text1"/>
          <w:sz w:val="22"/>
          <w:szCs w:val="22"/>
        </w:rPr>
      </w:pPr>
    </w:p>
    <w:p w14:paraId="611BE95A" w14:textId="77777777" w:rsidR="0058676B" w:rsidRDefault="00000000">
      <w:pPr>
        <w:rPr>
          <w:rStyle w:val="StrongEmphasis"/>
          <w:rFonts w:eastAsia="Malgun Gothic"/>
          <w:b w:val="0"/>
          <w:bCs w:val="0"/>
          <w:color w:val="000000" w:themeColor="text1"/>
          <w:lang w:eastAsia="ko-KR"/>
        </w:rPr>
      </w:pPr>
      <w:r>
        <w:rPr>
          <w:rStyle w:val="CommentReference"/>
          <w:rFonts w:eastAsia="Calibri" w:cs="Calibri"/>
          <w:b/>
          <w:bCs/>
          <w:color w:val="000000" w:themeColor="text1"/>
          <w:sz w:val="22"/>
          <w:szCs w:val="22"/>
        </w:rPr>
        <w:t xml:space="preserve">Proposal 2: </w:t>
      </w:r>
    </w:p>
    <w:p w14:paraId="06D411A4" w14:textId="77777777" w:rsidR="0058676B" w:rsidRDefault="00000000">
      <w:pPr>
        <w:rPr>
          <w:b/>
          <w:bCs/>
        </w:rPr>
      </w:pPr>
      <w:r>
        <w:rPr>
          <w:b/>
          <w:bCs/>
        </w:rPr>
        <w:t xml:space="preserve">From the study the UE-to-UE co-channel CLI measurement inaccuracy at victim UE due to misalignment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following is observed:</w:t>
      </w:r>
    </w:p>
    <w:p w14:paraId="10B5824B" w14:textId="77777777" w:rsidR="0058676B" w:rsidRDefault="00000000">
      <w:pPr>
        <w:pStyle w:val="ListParagraph"/>
        <w:numPr>
          <w:ilvl w:val="0"/>
          <w:numId w:val="4"/>
        </w:numPr>
        <w:rPr>
          <w:b/>
          <w:bCs/>
        </w:rPr>
      </w:pPr>
      <w:r>
        <w:rPr>
          <w:b/>
          <w:bCs/>
        </w:rPr>
        <w:t xml:space="preserve">In case of misalignment between DL reception timing at victim UE of DL channel/signal transmitted from serving </w:t>
      </w:r>
      <w:proofErr w:type="spellStart"/>
      <w:r>
        <w:rPr>
          <w:b/>
          <w:bCs/>
        </w:rPr>
        <w:t>gNB</w:t>
      </w:r>
      <w:proofErr w:type="spellEnd"/>
      <w:r>
        <w:rPr>
          <w:b/>
          <w:bCs/>
        </w:rPr>
        <w:t xml:space="preserve"> and DL reception timing at victim UE of CLI measurement resource transmitted from aggressor UE(s), UE-to-UE co-channel measurement inaccuracy at victim UE exists. And when the subcarrier spacing is higher, the UE-to-UE CLI measurement inaccuracy is increased.</w:t>
      </w:r>
    </w:p>
    <w:p w14:paraId="1E543630" w14:textId="77777777" w:rsidR="0058676B" w:rsidRDefault="00000000">
      <w:pPr>
        <w:pStyle w:val="ListParagraph"/>
        <w:numPr>
          <w:ilvl w:val="0"/>
          <w:numId w:val="4"/>
        </w:numPr>
        <w:spacing w:after="80"/>
        <w:rPr>
          <w:b/>
          <w:bCs/>
        </w:rPr>
      </w:pPr>
      <w:r>
        <w:rPr>
          <w:rStyle w:val="CommentReference"/>
          <w:rFonts w:eastAsia="Calibri" w:cs="Calibri"/>
          <w:b/>
          <w:bCs/>
          <w:color w:val="000000" w:themeColor="text1"/>
          <w:sz w:val="22"/>
          <w:szCs w:val="22"/>
        </w:rPr>
        <w:t xml:space="preserve">Timing alignment between DL reception timing at victim UE of DL channel/signal transmitted from serving </w:t>
      </w:r>
      <w:proofErr w:type="spellStart"/>
      <w:r>
        <w:rPr>
          <w:rStyle w:val="CommentReference"/>
          <w:rFonts w:eastAsia="Calibri" w:cs="Calibri"/>
          <w:b/>
          <w:bCs/>
          <w:color w:val="000000" w:themeColor="text1"/>
          <w:sz w:val="22"/>
          <w:szCs w:val="22"/>
        </w:rPr>
        <w:t>gNB</w:t>
      </w:r>
      <w:proofErr w:type="spellEnd"/>
      <w:r>
        <w:rPr>
          <w:rStyle w:val="CommentReference"/>
          <w:rFonts w:eastAsia="Calibri" w:cs="Calibri"/>
          <w:b/>
          <w:bCs/>
          <w:color w:val="000000" w:themeColor="text1"/>
          <w:sz w:val="22"/>
          <w:szCs w:val="22"/>
        </w:rPr>
        <w:t xml:space="preserve"> and DL reception timing at victim UE of CLI measurement resource transmitted from aggressor UE(s) can be beneficial for reducing the CLI measurement error in RSRP.</w:t>
      </w:r>
    </w:p>
    <w:p w14:paraId="1FAF9918" w14:textId="77777777" w:rsidR="0058676B" w:rsidRDefault="0058676B">
      <w:pPr>
        <w:pStyle w:val="ListParagraph"/>
        <w:spacing w:after="80"/>
        <w:rPr>
          <w:b/>
          <w:bCs/>
        </w:rPr>
      </w:pPr>
    </w:p>
    <w:p w14:paraId="2E90F667" w14:textId="77777777" w:rsidR="0058676B" w:rsidRDefault="00000000">
      <w:r>
        <w:rPr>
          <w:b/>
          <w:bCs/>
          <w:color w:val="000000"/>
          <w:spacing w:val="5"/>
        </w:rPr>
        <w:t>Proposal 3:</w:t>
      </w:r>
      <w:r>
        <w:rPr>
          <w:b/>
          <w:bCs/>
          <w:spacing w:val="5"/>
        </w:rPr>
        <w:t xml:space="preserve"> </w:t>
      </w:r>
      <w:r>
        <w:rPr>
          <w:rStyle w:val="cf01"/>
          <w:rFonts w:cs="Times New Roman"/>
          <w:spacing w:val="5"/>
          <w:sz w:val="22"/>
          <w:szCs w:val="22"/>
        </w:rPr>
        <w:t>Capture the following in the conclusion and recommendation section of the TR.</w:t>
      </w:r>
    </w:p>
    <w:p w14:paraId="0A49883E" w14:textId="0D555461" w:rsidR="0058676B" w:rsidRDefault="00000000">
      <w:pPr>
        <w:ind w:left="720"/>
      </w:pPr>
      <w:proofErr w:type="gramStart"/>
      <w:r>
        <w:rPr>
          <w:b/>
          <w:bCs/>
          <w:spacing w:val="5"/>
        </w:rPr>
        <w:t>Following</w:t>
      </w:r>
      <w:proofErr w:type="gramEnd"/>
      <w:r>
        <w:rPr>
          <w:b/>
          <w:bCs/>
          <w:spacing w:val="5"/>
        </w:rPr>
        <w:t xml:space="preserve"> </w:t>
      </w:r>
      <w:r w:rsidR="009F714D">
        <w:rPr>
          <w:b/>
          <w:bCs/>
          <w:spacing w:val="5"/>
        </w:rPr>
        <w:t xml:space="preserve">points </w:t>
      </w:r>
      <w:r>
        <w:rPr>
          <w:b/>
          <w:bCs/>
          <w:spacing w:val="5"/>
        </w:rPr>
        <w:t xml:space="preserve">were identified as the key aspects for UE-to-UE CLI management during SI phase. The same should be recommended for normative work during the WI phase. </w:t>
      </w:r>
    </w:p>
    <w:p w14:paraId="41FC5631" w14:textId="77777777" w:rsidR="0058676B" w:rsidRDefault="00000000">
      <w:pPr>
        <w:numPr>
          <w:ilvl w:val="0"/>
          <w:numId w:val="5"/>
        </w:numPr>
        <w:rPr>
          <w:b/>
          <w:bCs/>
        </w:rPr>
      </w:pPr>
      <w:r>
        <w:rPr>
          <w:b/>
          <w:bCs/>
          <w:color w:val="000000"/>
          <w:spacing w:val="5"/>
        </w:rPr>
        <w:t xml:space="preserve">L1/L2 based UE-to-UE CLI measurement and </w:t>
      </w:r>
      <w:proofErr w:type="gramStart"/>
      <w:r>
        <w:rPr>
          <w:b/>
          <w:bCs/>
          <w:color w:val="000000"/>
          <w:spacing w:val="5"/>
        </w:rPr>
        <w:t>reporting</w:t>
      </w:r>
      <w:proofErr w:type="gramEnd"/>
    </w:p>
    <w:p w14:paraId="08835AF7" w14:textId="77777777" w:rsidR="0058676B" w:rsidRDefault="00000000">
      <w:pPr>
        <w:numPr>
          <w:ilvl w:val="0"/>
          <w:numId w:val="5"/>
        </w:numPr>
        <w:rPr>
          <w:b/>
          <w:bCs/>
        </w:rPr>
      </w:pPr>
      <w:r>
        <w:rPr>
          <w:b/>
          <w:bCs/>
          <w:color w:val="000000"/>
          <w:spacing w:val="5"/>
        </w:rPr>
        <w:t>Relevant information exchange for UE-to-UE co-channel CLI management (e.g., for measurement, coordinated scheduling, spatial domain coordination etc.)</w:t>
      </w:r>
    </w:p>
    <w:p w14:paraId="32455BF2" w14:textId="77777777" w:rsidR="0058676B" w:rsidRDefault="00000000">
      <w:pPr>
        <w:numPr>
          <w:ilvl w:val="0"/>
          <w:numId w:val="5"/>
        </w:numPr>
        <w:rPr>
          <w:b/>
          <w:bCs/>
        </w:rPr>
      </w:pPr>
      <w:r>
        <w:rPr>
          <w:b/>
          <w:bCs/>
          <w:color w:val="000000"/>
          <w:spacing w:val="5"/>
        </w:rPr>
        <w:t xml:space="preserve">Spatial domain coordination for management of </w:t>
      </w:r>
      <w:r>
        <w:rPr>
          <w:b/>
          <w:bCs/>
          <w:spacing w:val="5"/>
        </w:rPr>
        <w:t>UE-to-UE CLI</w:t>
      </w:r>
    </w:p>
    <w:p w14:paraId="29E51ED1" w14:textId="77777777" w:rsidR="0058676B" w:rsidRDefault="00000000">
      <w:pPr>
        <w:numPr>
          <w:ilvl w:val="0"/>
          <w:numId w:val="5"/>
        </w:numPr>
        <w:spacing w:after="80"/>
        <w:rPr>
          <w:b/>
          <w:bCs/>
        </w:rPr>
      </w:pPr>
      <w:r>
        <w:rPr>
          <w:rStyle w:val="CommentReference"/>
          <w:b/>
          <w:bCs/>
          <w:color w:val="000000"/>
          <w:spacing w:val="5"/>
          <w:sz w:val="22"/>
          <w:szCs w:val="22"/>
        </w:rPr>
        <w:t xml:space="preserve">Impact of UE and </w:t>
      </w:r>
      <w:proofErr w:type="spellStart"/>
      <w:r>
        <w:rPr>
          <w:rStyle w:val="CommentReference"/>
          <w:b/>
          <w:bCs/>
          <w:color w:val="000000"/>
          <w:spacing w:val="5"/>
          <w:sz w:val="22"/>
          <w:szCs w:val="22"/>
        </w:rPr>
        <w:t>gNB</w:t>
      </w:r>
      <w:proofErr w:type="spellEnd"/>
      <w:r>
        <w:rPr>
          <w:rStyle w:val="CommentReference"/>
          <w:b/>
          <w:bCs/>
          <w:color w:val="000000"/>
          <w:spacing w:val="5"/>
          <w:sz w:val="22"/>
          <w:szCs w:val="22"/>
        </w:rPr>
        <w:t xml:space="preserve"> transmission and reception timing on </w:t>
      </w:r>
      <w:r>
        <w:rPr>
          <w:rStyle w:val="CommentReference"/>
          <w:b/>
          <w:bCs/>
          <w:spacing w:val="5"/>
          <w:sz w:val="22"/>
          <w:szCs w:val="22"/>
        </w:rPr>
        <w:t xml:space="preserve">UE-to-UE CLI and enhancements related to </w:t>
      </w:r>
      <w:proofErr w:type="gramStart"/>
      <w:r>
        <w:rPr>
          <w:rStyle w:val="CommentReference"/>
          <w:b/>
          <w:bCs/>
          <w:spacing w:val="5"/>
          <w:sz w:val="22"/>
          <w:szCs w:val="22"/>
        </w:rPr>
        <w:t>it</w:t>
      </w:r>
      <w:proofErr w:type="gramEnd"/>
    </w:p>
    <w:p w14:paraId="55DC11D7" w14:textId="77777777" w:rsidR="0058676B" w:rsidRDefault="00000000">
      <w:pPr>
        <w:pStyle w:val="Heading1"/>
        <w:ind w:left="432" w:hanging="432"/>
      </w:pPr>
      <w:r>
        <w:rPr>
          <w:rFonts w:eastAsia="Wingdings" w:cs="Wingdings"/>
        </w:rPr>
        <w:t>References</w:t>
      </w:r>
    </w:p>
    <w:p w14:paraId="76A53DBE" w14:textId="77777777" w:rsidR="0058676B" w:rsidRDefault="00000000">
      <w:pPr>
        <w:pStyle w:val="TdocHeader2"/>
        <w:numPr>
          <w:ilvl w:val="0"/>
          <w:numId w:val="1"/>
        </w:numPr>
        <w:rPr>
          <w:rFonts w:eastAsia="Arial"/>
          <w:bCs/>
          <w:szCs w:val="18"/>
        </w:rPr>
      </w:pPr>
      <w:r>
        <w:rPr>
          <w:rFonts w:ascii="Times New Roman" w:hAnsi="Times New Roman" w:cs="Times New Roman"/>
          <w:b w:val="0"/>
          <w:sz w:val="20"/>
        </w:rPr>
        <w:t>RP-21</w:t>
      </w:r>
      <w:r>
        <w:rPr>
          <w:rFonts w:ascii="Times New Roman" w:hAnsi="Times New Roman" w:cs="Times New Roman"/>
          <w:b w:val="0"/>
          <w:sz w:val="20"/>
          <w:lang w:val="en-GB"/>
        </w:rPr>
        <w:t>3591, New SI: Study on evolution of NR duplex operation, RAN#94-e, Dec. 2021.</w:t>
      </w:r>
    </w:p>
    <w:p w14:paraId="3C3E9DA8" w14:textId="77777777" w:rsidR="0058676B" w:rsidRDefault="00000000">
      <w:pPr>
        <w:pStyle w:val="TdocHeader2"/>
        <w:numPr>
          <w:ilvl w:val="0"/>
          <w:numId w:val="1"/>
        </w:numPr>
        <w:rPr>
          <w:rFonts w:ascii="Times New Roman" w:hAnsi="Times New Roman" w:cs="Times New Roman"/>
          <w:b w:val="0"/>
          <w:sz w:val="20"/>
          <w:lang w:val="en-GB"/>
        </w:rPr>
      </w:pPr>
      <w:r>
        <w:rPr>
          <w:rFonts w:ascii="Times New Roman" w:hAnsi="Times New Roman" w:cs="Times New Roman"/>
          <w:b w:val="0"/>
          <w:sz w:val="20"/>
          <w:lang w:val="en-GB"/>
        </w:rPr>
        <w:lastRenderedPageBreak/>
        <w:t xml:space="preserve">3GPP TR 38.858, </w:t>
      </w:r>
      <w:r>
        <w:rPr>
          <w:rFonts w:ascii="Times New Roman" w:hAnsi="Times New Roman" w:cs="Times New Roman"/>
          <w:b w:val="0"/>
          <w:iCs/>
          <w:sz w:val="20"/>
          <w:lang w:val="en-GB"/>
        </w:rPr>
        <w:t>Study on Evolution of NR Duplex Operation, V0.</w:t>
      </w:r>
      <w:bookmarkStart w:id="2" w:name="specVersion"/>
      <w:r>
        <w:rPr>
          <w:rFonts w:ascii="Times New Roman" w:hAnsi="Times New Roman" w:cs="Times New Roman"/>
          <w:b w:val="0"/>
          <w:iCs/>
          <w:sz w:val="20"/>
          <w:lang w:val="en-GB"/>
        </w:rPr>
        <w:t>4.</w:t>
      </w:r>
      <w:bookmarkEnd w:id="2"/>
      <w:r>
        <w:rPr>
          <w:rFonts w:ascii="Times New Roman" w:hAnsi="Times New Roman" w:cs="Times New Roman"/>
          <w:b w:val="0"/>
          <w:iCs/>
          <w:sz w:val="20"/>
          <w:lang w:val="en-GB"/>
        </w:rPr>
        <w:t>1 3 (20</w:t>
      </w:r>
      <w:bookmarkStart w:id="3" w:name="issueDate"/>
      <w:r>
        <w:rPr>
          <w:rFonts w:ascii="Times New Roman" w:hAnsi="Times New Roman" w:cs="Times New Roman"/>
          <w:b w:val="0"/>
          <w:iCs/>
          <w:sz w:val="20"/>
          <w:lang w:val="en-GB"/>
        </w:rPr>
        <w:t>23-</w:t>
      </w:r>
      <w:bookmarkEnd w:id="3"/>
      <w:r>
        <w:rPr>
          <w:rFonts w:ascii="Times New Roman" w:hAnsi="Times New Roman" w:cs="Times New Roman"/>
          <w:b w:val="0"/>
          <w:iCs/>
          <w:sz w:val="20"/>
          <w:lang w:val="en-GB"/>
        </w:rPr>
        <w:t>086).</w:t>
      </w:r>
    </w:p>
    <w:p w14:paraId="493304C8" w14:textId="77777777" w:rsidR="0058676B" w:rsidRDefault="00000000">
      <w:pPr>
        <w:pStyle w:val="TdocHeader2"/>
        <w:numPr>
          <w:ilvl w:val="0"/>
          <w:numId w:val="1"/>
        </w:numPr>
        <w:rPr>
          <w:rFonts w:eastAsia="Arial"/>
          <w:bCs/>
          <w:szCs w:val="18"/>
        </w:rPr>
      </w:pPr>
      <w:r>
        <w:rPr>
          <w:rFonts w:ascii="Times New Roman" w:hAnsi="Times New Roman" w:cs="Times New Roman"/>
          <w:b w:val="0"/>
          <w:bCs/>
          <w:sz w:val="20"/>
          <w:lang w:val="en-GB"/>
        </w:rPr>
        <w:t>RAN1 Chairman’s Notes, 3GPP TSG RAN WG1 Meeting #113, May 2023.</w:t>
      </w:r>
    </w:p>
    <w:p w14:paraId="454B42D3" w14:textId="77777777" w:rsidR="0058676B" w:rsidRDefault="00000000">
      <w:pPr>
        <w:pStyle w:val="TdocHeader2"/>
        <w:numPr>
          <w:ilvl w:val="0"/>
          <w:numId w:val="1"/>
        </w:numPr>
        <w:rPr>
          <w:rFonts w:eastAsia="Arial"/>
          <w:bCs/>
          <w:szCs w:val="18"/>
        </w:rPr>
      </w:pPr>
      <w:r>
        <w:rPr>
          <w:rFonts w:ascii="Times New Roman" w:hAnsi="Times New Roman" w:cs="Times New Roman"/>
          <w:b w:val="0"/>
          <w:bCs/>
          <w:sz w:val="20"/>
          <w:lang w:val="en-GB"/>
        </w:rPr>
        <w:t>RAN1 Chairman’s Notes, 3GPP TSG RAN WG1 Meeting #110, August 2022.</w:t>
      </w:r>
    </w:p>
    <w:p w14:paraId="734F6E25" w14:textId="77777777" w:rsidR="0058676B" w:rsidRDefault="00000000">
      <w:pPr>
        <w:pStyle w:val="TdocHeader2"/>
        <w:numPr>
          <w:ilvl w:val="0"/>
          <w:numId w:val="1"/>
        </w:numPr>
        <w:rPr>
          <w:rFonts w:eastAsia="Arial"/>
          <w:bCs/>
          <w:szCs w:val="18"/>
        </w:rPr>
      </w:pPr>
      <w:r>
        <w:rPr>
          <w:rFonts w:ascii="Times New Roman" w:hAnsi="Times New Roman" w:cs="Times New Roman"/>
          <w:b w:val="0"/>
          <w:bCs/>
          <w:sz w:val="20"/>
          <w:lang w:val="en-GB"/>
        </w:rPr>
        <w:t>RAN1 Chairman’s Notes, 3GPP TSG RAN WG1 Meeting #112bis-e, April 2023.</w:t>
      </w:r>
    </w:p>
    <w:p w14:paraId="494164F2" w14:textId="77777777" w:rsidR="0058676B" w:rsidRDefault="00000000">
      <w:pPr>
        <w:pStyle w:val="TdocHeader2"/>
        <w:numPr>
          <w:ilvl w:val="0"/>
          <w:numId w:val="1"/>
        </w:numPr>
      </w:pPr>
      <w:r>
        <w:rPr>
          <w:rFonts w:ascii="Times New Roman" w:hAnsi="Times New Roman" w:cs="Times New Roman"/>
          <w:b w:val="0"/>
          <w:sz w:val="20"/>
          <w:lang w:val="en-GB"/>
        </w:rPr>
        <w:t>3GPP TS 38.133, 5</w:t>
      </w:r>
      <w:proofErr w:type="gramStart"/>
      <w:r>
        <w:rPr>
          <w:rFonts w:ascii="Times New Roman" w:hAnsi="Times New Roman" w:cs="Times New Roman"/>
          <w:b w:val="0"/>
          <w:sz w:val="20"/>
          <w:lang w:val="en-GB"/>
        </w:rPr>
        <w:t>G ;</w:t>
      </w:r>
      <w:proofErr w:type="gramEnd"/>
      <w:r>
        <w:rPr>
          <w:rFonts w:ascii="Times New Roman" w:hAnsi="Times New Roman" w:cs="Times New Roman"/>
          <w:b w:val="0"/>
          <w:sz w:val="20"/>
          <w:lang w:val="en-GB"/>
        </w:rPr>
        <w:t xml:space="preserve"> NR; Requirements for support of radio resource management.</w:t>
      </w:r>
    </w:p>
    <w:sectPr w:rsidR="0058676B">
      <w:pgSz w:w="11906" w:h="16838"/>
      <w:pgMar w:top="1440" w:right="1152"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DejaVu San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SimSun">
    <w:altName w:val="宋体"/>
    <w:panose1 w:val="02010600030101010101"/>
    <w:charset w:val="86"/>
    <w:family w:val="auto"/>
    <w:pitch w:val="variable"/>
    <w:sig w:usb0="00000203" w:usb1="288F0000" w:usb2="00000016" w:usb3="00000000" w:csb0="00040001" w:csb1="00000000"/>
  </w:font>
  <w:font w:name="Malgun Gothic">
    <w:altName w:val="Droid Sans Fallback"/>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Times;Times New Roman">
    <w:panose1 w:val="00000000000000000000"/>
    <w:charset w:val="00"/>
    <w:family w:val="roman"/>
    <w:notTrueType/>
    <w:pitch w:val="default"/>
  </w:font>
  <w:font w:name="바탕;Batang">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Noto Sans CJK SC Regular">
    <w:altName w:val="Gubbi"/>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굴림;Gulim">
    <w:panose1 w:val="00000000000000000000"/>
    <w:charset w:val="80"/>
    <w:family w:val="roman"/>
    <w:notTrueType/>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C4B34"/>
    <w:multiLevelType w:val="multilevel"/>
    <w:tmpl w:val="917CCCCA"/>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1E9C76B0"/>
    <w:multiLevelType w:val="multilevel"/>
    <w:tmpl w:val="0FCA11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34FA286B"/>
    <w:multiLevelType w:val="multilevel"/>
    <w:tmpl w:val="8E64F8DC"/>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rFonts w:cs="Times New Roman"/>
        <w:b/>
        <w:i w:val="0"/>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2B3688A"/>
    <w:multiLevelType w:val="multilevel"/>
    <w:tmpl w:val="6A8E3C5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5FFC0494"/>
    <w:multiLevelType w:val="multilevel"/>
    <w:tmpl w:val="BAE6815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A6C0324"/>
    <w:multiLevelType w:val="multilevel"/>
    <w:tmpl w:val="619062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700F3113"/>
    <w:multiLevelType w:val="multilevel"/>
    <w:tmpl w:val="CB5638D0"/>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OpenSymbol" w:hAnsi="OpenSymbol" w:cs="OpenSymbol" w:hint="default"/>
      </w:rPr>
    </w:lvl>
    <w:lvl w:ilvl="2">
      <w:start w:val="1"/>
      <w:numFmt w:val="bullet"/>
      <w:lvlText w:val="▪"/>
      <w:lvlJc w:val="left"/>
      <w:pPr>
        <w:tabs>
          <w:tab w:val="num" w:pos="1080"/>
        </w:tabs>
        <w:ind w:left="1080" w:hanging="360"/>
      </w:pPr>
      <w:rPr>
        <w:rFonts w:ascii="OpenSymbol" w:hAnsi="OpenSymbol" w:cs="Open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num w:numId="1" w16cid:durableId="1873302471">
    <w:abstractNumId w:val="5"/>
  </w:num>
  <w:num w:numId="2" w16cid:durableId="484470421">
    <w:abstractNumId w:val="2"/>
  </w:num>
  <w:num w:numId="3" w16cid:durableId="904991607">
    <w:abstractNumId w:val="0"/>
  </w:num>
  <w:num w:numId="4" w16cid:durableId="1071543939">
    <w:abstractNumId w:val="1"/>
  </w:num>
  <w:num w:numId="5" w16cid:durableId="1661886124">
    <w:abstractNumId w:val="3"/>
  </w:num>
  <w:num w:numId="6" w16cid:durableId="1174496982">
    <w:abstractNumId w:val="6"/>
  </w:num>
  <w:num w:numId="7" w16cid:durableId="7823860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8676B"/>
    <w:rsid w:val="002A0653"/>
    <w:rsid w:val="004B76E8"/>
    <w:rsid w:val="0058676B"/>
    <w:rsid w:val="009F714D"/>
    <w:rsid w:val="00C7715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E3E70"/>
  <w15:docId w15:val="{8AB68319-93DE-48FD-A30D-2295C34BB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napToGrid w:val="0"/>
      <w:spacing w:after="120"/>
      <w:jc w:val="both"/>
    </w:pPr>
    <w:rPr>
      <w:rFonts w:eastAsia="SimSun"/>
      <w:sz w:val="22"/>
      <w:szCs w:val="22"/>
      <w:lang w:eastAsia="zh-CN"/>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qFormat/>
    <w:pPr>
      <w:keepNext/>
      <w:spacing w:before="120"/>
      <w:outlineLvl w:val="2"/>
    </w:pPr>
    <w:rPr>
      <w:b/>
    </w:rPr>
  </w:style>
  <w:style w:type="paragraph" w:styleId="Heading4">
    <w:name w:val="heading 4"/>
    <w:basedOn w:val="Normal"/>
    <w:next w:val="Normal"/>
    <w:qFormat/>
    <w:pPr>
      <w:keepNext/>
      <w:spacing w:before="120"/>
      <w:ind w:left="720" w:hanging="720"/>
      <w:outlineLvl w:val="3"/>
    </w:pPr>
    <w:rPr>
      <w:b/>
      <w:bCs/>
      <w:szCs w:val="28"/>
    </w:rPr>
  </w:style>
  <w:style w:type="paragraph" w:styleId="Heading5">
    <w:name w:val="heading 5"/>
    <w:basedOn w:val="Normal"/>
    <w:next w:val="Normal"/>
    <w:qFormat/>
    <w:pPr>
      <w:keepNext/>
      <w:spacing w:before="120"/>
      <w:ind w:left="720" w:hanging="720"/>
      <w:outlineLvl w:val="4"/>
    </w:pPr>
    <w:rPr>
      <w:b/>
      <w:bCs/>
      <w:i/>
      <w:iCs/>
      <w:szCs w:val="26"/>
    </w:rPr>
  </w:style>
  <w:style w:type="paragraph" w:styleId="Heading6">
    <w:name w:val="heading 6"/>
    <w:basedOn w:val="Normal"/>
    <w:next w:val="Normal"/>
    <w:qFormat/>
    <w:pPr>
      <w:spacing w:before="240" w:after="60"/>
      <w:outlineLvl w:val="5"/>
    </w:pPr>
    <w:rPr>
      <w:b/>
      <w:bCs/>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i w:val="0"/>
      <w:lang w:val="en-US"/>
    </w:rPr>
  </w:style>
  <w:style w:type="character" w:customStyle="1" w:styleId="WW8Num1z1">
    <w:name w:val="WW8Num1z1"/>
    <w:qFormat/>
    <w:rPr>
      <w:rFonts w:ascii="Times New Roman" w:hAnsi="Times New Roman" w:cs="Times New Roman"/>
      <w:b/>
      <w:i w:val="0"/>
      <w:sz w:val="24"/>
    </w:rPr>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val="0"/>
      <w:sz w:val="20"/>
      <w:szCs w:val="16"/>
      <w:lang w:val="en-GB"/>
    </w:rPr>
  </w:style>
  <w:style w:type="character" w:customStyle="1" w:styleId="WW8Num3z0">
    <w:name w:val="WW8Num3z0"/>
    <w:qFormat/>
    <w:rPr>
      <w:rFonts w:ascii="Arial" w:eastAsia="Malgun Gothic" w:hAnsi="Arial" w:cs="Arial"/>
      <w:lang w:eastAsia="ko-KR"/>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Arial" w:eastAsia="Malgun Gothic" w:hAnsi="Arial" w:cs="Arial"/>
      <w:lang w:eastAsia="ko-KR"/>
    </w:rPr>
  </w:style>
  <w:style w:type="character" w:customStyle="1" w:styleId="WW8Num4z1">
    <w:name w:val="WW8Num4z1"/>
    <w:qFormat/>
    <w:rPr>
      <w:rFonts w:ascii="Wingdings" w:hAnsi="Wingdings" w:cs="Wingdings"/>
    </w:rPr>
  </w:style>
  <w:style w:type="character" w:customStyle="1" w:styleId="WW8Num5z0">
    <w:name w:val="WW8Num5z0"/>
    <w:qFormat/>
    <w:rPr>
      <w:rFonts w:ascii="Times New Roman" w:eastAsia="Malgun Gothic" w:hAnsi="Times New Roman" w:cs="Times New Roman"/>
      <w:b/>
      <w:lang w:eastAsia="ko-KR"/>
    </w:rPr>
  </w:style>
  <w:style w:type="character" w:customStyle="1" w:styleId="WW8Num5z1">
    <w:name w:val="WW8Num5z1"/>
    <w:qFormat/>
    <w:rPr>
      <w:rFonts w:ascii="Wingdings" w:eastAsia="Malgun Gothic" w:hAnsi="Wingdings" w:cs="Wingdings"/>
      <w:lang w:eastAsia="ko-KR"/>
    </w:rPr>
  </w:style>
  <w:style w:type="character" w:customStyle="1" w:styleId="WW8Num6z0">
    <w:name w:val="WW8Num6z0"/>
    <w:qFormat/>
    <w:rPr>
      <w:rFonts w:ascii="Times New Roman" w:eastAsia="Malgun Gothic" w:hAnsi="Times New Roman" w:cs="Times New Roman"/>
      <w:b/>
      <w:lang w:eastAsia="ko-KR"/>
    </w:rPr>
  </w:style>
  <w:style w:type="character" w:customStyle="1" w:styleId="WW8Num6z1">
    <w:name w:val="WW8Num6z1"/>
    <w:qFormat/>
    <w:rPr>
      <w:rFonts w:ascii="Wingdings" w:hAnsi="Wingdings" w:cs="Wingdings"/>
    </w:rPr>
  </w:style>
  <w:style w:type="character" w:customStyle="1" w:styleId="DefaultParagraphFont0">
    <w:name w:val="Default Paragraph Font0"/>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0">
    <w:name w:val="WW8Num7z0"/>
    <w:qFormat/>
    <w:rPr>
      <w:rFonts w:ascii="Times New Roman" w:eastAsia="Malgun Gothic" w:hAnsi="Times New Roman" w:cs="Times New Roman"/>
      <w:b/>
      <w:lang w:eastAsia="ko-KR"/>
    </w:rPr>
  </w:style>
  <w:style w:type="character" w:customStyle="1" w:styleId="WW8Num7z1">
    <w:name w:val="WW8Num7z1"/>
    <w:qFormat/>
    <w:rPr>
      <w:rFonts w:ascii="Wingdings" w:hAnsi="Wingdings" w:cs="Wingdings"/>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color w:val="000000"/>
      <w:szCs w:val="21"/>
      <w:lang w:eastAsia="zh-CN"/>
    </w:rPr>
  </w:style>
  <w:style w:type="character" w:customStyle="1" w:styleId="WW8Num10z1">
    <w:name w:val="WW8Num10z1"/>
    <w:qFormat/>
    <w:rPr>
      <w:rFonts w:ascii="Courier New" w:hAnsi="Courier New" w:cs="Courier New"/>
      <w:color w:val="000000"/>
      <w:szCs w:val="21"/>
      <w:lang w:eastAsia="zh-CN"/>
    </w:rPr>
  </w:style>
  <w:style w:type="character" w:customStyle="1" w:styleId="WW8Num10z2">
    <w:name w:val="WW8Num10z2"/>
    <w:qFormat/>
    <w:rPr>
      <w:rFonts w:ascii="Wingdings" w:hAnsi="Wingdings" w:cs="Wingdings"/>
    </w:rPr>
  </w:style>
  <w:style w:type="character" w:customStyle="1" w:styleId="WW-DefaultParagraphFont">
    <w:name w:val="WW-Default Paragraph Font"/>
    <w:qFormat/>
  </w:style>
  <w:style w:type="character" w:customStyle="1" w:styleId="WW8Num5z2">
    <w:name w:val="WW8Num5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Symbol" w:eastAsia="Wingdings" w:hAnsi="Symbol" w:cs="Symbol"/>
    </w:rPr>
  </w:style>
  <w:style w:type="character" w:customStyle="1" w:styleId="WW8Num14z1">
    <w:name w:val="WW8Num14z1"/>
    <w:qFormat/>
    <w:rPr>
      <w:rFonts w:ascii="Courier New" w:eastAsia="Wingdings" w:hAnsi="Courier New" w:cs="Courier New"/>
      <w:sz w:val="24"/>
      <w:szCs w:val="24"/>
    </w:rPr>
  </w:style>
  <w:style w:type="character" w:customStyle="1" w:styleId="WW8Num14z2">
    <w:name w:val="WW8Num14z2"/>
    <w:qFormat/>
    <w:rPr>
      <w:rFonts w:ascii="Wingdings" w:eastAsia="Wingdings" w:hAnsi="Wingdings" w:cs="Wingdings"/>
    </w:rPr>
  </w:style>
  <w:style w:type="character" w:customStyle="1" w:styleId="WW8Num15z0">
    <w:name w:val="WW8Num15z0"/>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DefaultParagraphFont1">
    <w:name w:val="WW-Default Paragraph Font1"/>
    <w:qFormat/>
  </w:style>
  <w:style w:type="character" w:customStyle="1" w:styleId="WW8Num2z1">
    <w:name w:val="WW8Num2z1"/>
    <w:qFormat/>
    <w:rPr>
      <w:rFonts w:ascii="Wingdings" w:hAnsi="Wingdings" w:cs="Wingdings"/>
    </w:rPr>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a">
    <w:name w:val="默认段落字体"/>
    <w:qFormat/>
  </w:style>
  <w:style w:type="character" w:customStyle="1" w:styleId="Char">
    <w:name w:val="正文文本 Char"/>
    <w:qFormat/>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qFormat/>
    <w:rPr>
      <w:b/>
      <w:bCs/>
      <w:kern w:val="2"/>
      <w:lang w:val="en-GB" w:eastAsia="zh-CN" w:bidi="ar-SA"/>
    </w:rPr>
  </w:style>
  <w:style w:type="character" w:customStyle="1" w:styleId="1">
    <w:name w:val="已访问的超链接1"/>
    <w:qFormat/>
    <w:rPr>
      <w:color w:val="800080"/>
      <w:kern w:val="2"/>
      <w:u w:val="single"/>
      <w:lang w:val="en-GB" w:eastAsia="zh-CN" w:bidi="ar-SA"/>
    </w:rPr>
  </w:style>
  <w:style w:type="character" w:customStyle="1" w:styleId="FootnoteCharacters">
    <w:name w:val="Footnote Characters"/>
    <w:qFormat/>
    <w:rPr>
      <w:kern w:val="2"/>
      <w:vertAlign w:val="superscript"/>
      <w:lang w:val="en-GB" w:eastAsia="zh-CN" w:bidi="ar-SA"/>
    </w:rPr>
  </w:style>
  <w:style w:type="character" w:customStyle="1" w:styleId="Char1">
    <w:name w:val="页眉 Char"/>
    <w:qFormat/>
    <w:rPr>
      <w:kern w:val="2"/>
      <w:sz w:val="22"/>
      <w:szCs w:val="22"/>
      <w:lang w:val="en-GB" w:eastAsia="zh-CN" w:bidi="ar-SA"/>
    </w:rPr>
  </w:style>
  <w:style w:type="character" w:customStyle="1" w:styleId="Char2">
    <w:name w:val="页脚 Char"/>
    <w:qFormat/>
    <w:rPr>
      <w:kern w:val="2"/>
      <w:sz w:val="22"/>
      <w:szCs w:val="22"/>
      <w:lang w:val="en-GB" w:eastAsia="zh-CN" w:bidi="ar-SA"/>
    </w:rPr>
  </w:style>
  <w:style w:type="character" w:customStyle="1" w:styleId="Char3">
    <w:name w:val="文档结构图 Char"/>
    <w:qFormat/>
    <w:rPr>
      <w:rFonts w:ascii="SimSun" w:hAnsi="SimSun" w:cs="SimSun"/>
      <w:kern w:val="2"/>
      <w:sz w:val="18"/>
      <w:szCs w:val="18"/>
      <w:lang w:val="en-GB" w:bidi="ar-SA"/>
    </w:rPr>
  </w:style>
  <w:style w:type="character" w:customStyle="1" w:styleId="maintextChar">
    <w:name w:val="main text Char"/>
    <w:qFormat/>
    <w:rPr>
      <w:rFonts w:eastAsia="Malgun Gothic" w:cs="Batang"/>
      <w:lang w:val="en-GB" w:eastAsia="ko-KR"/>
    </w:rPr>
  </w:style>
  <w:style w:type="character" w:customStyle="1" w:styleId="2222Char">
    <w:name w:val="스타일 스타일 스타일 스타일 양쪽 첫 줄:  2 글자 + 첫 줄:  2 글자 + 첫 줄:  2 글자 + 첫 줄:  2... Char"/>
    <w:qFormat/>
    <w:rPr>
      <w:rFonts w:eastAsia="Malgun Gothic" w:cs="Batang"/>
      <w:lang w:val="en-GB"/>
    </w:rPr>
  </w:style>
  <w:style w:type="character" w:customStyle="1" w:styleId="a0">
    <w:name w:val="批注引用"/>
    <w:qFormat/>
    <w:rPr>
      <w:kern w:val="2"/>
      <w:sz w:val="21"/>
      <w:szCs w:val="21"/>
      <w:lang w:val="en-GB" w:eastAsia="zh-CN" w:bidi="ar-SA"/>
    </w:rPr>
  </w:style>
  <w:style w:type="character" w:customStyle="1" w:styleId="Char4">
    <w:name w:val="批注文字 Char"/>
    <w:qFormat/>
    <w:rPr>
      <w:kern w:val="2"/>
      <w:sz w:val="22"/>
      <w:szCs w:val="22"/>
      <w:lang w:val="en-GB" w:bidi="ar-SA"/>
    </w:rPr>
  </w:style>
  <w:style w:type="character" w:customStyle="1" w:styleId="Char5">
    <w:name w:val="批注主题 Char"/>
    <w:qFormat/>
    <w:rPr>
      <w:b/>
      <w:bCs/>
      <w:kern w:val="2"/>
      <w:sz w:val="22"/>
      <w:szCs w:val="22"/>
      <w:lang w:val="en-GB" w:bidi="ar-SA"/>
    </w:rPr>
  </w:style>
  <w:style w:type="character" w:styleId="CommentReference">
    <w:name w:val="annotation reference"/>
    <w:qFormat/>
    <w:rPr>
      <w:sz w:val="16"/>
      <w:szCs w:val="16"/>
    </w:rPr>
  </w:style>
  <w:style w:type="character" w:customStyle="1" w:styleId="CommentTextChar">
    <w:name w:val="Comment Text Char"/>
    <w:qFormat/>
    <w:rPr>
      <w:rFonts w:eastAsia="SimSun"/>
      <w:lang w:eastAsia="zh-CN"/>
    </w:rPr>
  </w:style>
  <w:style w:type="character" w:customStyle="1" w:styleId="CommentSubjectChar">
    <w:name w:val="Comment Subject Char"/>
    <w:qFormat/>
    <w:rPr>
      <w:rFonts w:eastAsia="SimSun"/>
      <w:b/>
      <w:bCs/>
      <w:lang w:eastAsia="zh-CN"/>
    </w:rPr>
  </w:style>
  <w:style w:type="character" w:customStyle="1" w:styleId="NumberingSymbols">
    <w:name w:val="Numbering Symbols"/>
    <w:qFormat/>
  </w:style>
  <w:style w:type="character" w:customStyle="1" w:styleId="WW8Num109z0">
    <w:name w:val="WW8Num109z0"/>
    <w:qFormat/>
    <w:rPr>
      <w:rFonts w:ascii="Symbol" w:hAnsi="Symbol" w:cs="Symbol"/>
      <w:color w:val="000000"/>
      <w:szCs w:val="21"/>
      <w:lang w:eastAsia="zh-CN"/>
    </w:rPr>
  </w:style>
  <w:style w:type="character" w:customStyle="1" w:styleId="WW8Num109z1">
    <w:name w:val="WW8Num109z1"/>
    <w:qFormat/>
    <w:rPr>
      <w:rFonts w:ascii="Courier New" w:hAnsi="Courier New" w:cs="Courier New"/>
      <w:color w:val="000000"/>
      <w:szCs w:val="21"/>
      <w:lang w:eastAsia="zh-CN"/>
    </w:rPr>
  </w:style>
  <w:style w:type="character" w:customStyle="1" w:styleId="WW8Num109z2">
    <w:name w:val="WW8Num109z2"/>
    <w:qFormat/>
    <w:rPr>
      <w:rFonts w:ascii="Wingdings" w:hAnsi="Wingdings" w:cs="Wingdings"/>
    </w:rPr>
  </w:style>
  <w:style w:type="character" w:customStyle="1" w:styleId="Bullets">
    <w:name w:val="Bullets"/>
    <w:qFormat/>
    <w:rPr>
      <w:rFonts w:ascii="OpenSymbol" w:eastAsia="OpenSymbol" w:hAnsi="OpenSymbol" w:cs="OpenSymbol"/>
    </w:rPr>
  </w:style>
  <w:style w:type="character" w:customStyle="1" w:styleId="WW8Num27z0">
    <w:name w:val="WW8Num27z0"/>
    <w:qFormat/>
    <w:rPr>
      <w:rFonts w:ascii="Times;Times New Roman" w:eastAsia="Malgun Gothic" w:hAnsi="Times;Times New Roman" w:cs="Times;Times New Roman"/>
      <w:color w:val="FF0000"/>
      <w:szCs w:val="20"/>
      <w:highlight w:val="yellow"/>
      <w:lang w:eastAsia="ko-KR"/>
    </w:rPr>
  </w:style>
  <w:style w:type="character" w:customStyle="1" w:styleId="WW8Num27z1">
    <w:name w:val="WW8Num27z1"/>
    <w:qFormat/>
    <w:rPr>
      <w:rFonts w:ascii="Courier New" w:hAnsi="Courier New" w:cs="Courier New"/>
    </w:rPr>
  </w:style>
  <w:style w:type="character" w:customStyle="1" w:styleId="WW8Num27z2">
    <w:name w:val="WW8Num27z2"/>
    <w:qFormat/>
    <w:rPr>
      <w:rFonts w:ascii="Arial" w:hAnsi="Arial" w:cs="Arial"/>
    </w:rPr>
  </w:style>
  <w:style w:type="character" w:customStyle="1" w:styleId="WW8Num90z0">
    <w:name w:val="WW8Num90z0"/>
    <w:qFormat/>
    <w:rPr>
      <w:rFonts w:ascii="Times" w:eastAsia="바탕;Batang" w:hAnsi="Times" w:cs="Times"/>
      <w:szCs w:val="20"/>
      <w:lang w:eastAsia="ko-KR"/>
    </w:rPr>
  </w:style>
  <w:style w:type="character" w:customStyle="1" w:styleId="WW8Num90z1">
    <w:name w:val="WW8Num90z1"/>
    <w:qFormat/>
    <w:rPr>
      <w:rFonts w:ascii="Wingdings" w:hAnsi="Wingdings" w:cs="Wingdings"/>
      <w:lang w:eastAsia="ko-KR"/>
    </w:rPr>
  </w:style>
  <w:style w:type="character" w:customStyle="1" w:styleId="StrongEmphasis">
    <w:name w:val="Strong Emphasis"/>
    <w:qFormat/>
    <w:rPr>
      <w:b/>
      <w:bCs/>
    </w:rPr>
  </w:style>
  <w:style w:type="character" w:customStyle="1" w:styleId="apple-converted-space">
    <w:name w:val="apple-converted-space"/>
    <w:qFormat/>
  </w:style>
  <w:style w:type="character" w:customStyle="1" w:styleId="WW8Num170z0">
    <w:name w:val="WW8Num170z0"/>
    <w:qFormat/>
    <w:rPr>
      <w:rFonts w:ascii="Symbol" w:hAnsi="Symbol" w:cs="Symbol"/>
      <w:sz w:val="20"/>
      <w:szCs w:val="20"/>
      <w:lang w:eastAsia="ko-KR"/>
    </w:rPr>
  </w:style>
  <w:style w:type="character" w:customStyle="1" w:styleId="WW8Num170z1">
    <w:name w:val="WW8Num170z1"/>
    <w:qFormat/>
    <w:rPr>
      <w:rFonts w:ascii="Courier New" w:hAnsi="Courier New" w:cs="Courier New"/>
    </w:rPr>
  </w:style>
  <w:style w:type="character" w:customStyle="1" w:styleId="WW8Num170z2">
    <w:name w:val="WW8Num170z2"/>
    <w:qFormat/>
    <w:rPr>
      <w:rFonts w:ascii="Wingdings" w:hAnsi="Wingdings" w:cs="Wingdings"/>
    </w:rPr>
  </w:style>
  <w:style w:type="character" w:customStyle="1" w:styleId="WW8Num235z0">
    <w:name w:val="WW8Num235z0"/>
    <w:qFormat/>
    <w:rPr>
      <w:rFonts w:ascii="Wingdings" w:hAnsi="Wingdings" w:cs="Wingdings"/>
    </w:rPr>
  </w:style>
  <w:style w:type="character" w:customStyle="1" w:styleId="WW8Num139z0">
    <w:name w:val="WW8Num139z0"/>
    <w:qFormat/>
    <w:rPr>
      <w:rFonts w:ascii="Times" w:eastAsia="바탕;Batang" w:hAnsi="Times" w:cs="Times"/>
      <w:szCs w:val="20"/>
      <w:highlight w:val="cyan"/>
      <w:lang w:val="en-CA" w:eastAsia="zh-CN"/>
    </w:rPr>
  </w:style>
  <w:style w:type="character" w:customStyle="1" w:styleId="WW8Num139z1">
    <w:name w:val="WW8Num139z1"/>
    <w:qFormat/>
    <w:rPr>
      <w:rFonts w:ascii="Wingdings" w:eastAsia="Times New Roman" w:hAnsi="Wingdings" w:cs="Wingdings"/>
      <w:vertAlign w:val="subscript"/>
    </w:rPr>
  </w:style>
  <w:style w:type="character" w:customStyle="1" w:styleId="WW8Num69z0">
    <w:name w:val="WW8Num69z0"/>
    <w:qFormat/>
    <w:rPr>
      <w:rFonts w:ascii="Wingdings" w:hAnsi="Wingdings" w:cs="Wingdings"/>
      <w:szCs w:val="16"/>
      <w:lang w:eastAsia="ko-KR"/>
    </w:rPr>
  </w:style>
  <w:style w:type="character" w:customStyle="1" w:styleId="cf01">
    <w:name w:val="cf01"/>
    <w:basedOn w:val="DefaultParagraphFont"/>
    <w:qFormat/>
    <w:rPr>
      <w:rFonts w:ascii="Segoe UI" w:hAnsi="Segoe UI" w:cs="Segoe UI"/>
      <w:b/>
      <w:bCs/>
      <w:sz w:val="18"/>
      <w:szCs w:val="18"/>
    </w:rPr>
  </w:style>
  <w:style w:type="paragraph" w:customStyle="1" w:styleId="Heading">
    <w:name w:val="Heading"/>
    <w:basedOn w:val="Normal"/>
    <w:next w:val="BodyText"/>
    <w:qForma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a1">
    <w:name w:val="题注"/>
    <w:basedOn w:val="Normal"/>
    <w:next w:val="Normal"/>
    <w:qFormat/>
    <w:pPr>
      <w:jc w:val="center"/>
    </w:pPr>
    <w:rPr>
      <w:b/>
      <w:bCs/>
      <w:kern w:val="2"/>
      <w:sz w:val="20"/>
      <w:szCs w:val="20"/>
      <w:lang w:val="en-GB"/>
    </w:rPr>
  </w:style>
  <w:style w:type="paragraph" w:customStyle="1" w:styleId="a2">
    <w:name w:val="列表项目符号"/>
    <w:basedOn w:val="List"/>
    <w:qFormat/>
    <w:pPr>
      <w:spacing w:after="180"/>
      <w:ind w:left="568" w:hanging="284"/>
      <w:jc w:val="left"/>
    </w:pPr>
    <w:rPr>
      <w:sz w:val="20"/>
      <w:szCs w:val="20"/>
      <w:lang w:val="en-GB"/>
    </w:rPr>
  </w:style>
  <w:style w:type="paragraph" w:customStyle="1" w:styleId="2">
    <w:name w:val="正文文本 2"/>
    <w:basedOn w:val="Normal"/>
    <w:qFormat/>
    <w:pPr>
      <w:spacing w:after="0"/>
      <w:jc w:val="left"/>
    </w:pPr>
    <w:rPr>
      <w:szCs w:val="20"/>
    </w:rPr>
  </w:style>
  <w:style w:type="paragraph" w:customStyle="1" w:styleId="a3">
    <w:name w:val="批注框文本"/>
    <w:basedOn w:val="Normal"/>
    <w:qFormat/>
    <w:rPr>
      <w:rFonts w:ascii="Tahoma" w:hAnsi="Tahoma" w:cs="Tahoma"/>
      <w:sz w:val="16"/>
      <w:szCs w:val="16"/>
    </w:rPr>
  </w:style>
  <w:style w:type="paragraph" w:customStyle="1" w:styleId="References">
    <w:name w:val="References"/>
    <w:basedOn w:val="Normal"/>
    <w:qFormat/>
    <w:p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qFormat/>
    <w:pPr>
      <w:keepNext/>
      <w:jc w:val="center"/>
    </w:pPr>
  </w:style>
  <w:style w:type="paragraph" w:customStyle="1" w:styleId="Eqn">
    <w:name w:val="Eqn"/>
    <w:basedOn w:val="Normal"/>
    <w:qFormat/>
    <w:rPr>
      <w:lang w:eastAsia="ja-JP"/>
    </w:rPr>
  </w:style>
  <w:style w:type="paragraph" w:customStyle="1" w:styleId="tablecell">
    <w:name w:val="tablecell"/>
    <w:basedOn w:val="Normal"/>
    <w:qFormat/>
    <w:pPr>
      <w:spacing w:before="20" w:after="20"/>
      <w:jc w:val="left"/>
    </w:p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qFormat/>
    <w:pPr>
      <w:jc w:val="center"/>
    </w:pPr>
    <w:rPr>
      <w:b/>
    </w:rPr>
  </w:style>
  <w:style w:type="paragraph" w:customStyle="1" w:styleId="a4">
    <w:name w:val="文档结构图"/>
    <w:basedOn w:val="Normal"/>
    <w:qFormat/>
    <w:rPr>
      <w:rFonts w:ascii="SimSun" w:hAnsi="SimSun" w:cs="SimSun"/>
      <w:kern w:val="2"/>
      <w:sz w:val="18"/>
      <w:szCs w:val="18"/>
      <w:lang w:val="en-GB"/>
    </w:rPr>
  </w:style>
  <w:style w:type="paragraph" w:customStyle="1" w:styleId="maintext">
    <w:name w:val="main text"/>
    <w:basedOn w:val="Normal"/>
    <w:qFormat/>
    <w:pPr>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qFormat/>
    <w:pPr>
      <w:snapToGrid/>
      <w:spacing w:after="180" w:line="336" w:lineRule="auto"/>
      <w:ind w:firstLine="200"/>
    </w:pPr>
    <w:rPr>
      <w:rFonts w:eastAsia="Malgun Gothic"/>
      <w:sz w:val="20"/>
      <w:szCs w:val="20"/>
      <w:lang w:val="en-GB"/>
    </w:rPr>
  </w:style>
  <w:style w:type="paragraph" w:customStyle="1" w:styleId="a5">
    <w:name w:val="批注文字"/>
    <w:basedOn w:val="Normal"/>
    <w:qFormat/>
    <w:pPr>
      <w:jc w:val="left"/>
    </w:pPr>
    <w:rPr>
      <w:kern w:val="2"/>
      <w:lang w:val="en-GB"/>
    </w:rPr>
  </w:style>
  <w:style w:type="paragraph" w:customStyle="1" w:styleId="a6">
    <w:name w:val="批注主题"/>
    <w:basedOn w:val="a5"/>
    <w:next w:val="a5"/>
    <w:qFormat/>
    <w:rPr>
      <w:b/>
      <w:bCs/>
    </w:rPr>
  </w:style>
  <w:style w:type="paragraph" w:customStyle="1" w:styleId="a7">
    <w:name w:val="列出段落"/>
    <w:basedOn w:val="Normal"/>
    <w:qFormat/>
    <w:pPr>
      <w:ind w:left="720"/>
      <w:contextualSpacing/>
    </w:pPr>
  </w:style>
  <w:style w:type="paragraph" w:styleId="CommentText">
    <w:name w:val="annotation text"/>
    <w:basedOn w:val="Normal"/>
    <w:qFormat/>
    <w:rPr>
      <w:sz w:val="20"/>
      <w:szCs w:val="20"/>
    </w:rPr>
  </w:style>
  <w:style w:type="paragraph" w:styleId="CommentSubject">
    <w:name w:val="annotation subject"/>
    <w:basedOn w:val="CommentText"/>
    <w:next w:val="CommentText"/>
    <w:qFormat/>
    <w:rPr>
      <w:b/>
      <w:bCs/>
    </w:rPr>
  </w:style>
  <w:style w:type="paragraph" w:styleId="ListParagraph">
    <w:name w:val="List Paragraph"/>
    <w:basedOn w:val="Normal"/>
    <w:qFormat/>
    <w:pPr>
      <w:spacing w:after="180"/>
      <w:ind w:left="720"/>
      <w:contextualSpacing/>
    </w:pPr>
  </w:style>
  <w:style w:type="paragraph" w:customStyle="1" w:styleId="TdocHeader2">
    <w:name w:val="Tdoc_Header_2"/>
    <w:basedOn w:val="Normal"/>
    <w:qFormat/>
    <w:pPr>
      <w:widowControl w:val="0"/>
      <w:tabs>
        <w:tab w:val="left" w:pos="1701"/>
        <w:tab w:val="right" w:pos="9072"/>
        <w:tab w:val="right" w:pos="10206"/>
      </w:tabs>
    </w:pPr>
    <w:rPr>
      <w:rFonts w:ascii="Arial" w:hAnsi="Arial" w:cs="Arial"/>
      <w:b/>
      <w:sz w:val="18"/>
      <w:szCs w:val="20"/>
    </w:rPr>
  </w:style>
  <w:style w:type="paragraph" w:customStyle="1" w:styleId="B2">
    <w:name w:val="B2"/>
    <w:basedOn w:val="Normal"/>
    <w:qFormat/>
    <w:pPr>
      <w:ind w:left="851" w:hanging="284"/>
    </w:pPr>
  </w:style>
  <w:style w:type="paragraph" w:styleId="Revision">
    <w:name w:val="Revision"/>
    <w:uiPriority w:val="99"/>
    <w:semiHidden/>
    <w:qFormat/>
    <w:rsid w:val="007E62D0"/>
    <w:pPr>
      <w:suppressAutoHyphens w:val="0"/>
    </w:pPr>
    <w:rPr>
      <w:rFonts w:eastAsia="SimSun"/>
      <w:sz w:val="22"/>
      <w:szCs w:val="22"/>
      <w:lang w:eastAsia="zh-CN"/>
    </w:rPr>
  </w:style>
  <w:style w:type="paragraph" w:customStyle="1" w:styleId="a8">
    <w:name w:val="목록 단락"/>
    <w:basedOn w:val="Normal"/>
    <w:qFormat/>
    <w:pPr>
      <w:ind w:left="840"/>
    </w:pPr>
  </w:style>
  <w:style w:type="paragraph" w:customStyle="1" w:styleId="Proposal2">
    <w:name w:val="Proposal2"/>
    <w:basedOn w:val="Heading4"/>
    <w:qFormat/>
    <w:rPr>
      <w:rFonts w:eastAsia="Times New Roman"/>
      <w:bCs w:val="0"/>
      <w:iCs/>
      <w:sz w:val="20"/>
      <w:u w:val="single"/>
      <w:lang w:eastAsia="ja-JP"/>
    </w:rPr>
  </w:style>
  <w:style w:type="paragraph" w:customStyle="1" w:styleId="proposal20">
    <w:name w:val="proposal2"/>
    <w:basedOn w:val="Normal"/>
    <w:qFormat/>
    <w:pPr>
      <w:spacing w:before="280" w:after="280"/>
    </w:pPr>
    <w:rPr>
      <w:rFonts w:ascii="굴림;Gulim" w:eastAsia="굴림;Gulim" w:hAnsi="굴림;Gulim" w:cs="굴림;Gulim"/>
      <w:sz w:val="24"/>
      <w:lang w:eastAsia="ko-KR"/>
    </w:rPr>
  </w:style>
  <w:style w:type="paragraph" w:customStyle="1" w:styleId="ListParagraph1">
    <w:name w:val="List Paragraph1"/>
    <w:basedOn w:val="Normal"/>
    <w:qFormat/>
    <w:pPr>
      <w:spacing w:after="0"/>
      <w:ind w:left="720"/>
      <w:contextualSpacing/>
    </w:pPr>
    <w:rPr>
      <w:rFonts w:eastAsia="Times New Roman"/>
      <w:sz w:val="24"/>
    </w:rPr>
  </w:style>
  <w:style w:type="paragraph" w:customStyle="1" w:styleId="10">
    <w:name w:val="列出段落1"/>
    <w:basedOn w:val="Normal"/>
    <w:qFormat/>
    <w:pPr>
      <w:ind w:firstLine="420"/>
    </w:pPr>
  </w:style>
  <w:style w:type="paragraph" w:customStyle="1" w:styleId="TableContents">
    <w:name w:val="Table Contents"/>
    <w:basedOn w:val="Normal"/>
    <w:qFormat/>
    <w:pPr>
      <w:suppressLineNumbers/>
    </w:pPr>
  </w:style>
  <w:style w:type="numbering" w:customStyle="1" w:styleId="WW8Num27">
    <w:name w:val="WW8Num27"/>
    <w:qFormat/>
  </w:style>
  <w:style w:type="numbering" w:customStyle="1" w:styleId="WW8Num90">
    <w:name w:val="WW8Num90"/>
    <w:qFormat/>
  </w:style>
  <w:style w:type="numbering" w:customStyle="1" w:styleId="WW8Num13">
    <w:name w:val="WW8Num13"/>
    <w:qFormat/>
  </w:style>
  <w:style w:type="numbering" w:customStyle="1" w:styleId="WW8Num9">
    <w:name w:val="WW8Num9"/>
    <w:qFormat/>
  </w:style>
  <w:style w:type="numbering" w:customStyle="1" w:styleId="WW8Num170">
    <w:name w:val="WW8Num170"/>
    <w:qFormat/>
  </w:style>
  <w:style w:type="numbering" w:customStyle="1" w:styleId="WW8Num235">
    <w:name w:val="WW8Num235"/>
    <w:qFormat/>
  </w:style>
  <w:style w:type="numbering" w:customStyle="1" w:styleId="WW8Num10">
    <w:name w:val="WW8Num10"/>
    <w:qFormat/>
  </w:style>
  <w:style w:type="numbering" w:customStyle="1" w:styleId="WW8Num139">
    <w:name w:val="WW8Num139"/>
    <w:qFormat/>
  </w:style>
  <w:style w:type="numbering" w:customStyle="1" w:styleId="WW8Num69">
    <w:name w:val="WW8Num6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2698</Words>
  <Characters>15379</Characters>
  <Application>Microsoft Office Word</Application>
  <DocSecurity>0</DocSecurity>
  <Lines>128</Lines>
  <Paragraphs>36</Paragraphs>
  <ScaleCrop>false</ScaleCrop>
  <Company/>
  <LinksUpToDate>false</LinksUpToDate>
  <CharactersWithSpaces>18041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dc:description/>
  <cp:lastModifiedBy>Deepak P M</cp:lastModifiedBy>
  <cp:revision>2</cp:revision>
  <cp:lastPrinted>2007-06-19T00:08:00Z</cp:lastPrinted>
  <dcterms:created xsi:type="dcterms:W3CDTF">2023-08-11T07:56:00Z</dcterms:created>
  <dcterms:modified xsi:type="dcterms:W3CDTF">2023-08-11T07:56:00Z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9"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10" name="_2015_ms_pID_7253431_00">
    <vt:lpwstr>_2015_ms_pID_7253431</vt:lpwstr>
  </property>
  <property fmtid="{D5CDD505-2E9C-101B-9397-08002B2CF9AE}" pid="11" name="_2015_ms_pID_7253432">
    <vt:lpwstr>9qLhyHC9obdVHv8/RLoYiwEXWdzr8N8/jd2r_x000d_
Z4zgO54Jul26UUC1NNoYDAts+rdWXA==</vt:lpwstr>
  </property>
  <property fmtid="{D5CDD505-2E9C-101B-9397-08002B2CF9AE}" pid="12" name="_2015_ms_pID_7253432_00">
    <vt:lpwstr>_2015_ms_pID_7253432</vt:lpwstr>
  </property>
  <property fmtid="{D5CDD505-2E9C-101B-9397-08002B2CF9AE}" pid="13" name="_2015_ms_pID_725343_00">
    <vt:lpwstr>_2015_ms_pID_725343</vt:lpwstr>
  </property>
  <property fmtid="{D5CDD505-2E9C-101B-9397-08002B2CF9AE}" pid="14" name="_change">
    <vt:lpwstr/>
  </property>
  <property fmtid="{D5CDD505-2E9C-101B-9397-08002B2CF9AE}" pid="15" name="_full-control">
    <vt:lpwstr/>
  </property>
  <property fmtid="{D5CDD505-2E9C-101B-9397-08002B2CF9AE}" pid="16"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7"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8" name="_ms_pID_7253431_00">
    <vt:lpwstr>_ms_pID_7253431</vt:lpwstr>
  </property>
  <property fmtid="{D5CDD505-2E9C-101B-9397-08002B2CF9AE}" pid="19" name="_ms_pID_725343_00">
    <vt:lpwstr>_ms_pID_725343</vt:lpwstr>
  </property>
  <property fmtid="{D5CDD505-2E9C-101B-9397-08002B2CF9AE}" pid="20"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1"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2" name="_new_ms_pID_725431_00">
    <vt:lpwstr>_new_ms_pID_725431</vt:lpwstr>
  </property>
  <property fmtid="{D5CDD505-2E9C-101B-9397-08002B2CF9AE}" pid="23" name="_new_ms_pID_725432">
    <vt:lpwstr>5ODSr9xM8Xe/xX3rgoOAg9xBQQRuph+xauB2_x000d_
+Uz1cw0AjCoGCO2oa+/H2hSUl4V/TuAc1JprpjrQiCnOJfR4pc0=</vt:lpwstr>
  </property>
  <property fmtid="{D5CDD505-2E9C-101B-9397-08002B2CF9AE}" pid="24" name="_new_ms_pID_725432_00">
    <vt:lpwstr>_new_ms_pID_725432</vt:lpwstr>
  </property>
  <property fmtid="{D5CDD505-2E9C-101B-9397-08002B2CF9AE}" pid="25" name="_new_ms_pID_72543_00">
    <vt:lpwstr>_new_ms_pID_72543</vt:lpwstr>
  </property>
  <property fmtid="{D5CDD505-2E9C-101B-9397-08002B2CF9AE}" pid="26" name="_readonly">
    <vt:lpwstr/>
  </property>
  <property fmtid="{D5CDD505-2E9C-101B-9397-08002B2CF9AE}" pid="27" name="sflag">
    <vt:lpwstr>1510973513</vt:lpwstr>
  </property>
</Properties>
</file>