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3AF94D2"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0A71AB">
        <w:rPr>
          <w:bCs/>
          <w:noProof w:val="0"/>
          <w:sz w:val="24"/>
          <w:szCs w:val="24"/>
          <w:lang w:val="de-DE"/>
        </w:rPr>
        <w:t>4</w:t>
      </w:r>
      <w:r w:rsidR="001348FE" w:rsidRPr="00A1678B">
        <w:rPr>
          <w:bCs/>
          <w:noProof w:val="0"/>
          <w:sz w:val="24"/>
          <w:szCs w:val="24"/>
          <w:lang w:val="de-DE"/>
        </w:rPr>
        <w:tab/>
      </w:r>
      <w:r w:rsidR="00362F2F" w:rsidRPr="00362F2F">
        <w:rPr>
          <w:bCs/>
          <w:noProof w:val="0"/>
          <w:sz w:val="24"/>
          <w:szCs w:val="24"/>
          <w:lang w:val="de-DE"/>
        </w:rPr>
        <w:t>R1-2307245</w:t>
      </w:r>
    </w:p>
    <w:p w14:paraId="30E02940" w14:textId="17A22503" w:rsidR="00CA26CE" w:rsidRDefault="000A71AB" w:rsidP="00CA26CE">
      <w:pPr>
        <w:pStyle w:val="Header"/>
        <w:rPr>
          <w:bCs/>
          <w:noProof w:val="0"/>
          <w:sz w:val="24"/>
          <w:szCs w:val="24"/>
        </w:rPr>
      </w:pPr>
      <w:r>
        <w:rPr>
          <w:bCs/>
          <w:noProof w:val="0"/>
          <w:sz w:val="24"/>
          <w:szCs w:val="24"/>
        </w:rPr>
        <w:t>Toulouse</w:t>
      </w:r>
      <w:r w:rsidR="00A604F0">
        <w:rPr>
          <w:bCs/>
          <w:noProof w:val="0"/>
          <w:sz w:val="24"/>
          <w:szCs w:val="24"/>
        </w:rPr>
        <w:t xml:space="preserve">, </w:t>
      </w:r>
      <w:r>
        <w:rPr>
          <w:bCs/>
          <w:noProof w:val="0"/>
          <w:sz w:val="24"/>
          <w:szCs w:val="24"/>
        </w:rPr>
        <w:t>France</w:t>
      </w:r>
      <w:r w:rsidR="006A60AC">
        <w:rPr>
          <w:bCs/>
          <w:noProof w:val="0"/>
          <w:sz w:val="24"/>
          <w:szCs w:val="24"/>
        </w:rPr>
        <w:t xml:space="preserve">, </w:t>
      </w:r>
      <w:r w:rsidR="00A604F0">
        <w:rPr>
          <w:bCs/>
          <w:noProof w:val="0"/>
          <w:sz w:val="24"/>
          <w:szCs w:val="24"/>
        </w:rPr>
        <w:t>2</w:t>
      </w:r>
      <w:r>
        <w:rPr>
          <w:bCs/>
          <w:noProof w:val="0"/>
          <w:sz w:val="24"/>
          <w:szCs w:val="24"/>
        </w:rPr>
        <w:t>1</w:t>
      </w:r>
      <w:r w:rsidRPr="000A71AB">
        <w:rPr>
          <w:bCs/>
          <w:noProof w:val="0"/>
          <w:sz w:val="24"/>
          <w:szCs w:val="24"/>
          <w:vertAlign w:val="superscript"/>
        </w:rPr>
        <w:t>st</w:t>
      </w:r>
      <w:r>
        <w:rPr>
          <w:bCs/>
          <w:noProof w:val="0"/>
          <w:sz w:val="24"/>
          <w:szCs w:val="24"/>
        </w:rPr>
        <w:t xml:space="preserve"> </w:t>
      </w:r>
      <w:r w:rsidR="00516E00">
        <w:rPr>
          <w:bCs/>
          <w:noProof w:val="0"/>
          <w:sz w:val="24"/>
          <w:szCs w:val="24"/>
        </w:rPr>
        <w:t xml:space="preserve">– </w:t>
      </w:r>
      <w:r w:rsidR="00F56433">
        <w:rPr>
          <w:bCs/>
          <w:noProof w:val="0"/>
          <w:sz w:val="24"/>
          <w:szCs w:val="24"/>
        </w:rPr>
        <w:t>2</w:t>
      </w:r>
      <w:r>
        <w:rPr>
          <w:bCs/>
          <w:noProof w:val="0"/>
          <w:sz w:val="24"/>
          <w:szCs w:val="24"/>
        </w:rPr>
        <w:t>5</w:t>
      </w:r>
      <w:r w:rsidR="00F56433" w:rsidRPr="00F56433">
        <w:rPr>
          <w:bCs/>
          <w:noProof w:val="0"/>
          <w:sz w:val="24"/>
          <w:szCs w:val="24"/>
          <w:vertAlign w:val="superscript"/>
        </w:rPr>
        <w:t>th</w:t>
      </w:r>
      <w:r w:rsidR="00F56433">
        <w:rPr>
          <w:bCs/>
          <w:noProof w:val="0"/>
          <w:sz w:val="24"/>
          <w:szCs w:val="24"/>
        </w:rPr>
        <w:t xml:space="preserve"> </w:t>
      </w:r>
      <w:proofErr w:type="gramStart"/>
      <w:r>
        <w:rPr>
          <w:bCs/>
          <w:noProof w:val="0"/>
          <w:sz w:val="24"/>
          <w:szCs w:val="24"/>
        </w:rPr>
        <w:t>August,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34673C4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25257">
        <w:rPr>
          <w:rFonts w:cs="Arial"/>
          <w:b/>
          <w:bCs/>
          <w:sz w:val="24"/>
        </w:rPr>
        <w:t>9.9.1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F65054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6715">
        <w:rPr>
          <w:rFonts w:ascii="Arial" w:hAnsi="Arial" w:cs="Arial"/>
          <w:b/>
          <w:bCs/>
          <w:sz w:val="24"/>
        </w:rPr>
        <w:t>Remaining issues</w:t>
      </w:r>
      <w:r w:rsidR="00C25257">
        <w:rPr>
          <w:rFonts w:ascii="Arial" w:hAnsi="Arial" w:cs="Arial"/>
          <w:b/>
          <w:bCs/>
          <w:sz w:val="24"/>
        </w:rPr>
        <w:t xml:space="preserve"> related to NTN coverage enhancements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691C2B57" w14:textId="6ABECDA7" w:rsidR="00932502" w:rsidRPr="00D14E3D" w:rsidRDefault="00932502" w:rsidP="00932502">
      <w:pPr>
        <w:spacing w:line="276" w:lineRule="auto"/>
      </w:pPr>
      <w:r w:rsidRPr="00D14E3D">
        <w:rPr>
          <w:lang w:val="en-US"/>
        </w:rPr>
        <w:t xml:space="preserve">In RAN#94e a new work item on NR NTN (Non-Terrestrial Networks) enhancements was approved </w:t>
      </w:r>
      <w:r>
        <w:fldChar w:fldCharType="begin"/>
      </w:r>
      <w:r w:rsidRPr="00D14E3D">
        <w:rPr>
          <w:lang w:val="en-US"/>
        </w:rPr>
        <w:instrText xml:space="preserve"> REF _Ref100147501 \n \h </w:instrText>
      </w:r>
      <w:r>
        <w:fldChar w:fldCharType="separate"/>
      </w:r>
      <w:r w:rsidR="008746CE">
        <w:rPr>
          <w:lang w:val="en-US"/>
        </w:rPr>
        <w:t>[1]</w:t>
      </w:r>
      <w:r>
        <w:fldChar w:fldCharType="end"/>
      </w:r>
      <w:r w:rsidRPr="00D14E3D">
        <w:rPr>
          <w:lang w:val="en-US"/>
        </w:rPr>
        <w:t xml:space="preserve">. Among the objectives of the work item, there was a target to specify enhancing features to 17’s NR over NTN operation and, </w:t>
      </w:r>
      <w:proofErr w:type="gramStart"/>
      <w:r w:rsidRPr="00D14E3D">
        <w:rPr>
          <w:lang w:val="en-US"/>
        </w:rPr>
        <w:t>in particular for</w:t>
      </w:r>
      <w:proofErr w:type="gramEnd"/>
      <w:r w:rsidRPr="00D14E3D">
        <w:rPr>
          <w:lang w:val="en-US"/>
        </w:rPr>
        <w:t xml:space="preserve"> coverage enhancements, the objective description is as follows:</w:t>
      </w:r>
    </w:p>
    <w:tbl>
      <w:tblPr>
        <w:tblStyle w:val="TableGrid"/>
        <w:tblW w:w="0" w:type="auto"/>
        <w:tblLook w:val="04A0" w:firstRow="1" w:lastRow="0" w:firstColumn="1" w:lastColumn="0" w:noHBand="0" w:noVBand="1"/>
      </w:tblPr>
      <w:tblGrid>
        <w:gridCol w:w="9629"/>
      </w:tblGrid>
      <w:tr w:rsidR="00932502" w:rsidRPr="00D14E3D" w14:paraId="21B70790" w14:textId="77777777" w:rsidTr="00BE5089">
        <w:tc>
          <w:tcPr>
            <w:tcW w:w="9629" w:type="dxa"/>
          </w:tcPr>
          <w:p w14:paraId="78B797CC" w14:textId="77777777" w:rsidR="00932502" w:rsidRPr="00D14E3D" w:rsidRDefault="00932502" w:rsidP="00BE5089">
            <w:pPr>
              <w:pStyle w:val="paragraph"/>
              <w:spacing w:before="0" w:beforeAutospacing="0" w:after="0" w:afterAutospacing="0"/>
              <w:textAlignment w:val="baseline"/>
              <w:rPr>
                <w:rFonts w:ascii="Segoe UI" w:hAnsi="Segoe UI" w:cs="Segoe UI"/>
                <w:sz w:val="18"/>
                <w:szCs w:val="18"/>
              </w:rPr>
            </w:pPr>
            <w:r>
              <w:rPr>
                <w:rStyle w:val="normaltextrun"/>
                <w:sz w:val="20"/>
                <w:szCs w:val="20"/>
              </w:rPr>
              <w:t>4.1.1</w:t>
            </w:r>
            <w:r w:rsidRPr="00D14E3D">
              <w:rPr>
                <w:rStyle w:val="tabchar"/>
                <w:rFonts w:ascii="Calibri" w:hAnsi="Calibri" w:cs="Calibri"/>
                <w:sz w:val="20"/>
                <w:szCs w:val="20"/>
                <w:lang w:val="en-US"/>
              </w:rPr>
              <w:t xml:space="preserve"> </w:t>
            </w:r>
            <w:r>
              <w:rPr>
                <w:rStyle w:val="normaltextrun"/>
                <w:sz w:val="20"/>
                <w:szCs w:val="20"/>
              </w:rPr>
              <w:t>Coverage enhancement</w:t>
            </w:r>
            <w:r w:rsidRPr="00D14E3D">
              <w:rPr>
                <w:rStyle w:val="eop"/>
                <w:sz w:val="20"/>
                <w:szCs w:val="20"/>
                <w:lang w:val="en-US"/>
              </w:rPr>
              <w:t> </w:t>
            </w:r>
          </w:p>
          <w:p w14:paraId="36475C3B" w14:textId="77777777" w:rsidR="00932502" w:rsidRPr="00D14E3D" w:rsidRDefault="00932502" w:rsidP="00BE5089">
            <w:pPr>
              <w:pStyle w:val="paragraph"/>
              <w:spacing w:before="0" w:beforeAutospacing="0" w:after="0" w:afterAutospacing="0"/>
              <w:textAlignment w:val="baseline"/>
              <w:rPr>
                <w:rFonts w:ascii="Segoe UI" w:hAnsi="Segoe UI" w:cs="Segoe UI"/>
                <w:sz w:val="18"/>
                <w:szCs w:val="18"/>
              </w:rPr>
            </w:pPr>
            <w:r w:rsidRPr="00D14E3D">
              <w:rPr>
                <w:rStyle w:val="eop"/>
                <w:sz w:val="20"/>
                <w:szCs w:val="20"/>
                <w:lang w:val="en-US"/>
              </w:rPr>
              <w:t> </w:t>
            </w:r>
          </w:p>
          <w:p w14:paraId="6AAA054B"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w:t>
            </w:r>
            <w:proofErr w:type="gramStart"/>
            <w:r>
              <w:rPr>
                <w:rStyle w:val="normaltextrun"/>
                <w:sz w:val="20"/>
                <w:szCs w:val="20"/>
              </w:rPr>
              <w:t>regulatory</w:t>
            </w:r>
            <w:proofErr w:type="gramEnd"/>
            <w:r w:rsidRPr="004718E6">
              <w:rPr>
                <w:rStyle w:val="eop"/>
                <w:sz w:val="20"/>
                <w:szCs w:val="20"/>
                <w:lang w:val="en-US"/>
              </w:rPr>
              <w:t> </w:t>
            </w:r>
          </w:p>
          <w:p w14:paraId="179A017D"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Pr>
                <w:rStyle w:val="normaltextrun"/>
                <w:sz w:val="20"/>
                <w:szCs w:val="20"/>
              </w:rPr>
              <w:t>requirements, e.g., ITU limitation of power flux density.</w:t>
            </w:r>
            <w:r w:rsidRPr="004718E6">
              <w:rPr>
                <w:rStyle w:val="eop"/>
                <w:sz w:val="20"/>
                <w:szCs w:val="20"/>
                <w:lang w:val="en-US"/>
              </w:rPr>
              <w:t> </w:t>
            </w:r>
          </w:p>
          <w:p w14:paraId="0A37D9D3"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sidRPr="004718E6">
              <w:rPr>
                <w:rStyle w:val="eop"/>
                <w:sz w:val="20"/>
                <w:szCs w:val="20"/>
                <w:lang w:val="en-US"/>
              </w:rPr>
              <w:t> </w:t>
            </w:r>
          </w:p>
          <w:p w14:paraId="1BAC3D16"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Pr>
                <w:rStyle w:val="normaltextrun"/>
                <w:sz w:val="20"/>
                <w:szCs w:val="20"/>
              </w:rPr>
              <w:t>Have a 1-TU 6-month study phase focusing on the following (to derive clear &amp; limited scope):</w:t>
            </w:r>
            <w:r w:rsidRPr="004718E6">
              <w:rPr>
                <w:rStyle w:val="eop"/>
                <w:sz w:val="20"/>
                <w:szCs w:val="20"/>
                <w:lang w:val="en-US"/>
              </w:rPr>
              <w:t> </w:t>
            </w:r>
          </w:p>
          <w:p w14:paraId="39B028C5"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sidRPr="004718E6">
              <w:rPr>
                <w:rStyle w:val="eop"/>
                <w:sz w:val="20"/>
                <w:szCs w:val="20"/>
                <w:lang w:val="en-US"/>
              </w:rPr>
              <w:t> </w:t>
            </w:r>
          </w:p>
          <w:p w14:paraId="3618D4C0" w14:textId="77777777" w:rsidR="00932502" w:rsidRPr="00D14E3D" w:rsidRDefault="00932502" w:rsidP="00EC0FB9">
            <w:pPr>
              <w:pStyle w:val="paragraph"/>
              <w:numPr>
                <w:ilvl w:val="0"/>
                <w:numId w:val="10"/>
              </w:numPr>
              <w:spacing w:before="0" w:beforeAutospacing="0" w:after="0" w:afterAutospacing="0"/>
              <w:ind w:left="1080" w:firstLine="0"/>
              <w:textAlignment w:val="baseline"/>
              <w:rPr>
                <w:sz w:val="22"/>
                <w:szCs w:val="22"/>
              </w:rPr>
            </w:pPr>
            <w:r>
              <w:rPr>
                <w:rStyle w:val="normaltextrun"/>
                <w:sz w:val="20"/>
                <w:szCs w:val="20"/>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rStyle w:val="normaltextrun"/>
                <w:sz w:val="20"/>
                <w:szCs w:val="20"/>
              </w:rPr>
              <w:t>1,RAN</w:t>
            </w:r>
            <w:proofErr w:type="gramEnd"/>
            <w:r>
              <w:rPr>
                <w:rStyle w:val="normaltextrun"/>
                <w:sz w:val="20"/>
                <w:szCs w:val="20"/>
              </w:rPr>
              <w:t>2,RAN4]</w:t>
            </w:r>
            <w:r w:rsidRPr="00D14E3D">
              <w:rPr>
                <w:rStyle w:val="eop"/>
                <w:sz w:val="20"/>
                <w:szCs w:val="20"/>
                <w:lang w:val="en-US"/>
              </w:rPr>
              <w:t> </w:t>
            </w:r>
          </w:p>
          <w:p w14:paraId="71A692A7" w14:textId="77777777" w:rsidR="00932502" w:rsidRPr="004718E6" w:rsidRDefault="00932502" w:rsidP="00EC0FB9">
            <w:pPr>
              <w:pStyle w:val="paragraph"/>
              <w:numPr>
                <w:ilvl w:val="0"/>
                <w:numId w:val="11"/>
              </w:numPr>
              <w:spacing w:before="0" w:beforeAutospacing="0" w:after="0" w:afterAutospacing="0"/>
              <w:ind w:left="1800" w:firstLine="0"/>
              <w:textAlignment w:val="baseline"/>
              <w:rPr>
                <w:sz w:val="22"/>
                <w:szCs w:val="22"/>
              </w:rPr>
            </w:pPr>
            <w:r w:rsidRPr="269D560A">
              <w:rPr>
                <w:rStyle w:val="normaltextrun"/>
                <w:sz w:val="20"/>
                <w:szCs w:val="20"/>
              </w:rPr>
              <w:t>VoIP and low-data rate services for commercial handset terminals</w:t>
            </w:r>
            <w:r w:rsidRPr="004718E6">
              <w:rPr>
                <w:rStyle w:val="eop"/>
                <w:sz w:val="20"/>
                <w:szCs w:val="20"/>
                <w:lang w:val="en-US"/>
              </w:rPr>
              <w:t> </w:t>
            </w:r>
          </w:p>
          <w:p w14:paraId="1E5506C2"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sidRPr="004718E6">
              <w:rPr>
                <w:rStyle w:val="eop"/>
                <w:sz w:val="20"/>
                <w:szCs w:val="20"/>
                <w:lang w:val="en-US"/>
              </w:rPr>
              <w:t> </w:t>
            </w:r>
          </w:p>
          <w:p w14:paraId="3EF0FE25"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Pr>
                <w:rStyle w:val="normaltextrun"/>
                <w:sz w:val="20"/>
                <w:szCs w:val="20"/>
              </w:rPr>
              <w:t>The following items are shown as examples of areas to consider in the next step of the study. The actual items for study will be based on the evaluation of coverage issues specific to NTN identified above.</w:t>
            </w:r>
            <w:r w:rsidRPr="004718E6">
              <w:rPr>
                <w:rStyle w:val="eop"/>
                <w:sz w:val="20"/>
                <w:szCs w:val="20"/>
                <w:lang w:val="en-US"/>
              </w:rPr>
              <w:t> </w:t>
            </w:r>
          </w:p>
          <w:p w14:paraId="3E5297B9"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sidRPr="004718E6">
              <w:rPr>
                <w:rStyle w:val="eop"/>
                <w:sz w:val="20"/>
                <w:szCs w:val="20"/>
                <w:lang w:val="en-US"/>
              </w:rPr>
              <w:t> </w:t>
            </w:r>
          </w:p>
          <w:p w14:paraId="01937C96" w14:textId="77777777" w:rsidR="00932502" w:rsidRPr="004718E6" w:rsidRDefault="00932502" w:rsidP="00EC0FB9">
            <w:pPr>
              <w:pStyle w:val="paragraph"/>
              <w:numPr>
                <w:ilvl w:val="0"/>
                <w:numId w:val="12"/>
              </w:numPr>
              <w:spacing w:before="0" w:beforeAutospacing="0" w:after="0" w:afterAutospacing="0"/>
              <w:ind w:left="1080" w:firstLine="0"/>
              <w:textAlignment w:val="baseline"/>
              <w:rPr>
                <w:sz w:val="22"/>
                <w:szCs w:val="22"/>
              </w:rPr>
            </w:pPr>
            <w:r w:rsidRPr="269D560A">
              <w:rPr>
                <w:rStyle w:val="normaltextrun"/>
                <w:sz w:val="20"/>
                <w:szCs w:val="20"/>
              </w:rPr>
              <w:t xml:space="preserve">NTN-specific repetitions enhancements beyond techniques covered in Rel-17 </w:t>
            </w:r>
            <w:proofErr w:type="spellStart"/>
            <w:r w:rsidRPr="269D560A">
              <w:rPr>
                <w:rStyle w:val="normaltextrun"/>
                <w:sz w:val="20"/>
                <w:szCs w:val="20"/>
              </w:rPr>
              <w:t>CovEnh</w:t>
            </w:r>
            <w:proofErr w:type="spellEnd"/>
            <w:r w:rsidRPr="269D560A">
              <w:rPr>
                <w:rStyle w:val="normaltextrun"/>
                <w:sz w:val="20"/>
                <w:szCs w:val="20"/>
              </w:rPr>
              <w:t xml:space="preserve"> WI for the relevant </w:t>
            </w:r>
            <w:proofErr w:type="gramStart"/>
            <w:r w:rsidRPr="269D560A">
              <w:rPr>
                <w:rStyle w:val="normaltextrun"/>
                <w:sz w:val="20"/>
                <w:szCs w:val="20"/>
              </w:rPr>
              <w:t>channels</w:t>
            </w:r>
            <w:proofErr w:type="gramEnd"/>
            <w:r w:rsidRPr="004718E6">
              <w:rPr>
                <w:rStyle w:val="eop"/>
                <w:sz w:val="20"/>
                <w:szCs w:val="20"/>
                <w:lang w:val="en-US"/>
              </w:rPr>
              <w:t> </w:t>
            </w:r>
          </w:p>
          <w:p w14:paraId="121F3AF2" w14:textId="77777777" w:rsidR="00932502" w:rsidRPr="004718E6" w:rsidRDefault="00932502" w:rsidP="00EC0FB9">
            <w:pPr>
              <w:pStyle w:val="paragraph"/>
              <w:numPr>
                <w:ilvl w:val="0"/>
                <w:numId w:val="12"/>
              </w:numPr>
              <w:spacing w:before="0" w:beforeAutospacing="0" w:after="0" w:afterAutospacing="0"/>
              <w:ind w:left="1080" w:firstLine="0"/>
              <w:textAlignment w:val="baseline"/>
              <w:rPr>
                <w:sz w:val="22"/>
                <w:szCs w:val="22"/>
              </w:rPr>
            </w:pPr>
            <w:r w:rsidRPr="269D560A">
              <w:rPr>
                <w:rStyle w:val="normaltextrun"/>
                <w:sz w:val="20"/>
                <w:szCs w:val="20"/>
              </w:rPr>
              <w:t xml:space="preserve">NTN-specific techniques for </w:t>
            </w:r>
            <w:r w:rsidRPr="00F444C0">
              <w:rPr>
                <w:rStyle w:val="normaltextrun"/>
                <w:b/>
                <w:sz w:val="20"/>
                <w:szCs w:val="20"/>
              </w:rPr>
              <w:t>i</w:t>
            </w:r>
            <w:r w:rsidRPr="269D560A">
              <w:rPr>
                <w:rStyle w:val="normaltextrun"/>
                <w:sz w:val="20"/>
                <w:szCs w:val="20"/>
              </w:rPr>
              <w:t>mproved diversity and/or reduced polarization loss</w:t>
            </w:r>
            <w:r w:rsidRPr="004718E6">
              <w:rPr>
                <w:rStyle w:val="eop"/>
                <w:sz w:val="20"/>
                <w:szCs w:val="20"/>
                <w:lang w:val="en-US"/>
              </w:rPr>
              <w:t> </w:t>
            </w:r>
          </w:p>
          <w:p w14:paraId="53250F16" w14:textId="77777777" w:rsidR="00932502" w:rsidRPr="004718E6" w:rsidRDefault="00932502" w:rsidP="00EC0FB9">
            <w:pPr>
              <w:pStyle w:val="paragraph"/>
              <w:numPr>
                <w:ilvl w:val="0"/>
                <w:numId w:val="12"/>
              </w:numPr>
              <w:spacing w:before="0" w:beforeAutospacing="0" w:after="0" w:afterAutospacing="0"/>
              <w:ind w:left="1080" w:firstLine="0"/>
              <w:textAlignment w:val="baseline"/>
              <w:rPr>
                <w:sz w:val="22"/>
                <w:szCs w:val="22"/>
              </w:rPr>
            </w:pPr>
            <w:r w:rsidRPr="269D560A">
              <w:rPr>
                <w:rStyle w:val="normaltextrun"/>
                <w:sz w:val="20"/>
                <w:szCs w:val="20"/>
              </w:rPr>
              <w:t>Improved performance of low-rate codecs in link budget limited situation including reducing RAN protocol overhead for</w:t>
            </w:r>
            <w:r w:rsidRPr="00F444C0">
              <w:rPr>
                <w:rStyle w:val="normaltextrun"/>
                <w:b/>
                <w:sz w:val="20"/>
                <w:szCs w:val="20"/>
              </w:rPr>
              <w:t xml:space="preserve"> </w:t>
            </w:r>
            <w:proofErr w:type="spellStart"/>
            <w:r w:rsidRPr="269D560A">
              <w:rPr>
                <w:rStyle w:val="normaltextrun"/>
                <w:sz w:val="20"/>
                <w:szCs w:val="20"/>
              </w:rPr>
              <w:t>VoNR</w:t>
            </w:r>
            <w:proofErr w:type="spellEnd"/>
            <w:r w:rsidRPr="004718E6">
              <w:rPr>
                <w:rStyle w:val="eop"/>
                <w:sz w:val="20"/>
                <w:szCs w:val="20"/>
                <w:lang w:val="en-US"/>
              </w:rPr>
              <w:t> </w:t>
            </w:r>
          </w:p>
          <w:p w14:paraId="4FC094AC" w14:textId="77777777" w:rsidR="00932502" w:rsidRPr="004718E6" w:rsidRDefault="00932502" w:rsidP="00EC0FB9">
            <w:pPr>
              <w:pStyle w:val="paragraph"/>
              <w:numPr>
                <w:ilvl w:val="0"/>
                <w:numId w:val="13"/>
              </w:numPr>
              <w:spacing w:before="0" w:beforeAutospacing="0" w:after="0" w:afterAutospacing="0"/>
              <w:ind w:left="1800" w:firstLine="0"/>
              <w:textAlignment w:val="baseline"/>
              <w:rPr>
                <w:sz w:val="22"/>
                <w:szCs w:val="22"/>
              </w:rPr>
            </w:pPr>
            <w:r>
              <w:rPr>
                <w:rStyle w:val="normaltextrun"/>
                <w:sz w:val="20"/>
                <w:szCs w:val="20"/>
              </w:rPr>
              <w:t>NOTE: Intent is not to introduce a new codec.</w:t>
            </w:r>
            <w:r w:rsidRPr="004718E6">
              <w:rPr>
                <w:rStyle w:val="eop"/>
                <w:sz w:val="20"/>
                <w:szCs w:val="20"/>
                <w:lang w:val="en-US"/>
              </w:rPr>
              <w:t> </w:t>
            </w:r>
          </w:p>
          <w:p w14:paraId="2A146C31"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sidRPr="004718E6">
              <w:rPr>
                <w:rStyle w:val="eop"/>
                <w:sz w:val="20"/>
                <w:szCs w:val="20"/>
                <w:lang w:val="en-US"/>
              </w:rPr>
              <w:t> </w:t>
            </w:r>
          </w:p>
          <w:p w14:paraId="6C87683E" w14:textId="77777777" w:rsidR="00932502" w:rsidRPr="004718E6" w:rsidRDefault="00932502" w:rsidP="00BE5089">
            <w:pPr>
              <w:pStyle w:val="paragraph"/>
              <w:spacing w:before="0" w:beforeAutospacing="0" w:after="0" w:afterAutospacing="0"/>
              <w:textAlignment w:val="baseline"/>
              <w:rPr>
                <w:rFonts w:ascii="Segoe UI" w:hAnsi="Segoe UI" w:cs="Segoe UI"/>
                <w:sz w:val="18"/>
                <w:szCs w:val="18"/>
              </w:rPr>
            </w:pPr>
            <w:r>
              <w:rPr>
                <w:rStyle w:val="normaltextrun"/>
                <w:sz w:val="20"/>
                <w:szCs w:val="20"/>
              </w:rPr>
              <w:t>RAN to determine by RAN#97 (for RAN1 items) and RAN#98 (for RAN2 items) whether the study phase has identified any need for NTN-specific coverage enhancements in Rel-18. If needed, the set of NTN-specific work item objectives will be updated.</w:t>
            </w:r>
            <w:r w:rsidRPr="004718E6">
              <w:rPr>
                <w:rStyle w:val="eop"/>
                <w:sz w:val="20"/>
                <w:szCs w:val="20"/>
                <w:lang w:val="en-US"/>
              </w:rPr>
              <w:t> </w:t>
            </w:r>
          </w:p>
        </w:tc>
      </w:tr>
    </w:tbl>
    <w:p w14:paraId="05A9EEAA" w14:textId="77777777" w:rsidR="00932502" w:rsidRPr="004718E6" w:rsidRDefault="00932502" w:rsidP="00932502">
      <w:pPr>
        <w:spacing w:line="276" w:lineRule="auto"/>
      </w:pPr>
    </w:p>
    <w:p w14:paraId="6335B0F2" w14:textId="480E4E33" w:rsidR="00932502" w:rsidRPr="00D14E3D" w:rsidRDefault="00932502" w:rsidP="00932502">
      <w:pPr>
        <w:spacing w:line="276" w:lineRule="auto"/>
      </w:pPr>
      <w:r w:rsidRPr="00D14E3D">
        <w:rPr>
          <w:lang w:val="en-US"/>
        </w:rPr>
        <w:lastRenderedPageBreak/>
        <w:t xml:space="preserve">In RAN #97-e, the same WID has been revised into </w:t>
      </w:r>
      <w:r>
        <w:fldChar w:fldCharType="begin"/>
      </w:r>
      <w:r w:rsidRPr="00D14E3D">
        <w:rPr>
          <w:lang w:val="en-US"/>
        </w:rPr>
        <w:instrText xml:space="preserve"> REF _Ref115438125 \r \h </w:instrText>
      </w:r>
      <w:r>
        <w:fldChar w:fldCharType="separate"/>
      </w:r>
      <w:r w:rsidR="008746CE">
        <w:rPr>
          <w:lang w:val="en-US"/>
        </w:rPr>
        <w:t>[2]</w:t>
      </w:r>
      <w:r>
        <w:fldChar w:fldCharType="end"/>
      </w:r>
      <w:r w:rsidRPr="00D14E3D">
        <w:rPr>
          <w:lang w:val="en-US"/>
        </w:rPr>
        <w:t xml:space="preserve"> defining, among others, the refined objectives of the coverage enhancements part as follows:</w:t>
      </w:r>
    </w:p>
    <w:tbl>
      <w:tblPr>
        <w:tblStyle w:val="TableGrid"/>
        <w:tblW w:w="0" w:type="auto"/>
        <w:tblLook w:val="04A0" w:firstRow="1" w:lastRow="0" w:firstColumn="1" w:lastColumn="0" w:noHBand="0" w:noVBand="1"/>
      </w:tblPr>
      <w:tblGrid>
        <w:gridCol w:w="9629"/>
      </w:tblGrid>
      <w:tr w:rsidR="00932502" w:rsidRPr="00D14E3D" w14:paraId="1645AB36" w14:textId="77777777" w:rsidTr="00BE5089">
        <w:tc>
          <w:tcPr>
            <w:tcW w:w="9629" w:type="dxa"/>
          </w:tcPr>
          <w:p w14:paraId="1DD20ECE" w14:textId="77777777" w:rsidR="00932502" w:rsidRPr="00376F09" w:rsidRDefault="00932502" w:rsidP="00BE5089">
            <w:r w:rsidRPr="00376F09">
              <w:rPr>
                <w:lang w:val="en-US"/>
              </w:rPr>
              <w:t>The detailed objectives are for NTN:</w:t>
            </w:r>
          </w:p>
          <w:p w14:paraId="1E8EB4FA" w14:textId="77777777" w:rsidR="00932502" w:rsidRPr="00D14E3D" w:rsidRDefault="00932502" w:rsidP="00EC0FB9">
            <w:pPr>
              <w:numPr>
                <w:ilvl w:val="0"/>
                <w:numId w:val="14"/>
              </w:numPr>
              <w:overflowPunct/>
              <w:autoSpaceDE/>
              <w:autoSpaceDN/>
              <w:adjustRightInd/>
              <w:spacing w:after="160" w:line="259" w:lineRule="auto"/>
              <w:textAlignment w:val="auto"/>
            </w:pPr>
            <w:r w:rsidRPr="00D14E3D">
              <w:rPr>
                <w:lang w:val="en-US"/>
              </w:rPr>
              <w:t>To specify PUCCH enhancements for Msg4 HARQ-ACK (</w:t>
            </w:r>
            <w:proofErr w:type="gramStart"/>
            <w:r w:rsidRPr="00D14E3D">
              <w:rPr>
                <w:lang w:val="en-US"/>
              </w:rPr>
              <w:t>e.g.</w:t>
            </w:r>
            <w:proofErr w:type="gramEnd"/>
            <w:r w:rsidRPr="00D14E3D">
              <w:rPr>
                <w:lang w:val="en-US"/>
              </w:rPr>
              <w:t xml:space="preserve"> repetition) [RAN1, RAN4]</w:t>
            </w:r>
          </w:p>
          <w:p w14:paraId="63C1A0E0" w14:textId="77777777" w:rsidR="00932502" w:rsidRPr="00D14E3D" w:rsidRDefault="00932502" w:rsidP="00EC0FB9">
            <w:pPr>
              <w:numPr>
                <w:ilvl w:val="0"/>
                <w:numId w:val="14"/>
              </w:numPr>
              <w:overflowPunct/>
              <w:autoSpaceDE/>
              <w:autoSpaceDN/>
              <w:adjustRightInd/>
              <w:spacing w:after="160" w:line="259" w:lineRule="auto"/>
              <w:textAlignment w:val="auto"/>
            </w:pPr>
            <w:r w:rsidRPr="00D14E3D">
              <w:rPr>
                <w:lang w:val="en-US"/>
              </w:rPr>
              <w:t>To study DMRS bundling for PUSCH taking into account NTN-specifics (</w:t>
            </w:r>
            <w:proofErr w:type="gramStart"/>
            <w:r w:rsidRPr="00D14E3D">
              <w:rPr>
                <w:lang w:val="en-US"/>
              </w:rPr>
              <w:t>e.g.</w:t>
            </w:r>
            <w:proofErr w:type="gramEnd"/>
            <w:r w:rsidRPr="00D14E3D">
              <w:rPr>
                <w:lang w:val="en-US"/>
              </w:rPr>
              <w:t xml:space="preserve"> time-frequency pre-compensation) and, if necessary, specify enhancements to the Rel-17 procedures [RAN1]</w:t>
            </w:r>
          </w:p>
        </w:tc>
      </w:tr>
    </w:tbl>
    <w:p w14:paraId="09C5F76F" w14:textId="77777777" w:rsidR="00932502" w:rsidRPr="00D14E3D" w:rsidRDefault="00932502" w:rsidP="00932502">
      <w:pPr>
        <w:spacing w:line="276" w:lineRule="auto"/>
      </w:pPr>
    </w:p>
    <w:p w14:paraId="0AB21560" w14:textId="77777777" w:rsidR="00932502" w:rsidRPr="00D14E3D" w:rsidRDefault="00932502" w:rsidP="00932502">
      <w:pPr>
        <w:spacing w:line="276" w:lineRule="auto"/>
      </w:pPr>
      <w:r w:rsidRPr="00D14E3D">
        <w:rPr>
          <w:lang w:val="en-US"/>
        </w:rPr>
        <w:t xml:space="preserve">with a further agreement that the normative work would start already from RAN1 #110bis-e. </w:t>
      </w:r>
    </w:p>
    <w:p w14:paraId="20D91522" w14:textId="5D342386" w:rsidR="00056BDE" w:rsidRPr="00056BDE" w:rsidRDefault="00932502" w:rsidP="00056BDE">
      <w:r w:rsidRPr="00376F09">
        <w:rPr>
          <w:lang w:val="en-US"/>
        </w:rPr>
        <w:t xml:space="preserve">Based on the RAN plenary outcome, </w:t>
      </w:r>
      <w:r w:rsidR="00FD41D5">
        <w:rPr>
          <w:lang w:val="en-US"/>
        </w:rPr>
        <w:t xml:space="preserve">the previous RAN1 working group meetings and agreements, </w:t>
      </w:r>
      <w:r w:rsidRPr="00376F09">
        <w:rPr>
          <w:lang w:val="en-US"/>
        </w:rPr>
        <w:t>this contribution focuses on an analysis of the refined objectives and presents observations and proposals for development of the target features.</w:t>
      </w:r>
    </w:p>
    <w:p w14:paraId="71230483" w14:textId="72F9C930" w:rsidR="00305297" w:rsidRDefault="007820D0" w:rsidP="00A23DCA">
      <w:pPr>
        <w:pStyle w:val="Heading1"/>
      </w:pPr>
      <w:bookmarkStart w:id="1" w:name="_Hlk510705081"/>
      <w:r>
        <w:t>Discussion</w:t>
      </w:r>
    </w:p>
    <w:bookmarkEnd w:id="1"/>
    <w:p w14:paraId="76E23D55" w14:textId="6057E016" w:rsidR="00932502" w:rsidRPr="00932502" w:rsidRDefault="00932502" w:rsidP="00932502">
      <w:r w:rsidRPr="00376F09">
        <w:rPr>
          <w:lang w:val="en-US"/>
        </w:rPr>
        <w:t xml:space="preserve">In this contribution we will </w:t>
      </w:r>
      <w:r>
        <w:rPr>
          <w:lang w:val="en-US"/>
        </w:rPr>
        <w:t xml:space="preserve">continue to </w:t>
      </w:r>
      <w:r w:rsidRPr="00376F09">
        <w:rPr>
          <w:lang w:val="en-US"/>
        </w:rPr>
        <w:t>discuss our views on enhancements to DMRS bundling and PUCCH for the HARQ-ACK of the Msg4.</w:t>
      </w:r>
    </w:p>
    <w:p w14:paraId="5AF80638" w14:textId="4C3ECD5C" w:rsidR="00E41B1F" w:rsidRDefault="00E41B1F" w:rsidP="00E41B1F">
      <w:pPr>
        <w:pStyle w:val="Heading2"/>
        <w:rPr>
          <w:rFonts w:eastAsia="Arial" w:cs="Arial"/>
          <w:szCs w:val="32"/>
        </w:rPr>
      </w:pPr>
      <w:r>
        <w:rPr>
          <w:rFonts w:eastAsia="Arial" w:cs="Arial"/>
          <w:szCs w:val="32"/>
        </w:rPr>
        <w:t xml:space="preserve">DMRS </w:t>
      </w:r>
      <w:proofErr w:type="gramStart"/>
      <w:r>
        <w:rPr>
          <w:rFonts w:eastAsia="Arial" w:cs="Arial"/>
          <w:szCs w:val="32"/>
        </w:rPr>
        <w:t>bundling</w:t>
      </w:r>
      <w:proofErr w:type="gramEnd"/>
      <w:r w:rsidR="006D281F">
        <w:rPr>
          <w:rFonts w:eastAsia="Arial" w:cs="Arial"/>
          <w:szCs w:val="32"/>
        </w:rPr>
        <w:t xml:space="preserve"> </w:t>
      </w:r>
    </w:p>
    <w:p w14:paraId="0BABB5C9" w14:textId="695BF24B" w:rsidR="00AD37C9" w:rsidRDefault="00AD37C9" w:rsidP="006D281F">
      <w:r>
        <w:t>In t</w:t>
      </w:r>
      <w:r w:rsidR="003D59D5">
        <w:t xml:space="preserve">his section, </w:t>
      </w:r>
      <w:r>
        <w:t>we express our views on</w:t>
      </w:r>
      <w:r w:rsidR="003D59D5">
        <w:t xml:space="preserve"> the re</w:t>
      </w:r>
      <w:r w:rsidR="00240EF7">
        <w:t>maining</w:t>
      </w:r>
      <w:r w:rsidR="003D59D5">
        <w:t xml:space="preserve"> issues for the topic of DMRS bundling</w:t>
      </w:r>
      <w:r>
        <w:t xml:space="preserve"> in NTN</w:t>
      </w:r>
      <w:r w:rsidR="003D59D5">
        <w:t>.</w:t>
      </w:r>
      <w:r>
        <w:t xml:space="preserve"> </w:t>
      </w:r>
    </w:p>
    <w:p w14:paraId="58663FC8" w14:textId="015F23FD" w:rsidR="00AD37C9" w:rsidRDefault="00AD37C9" w:rsidP="006D281F">
      <w:r>
        <w:rPr>
          <w:b/>
          <w:bCs/>
        </w:rPr>
        <w:t xml:space="preserve">Issue-1 [UE capability or assistance information report]: </w:t>
      </w:r>
      <w:r>
        <w:t xml:space="preserve">With respect to this issue, in the previous </w:t>
      </w:r>
      <w:r w:rsidR="00523687">
        <w:t>RAN1</w:t>
      </w:r>
      <w:r w:rsidR="004B2329">
        <w:t xml:space="preserve">#113 </w:t>
      </w:r>
      <w:r>
        <w:t xml:space="preserve">meeting, the following agreement is reached. </w:t>
      </w:r>
    </w:p>
    <w:tbl>
      <w:tblPr>
        <w:tblStyle w:val="TableGrid"/>
        <w:tblW w:w="0" w:type="auto"/>
        <w:tblLook w:val="04A0" w:firstRow="1" w:lastRow="0" w:firstColumn="1" w:lastColumn="0" w:noHBand="0" w:noVBand="1"/>
      </w:tblPr>
      <w:tblGrid>
        <w:gridCol w:w="9629"/>
      </w:tblGrid>
      <w:tr w:rsidR="00F01C9E" w14:paraId="315AA207" w14:textId="77777777" w:rsidTr="00F01C9E">
        <w:tc>
          <w:tcPr>
            <w:tcW w:w="9629" w:type="dxa"/>
          </w:tcPr>
          <w:p w14:paraId="15B4BAD2" w14:textId="77777777" w:rsidR="00F01C9E" w:rsidRPr="00F01C9E" w:rsidRDefault="00F01C9E" w:rsidP="00F01C9E">
            <w:pPr>
              <w:overflowPunct/>
              <w:autoSpaceDE/>
              <w:autoSpaceDN/>
              <w:adjustRightInd/>
              <w:spacing w:after="0"/>
              <w:textAlignment w:val="auto"/>
              <w:rPr>
                <w:rFonts w:eastAsia="Times New Roman"/>
                <w:sz w:val="24"/>
                <w:szCs w:val="24"/>
              </w:rPr>
            </w:pPr>
            <w:r w:rsidRPr="00F01C9E">
              <w:rPr>
                <w:rFonts w:ascii="Times" w:eastAsia="Batang" w:hAnsi="Times"/>
                <w:b/>
                <w:color w:val="001135"/>
                <w:kern w:val="24"/>
                <w:sz w:val="18"/>
                <w:szCs w:val="18"/>
                <w:highlight w:val="green"/>
              </w:rPr>
              <w:t>Agreement</w:t>
            </w:r>
          </w:p>
          <w:p w14:paraId="516FD37E" w14:textId="77777777" w:rsidR="00F01C9E" w:rsidRPr="00F01C9E" w:rsidRDefault="00F01C9E" w:rsidP="00F01C9E">
            <w:pPr>
              <w:overflowPunct/>
              <w:autoSpaceDE/>
              <w:autoSpaceDN/>
              <w:adjustRightInd/>
              <w:spacing w:after="0"/>
              <w:jc w:val="both"/>
              <w:textAlignment w:val="auto"/>
              <w:rPr>
                <w:rFonts w:eastAsia="Times New Roman"/>
                <w:sz w:val="24"/>
                <w:szCs w:val="24"/>
              </w:rPr>
            </w:pPr>
            <w:r w:rsidRPr="00F01C9E">
              <w:rPr>
                <w:rFonts w:ascii="Times" w:eastAsia="Batang" w:hAnsi="Times"/>
                <w:color w:val="001135"/>
                <w:kern w:val="24"/>
                <w:sz w:val="18"/>
                <w:szCs w:val="18"/>
                <w:lang w:val="en-US"/>
              </w:rPr>
              <w:t xml:space="preserve">For NTN-specific PUSCH DMRS bundling, </w:t>
            </w:r>
          </w:p>
          <w:p w14:paraId="4A11745F" w14:textId="51D5B27C" w:rsidR="00F01C9E" w:rsidRPr="00F01C9E" w:rsidRDefault="00F01C9E" w:rsidP="00EC0FB9">
            <w:pPr>
              <w:numPr>
                <w:ilvl w:val="0"/>
                <w:numId w:val="7"/>
              </w:numPr>
              <w:overflowPunct/>
              <w:autoSpaceDE/>
              <w:autoSpaceDN/>
              <w:adjustRightInd/>
              <w:spacing w:after="0"/>
              <w:ind w:left="1267"/>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As UE capability report (in addition to FG 44-2), </w:t>
            </w:r>
            <w:r w:rsidRPr="00F01C9E">
              <w:rPr>
                <w:rFonts w:ascii="Times" w:eastAsia="MS Mincho" w:hAnsi="Times"/>
                <w:color w:val="001135"/>
                <w:kern w:val="24"/>
                <w:sz w:val="18"/>
                <w:szCs w:val="18"/>
                <w:lang w:val="en-US"/>
              </w:rPr>
              <w:t xml:space="preserve">one or more of the following is </w:t>
            </w:r>
            <w:proofErr w:type="gramStart"/>
            <w:r w:rsidRPr="00F01C9E">
              <w:rPr>
                <w:rFonts w:ascii="Times" w:eastAsia="MS Mincho" w:hAnsi="Times"/>
                <w:color w:val="001135"/>
                <w:kern w:val="24"/>
                <w:sz w:val="18"/>
                <w:szCs w:val="18"/>
                <w:lang w:val="en-US"/>
              </w:rPr>
              <w:t>down-selected</w:t>
            </w:r>
            <w:proofErr w:type="gramEnd"/>
            <w:r w:rsidRPr="00F01C9E">
              <w:rPr>
                <w:rFonts w:ascii="Times" w:eastAsia="MS Mincho" w:hAnsi="Times"/>
                <w:color w:val="001135"/>
                <w:kern w:val="24"/>
                <w:sz w:val="18"/>
                <w:szCs w:val="18"/>
                <w:lang w:val="en-US"/>
              </w:rPr>
              <w:t>.</w:t>
            </w:r>
          </w:p>
          <w:p w14:paraId="1AAA340F"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Option 1a: No new capability except for FG44-2</w:t>
            </w:r>
          </w:p>
          <w:p w14:paraId="0E9BEB3C" w14:textId="77777777" w:rsidR="00F01C9E" w:rsidRPr="00F01C9E" w:rsidRDefault="00F01C9E" w:rsidP="00EC0FB9">
            <w:pPr>
              <w:numPr>
                <w:ilvl w:val="2"/>
                <w:numId w:val="7"/>
              </w:numPr>
              <w:overflowPunct/>
              <w:autoSpaceDE/>
              <w:autoSpaceDN/>
              <w:adjustRightInd/>
              <w:spacing w:after="0"/>
              <w:ind w:left="3960"/>
              <w:contextualSpacing/>
              <w:textAlignment w:val="auto"/>
              <w:rPr>
                <w:rFonts w:eastAsia="Times New Roman"/>
                <w:sz w:val="18"/>
                <w:szCs w:val="24"/>
              </w:rPr>
            </w:pPr>
            <w:r w:rsidRPr="00F01C9E">
              <w:rPr>
                <w:rFonts w:ascii="Times" w:eastAsia="DengXian" w:hAnsi="Times"/>
                <w:color w:val="001135"/>
                <w:kern w:val="24"/>
                <w:sz w:val="18"/>
                <w:szCs w:val="18"/>
                <w:lang w:val="en-US"/>
              </w:rPr>
              <w:t>Note: FG 30-4 is reported [in consideration of pre-compensation to keep phase rotation due to timing drift within the phase difference limit and without taking TA pre-compensation update into account]</w:t>
            </w:r>
          </w:p>
          <w:p w14:paraId="0E9C10BA"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Option 1b: Max TDW size when pre-compensation to keep phase rotation due to timing drift within the phase difference limit is performed and without taking TA pre-compensation update into </w:t>
            </w:r>
            <w:proofErr w:type="gramStart"/>
            <w:r w:rsidRPr="00F01C9E">
              <w:rPr>
                <w:rFonts w:ascii="Times" w:eastAsia="DengXian" w:hAnsi="Times"/>
                <w:color w:val="001135"/>
                <w:kern w:val="24"/>
                <w:sz w:val="18"/>
                <w:szCs w:val="18"/>
                <w:lang w:val="en-US"/>
              </w:rPr>
              <w:t>account</w:t>
            </w:r>
            <w:proofErr w:type="gramEnd"/>
          </w:p>
          <w:p w14:paraId="143A5E54" w14:textId="77777777" w:rsidR="00F01C9E" w:rsidRPr="00F01C9E" w:rsidRDefault="00F01C9E" w:rsidP="00EC0FB9">
            <w:pPr>
              <w:numPr>
                <w:ilvl w:val="2"/>
                <w:numId w:val="7"/>
              </w:numPr>
              <w:overflowPunct/>
              <w:autoSpaceDE/>
              <w:autoSpaceDN/>
              <w:adjustRightInd/>
              <w:spacing w:after="0"/>
              <w:ind w:left="3960"/>
              <w:contextualSpacing/>
              <w:textAlignment w:val="auto"/>
              <w:rPr>
                <w:rFonts w:eastAsia="Times New Roman"/>
                <w:sz w:val="18"/>
                <w:szCs w:val="24"/>
              </w:rPr>
            </w:pPr>
            <w:r w:rsidRPr="00F01C9E">
              <w:rPr>
                <w:rFonts w:ascii="Times" w:eastAsia="DengXian" w:hAnsi="Times"/>
                <w:color w:val="001135"/>
                <w:kern w:val="24"/>
                <w:sz w:val="18"/>
                <w:szCs w:val="18"/>
                <w:lang w:val="en-US"/>
              </w:rPr>
              <w:t>Note: FG 30-4 is not reported for NTN band</w:t>
            </w:r>
          </w:p>
          <w:p w14:paraId="1E417D2E"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Option 1c: Support of antenna switching with DMRS bundling in </w:t>
            </w:r>
            <w:proofErr w:type="gramStart"/>
            <w:r w:rsidRPr="00F01C9E">
              <w:rPr>
                <w:rFonts w:ascii="Times" w:eastAsia="DengXian" w:hAnsi="Times"/>
                <w:color w:val="001135"/>
                <w:kern w:val="24"/>
                <w:sz w:val="18"/>
                <w:szCs w:val="18"/>
                <w:lang w:val="en-US"/>
              </w:rPr>
              <w:t>NTN</w:t>
            </w:r>
            <w:proofErr w:type="gramEnd"/>
          </w:p>
          <w:p w14:paraId="516C1E2F"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Option 1d: Max TDW size per NTN platform (e.g., LEO, MEO, GEO) with taking TA pre-compensation update into </w:t>
            </w:r>
            <w:proofErr w:type="gramStart"/>
            <w:r w:rsidRPr="00F01C9E">
              <w:rPr>
                <w:rFonts w:ascii="Times" w:eastAsia="DengXian" w:hAnsi="Times"/>
                <w:color w:val="001135"/>
                <w:kern w:val="24"/>
                <w:sz w:val="18"/>
                <w:szCs w:val="18"/>
                <w:lang w:val="en-US"/>
              </w:rPr>
              <w:t>account</w:t>
            </w:r>
            <w:proofErr w:type="gramEnd"/>
          </w:p>
          <w:p w14:paraId="3BCECE10" w14:textId="77777777" w:rsidR="00F01C9E" w:rsidRPr="00F01C9E" w:rsidRDefault="00F01C9E" w:rsidP="00EC0FB9">
            <w:pPr>
              <w:numPr>
                <w:ilvl w:val="2"/>
                <w:numId w:val="7"/>
              </w:numPr>
              <w:overflowPunct/>
              <w:autoSpaceDE/>
              <w:autoSpaceDN/>
              <w:adjustRightInd/>
              <w:spacing w:after="0"/>
              <w:ind w:left="3960"/>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FFS </w:t>
            </w:r>
            <w:proofErr w:type="gramStart"/>
            <w:r w:rsidRPr="00F01C9E">
              <w:rPr>
                <w:rFonts w:ascii="Times" w:eastAsia="DengXian" w:hAnsi="Times"/>
                <w:color w:val="001135"/>
                <w:kern w:val="24"/>
                <w:sz w:val="18"/>
                <w:szCs w:val="18"/>
                <w:lang w:val="en-US"/>
              </w:rPr>
              <w:t>details</w:t>
            </w:r>
            <w:proofErr w:type="gramEnd"/>
          </w:p>
          <w:p w14:paraId="07C3FF40"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Option 1e: Max TDW size per elevation angle with taking TA pre-compensation update into </w:t>
            </w:r>
            <w:proofErr w:type="gramStart"/>
            <w:r w:rsidRPr="00F01C9E">
              <w:rPr>
                <w:rFonts w:ascii="Times" w:eastAsia="DengXian" w:hAnsi="Times"/>
                <w:color w:val="001135"/>
                <w:kern w:val="24"/>
                <w:sz w:val="18"/>
                <w:szCs w:val="18"/>
                <w:lang w:val="en-US"/>
              </w:rPr>
              <w:t>account</w:t>
            </w:r>
            <w:proofErr w:type="gramEnd"/>
          </w:p>
          <w:p w14:paraId="05240003"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Option 1f: Whether to support actual TDW across pre-compensation </w:t>
            </w:r>
            <w:proofErr w:type="gramStart"/>
            <w:r w:rsidRPr="00F01C9E">
              <w:rPr>
                <w:rFonts w:ascii="Times" w:eastAsia="DengXian" w:hAnsi="Times"/>
                <w:color w:val="001135"/>
                <w:kern w:val="24"/>
                <w:sz w:val="18"/>
                <w:szCs w:val="18"/>
                <w:lang w:val="en-US"/>
              </w:rPr>
              <w:t>segments</w:t>
            </w:r>
            <w:proofErr w:type="gramEnd"/>
          </w:p>
          <w:p w14:paraId="51212AB0" w14:textId="77777777" w:rsidR="00F01C9E" w:rsidRPr="00F01C9E" w:rsidRDefault="00F01C9E" w:rsidP="00EC0FB9">
            <w:pPr>
              <w:numPr>
                <w:ilvl w:val="2"/>
                <w:numId w:val="7"/>
              </w:numPr>
              <w:overflowPunct/>
              <w:autoSpaceDE/>
              <w:autoSpaceDN/>
              <w:adjustRightInd/>
              <w:spacing w:after="0"/>
              <w:ind w:left="3960"/>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Segments defined in R17 IoT-NTN is baseline, FFS </w:t>
            </w:r>
            <w:proofErr w:type="gramStart"/>
            <w:r w:rsidRPr="00F01C9E">
              <w:rPr>
                <w:rFonts w:ascii="Times" w:eastAsia="DengXian" w:hAnsi="Times"/>
                <w:color w:val="001135"/>
                <w:kern w:val="24"/>
                <w:sz w:val="18"/>
                <w:szCs w:val="18"/>
                <w:lang w:val="en-US"/>
              </w:rPr>
              <w:t>details</w:t>
            </w:r>
            <w:proofErr w:type="gramEnd"/>
          </w:p>
          <w:p w14:paraId="006F733D" w14:textId="33405C60"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Option 1g: Whether to support TA pre-compensation update within an actual TDW that does not violate the phase difference </w:t>
            </w:r>
            <w:proofErr w:type="gramStart"/>
            <w:r w:rsidRPr="00F01C9E">
              <w:rPr>
                <w:rFonts w:ascii="Times" w:eastAsia="DengXian" w:hAnsi="Times"/>
                <w:color w:val="001135"/>
                <w:kern w:val="24"/>
                <w:sz w:val="18"/>
                <w:szCs w:val="18"/>
                <w:lang w:val="en-US"/>
              </w:rPr>
              <w:t>limit</w:t>
            </w:r>
            <w:proofErr w:type="gramEnd"/>
          </w:p>
          <w:p w14:paraId="4EA4A1B5" w14:textId="48DFF90E" w:rsidR="00F01C9E" w:rsidRPr="00F01C9E" w:rsidRDefault="00F01C9E" w:rsidP="00EC0FB9">
            <w:pPr>
              <w:numPr>
                <w:ilvl w:val="0"/>
                <w:numId w:val="7"/>
              </w:numPr>
              <w:overflowPunct/>
              <w:autoSpaceDE/>
              <w:autoSpaceDN/>
              <w:adjustRightInd/>
              <w:spacing w:after="0"/>
              <w:ind w:left="1267"/>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As UE assistance information (i.e., report by signaling other than UE capability report (FFS details)), </w:t>
            </w:r>
            <w:r w:rsidRPr="00F01C9E">
              <w:rPr>
                <w:rFonts w:ascii="Times" w:eastAsia="MS Mincho" w:hAnsi="Times"/>
                <w:color w:val="001135"/>
                <w:kern w:val="24"/>
                <w:sz w:val="18"/>
                <w:szCs w:val="18"/>
                <w:lang w:val="en-US"/>
              </w:rPr>
              <w:t xml:space="preserve">one or more of the following is </w:t>
            </w:r>
            <w:proofErr w:type="gramStart"/>
            <w:r w:rsidRPr="00F01C9E">
              <w:rPr>
                <w:rFonts w:ascii="Times" w:eastAsia="MS Mincho" w:hAnsi="Times"/>
                <w:color w:val="001135"/>
                <w:kern w:val="24"/>
                <w:sz w:val="18"/>
                <w:szCs w:val="18"/>
                <w:lang w:val="en-US"/>
              </w:rPr>
              <w:t>down-selected</w:t>
            </w:r>
            <w:proofErr w:type="gramEnd"/>
            <w:r w:rsidRPr="00F01C9E">
              <w:rPr>
                <w:rFonts w:ascii="Times" w:eastAsia="MS Mincho" w:hAnsi="Times"/>
                <w:color w:val="001135"/>
                <w:kern w:val="24"/>
                <w:sz w:val="18"/>
                <w:szCs w:val="18"/>
                <w:lang w:val="en-US"/>
              </w:rPr>
              <w:t>.</w:t>
            </w:r>
          </w:p>
          <w:p w14:paraId="1CDC7F97"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Option 2a: No assistance information</w:t>
            </w:r>
          </w:p>
          <w:p w14:paraId="521772D6"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Option 2b: Max TDW size based on reporting </w:t>
            </w:r>
            <w:proofErr w:type="gramStart"/>
            <w:r w:rsidRPr="00F01C9E">
              <w:rPr>
                <w:rFonts w:ascii="Times" w:eastAsia="DengXian" w:hAnsi="Times"/>
                <w:color w:val="001135"/>
                <w:kern w:val="24"/>
                <w:sz w:val="18"/>
                <w:szCs w:val="18"/>
                <w:lang w:val="en-US"/>
              </w:rPr>
              <w:t>timing</w:t>
            </w:r>
            <w:proofErr w:type="gramEnd"/>
          </w:p>
          <w:p w14:paraId="689D514F" w14:textId="77777777" w:rsidR="00F01C9E" w:rsidRPr="00F01C9E" w:rsidRDefault="00F01C9E" w:rsidP="00EC0FB9">
            <w:pPr>
              <w:numPr>
                <w:ilvl w:val="2"/>
                <w:numId w:val="7"/>
              </w:numPr>
              <w:overflowPunct/>
              <w:autoSpaceDE/>
              <w:autoSpaceDN/>
              <w:adjustRightInd/>
              <w:spacing w:after="0"/>
              <w:ind w:left="3960"/>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FFS which timing is </w:t>
            </w:r>
            <w:proofErr w:type="gramStart"/>
            <w:r w:rsidRPr="00F01C9E">
              <w:rPr>
                <w:rFonts w:ascii="Times" w:eastAsia="DengXian" w:hAnsi="Times"/>
                <w:color w:val="001135"/>
                <w:kern w:val="24"/>
                <w:sz w:val="18"/>
                <w:szCs w:val="18"/>
                <w:lang w:val="en-US"/>
              </w:rPr>
              <w:t>referred</w:t>
            </w:r>
            <w:proofErr w:type="gramEnd"/>
          </w:p>
          <w:p w14:paraId="76452E2B"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Option 2c: TA adjustment timing</w:t>
            </w:r>
          </w:p>
          <w:p w14:paraId="57092C18" w14:textId="77777777" w:rsidR="00F01C9E" w:rsidRPr="00F01C9E" w:rsidRDefault="00F01C9E" w:rsidP="00EC0FB9">
            <w:pPr>
              <w:numPr>
                <w:ilvl w:val="1"/>
                <w:numId w:val="7"/>
              </w:numPr>
              <w:overflowPunct/>
              <w:autoSpaceDE/>
              <w:autoSpaceDN/>
              <w:adjustRightInd/>
              <w:spacing w:after="0"/>
              <w:ind w:left="2606"/>
              <w:contextualSpacing/>
              <w:textAlignment w:val="auto"/>
              <w:rPr>
                <w:rFonts w:eastAsia="Times New Roman"/>
                <w:sz w:val="18"/>
                <w:szCs w:val="24"/>
              </w:rPr>
            </w:pPr>
            <w:r w:rsidRPr="00F01C9E">
              <w:rPr>
                <w:rFonts w:ascii="Times" w:eastAsia="DengXian" w:hAnsi="Times"/>
                <w:color w:val="001135"/>
                <w:kern w:val="24"/>
                <w:sz w:val="18"/>
                <w:szCs w:val="18"/>
                <w:lang w:val="en-US"/>
              </w:rPr>
              <w:t xml:space="preserve">Option 2d: Antenna switching </w:t>
            </w:r>
            <w:proofErr w:type="gramStart"/>
            <w:r w:rsidRPr="00F01C9E">
              <w:rPr>
                <w:rFonts w:ascii="Times" w:eastAsia="DengXian" w:hAnsi="Times"/>
                <w:color w:val="001135"/>
                <w:kern w:val="24"/>
                <w:sz w:val="18"/>
                <w:szCs w:val="18"/>
                <w:lang w:val="en-US"/>
              </w:rPr>
              <w:t>interval</w:t>
            </w:r>
            <w:proofErr w:type="gramEnd"/>
          </w:p>
          <w:p w14:paraId="2DA51670" w14:textId="77777777" w:rsidR="00F01C9E" w:rsidRDefault="00F01C9E" w:rsidP="006D281F">
            <w:pPr>
              <w:rPr>
                <w:b/>
                <w:bCs/>
              </w:rPr>
            </w:pPr>
          </w:p>
        </w:tc>
      </w:tr>
    </w:tbl>
    <w:p w14:paraId="07CE59D5" w14:textId="77777777" w:rsidR="006B38F4" w:rsidRDefault="006B38F4" w:rsidP="006D281F">
      <w:pPr>
        <w:rPr>
          <w:b/>
          <w:bCs/>
        </w:rPr>
      </w:pPr>
    </w:p>
    <w:p w14:paraId="3ECDBACF" w14:textId="72EC529C" w:rsidR="00A65672" w:rsidRDefault="0085630F" w:rsidP="006D281F">
      <w:r>
        <w:t xml:space="preserve">From the list of possible options to </w:t>
      </w:r>
      <w:proofErr w:type="gramStart"/>
      <w:r>
        <w:t>down-select</w:t>
      </w:r>
      <w:proofErr w:type="gramEnd"/>
      <w:r>
        <w:t xml:space="preserve"> for UE capability report, we believe Option 1e and Option 1d are not suitable as they lead to an </w:t>
      </w:r>
      <w:r w:rsidR="00096E9B" w:rsidRPr="00096E9B">
        <w:t>unnecessary</w:t>
      </w:r>
      <w:r w:rsidR="00096E9B">
        <w:t xml:space="preserve"> complicated design. </w:t>
      </w:r>
      <w:r w:rsidR="00F207C5">
        <w:t>For Option 1e, i</w:t>
      </w:r>
      <w:r w:rsidR="00096E9B">
        <w:t xml:space="preserve">t is not clear how one can benefit by </w:t>
      </w:r>
      <w:r w:rsidR="00096E9B">
        <w:lastRenderedPageBreak/>
        <w:t xml:space="preserve">associating Max TDW size </w:t>
      </w:r>
      <w:r w:rsidR="00F207C5">
        <w:t>to</w:t>
      </w:r>
      <w:r w:rsidR="00096E9B">
        <w:t xml:space="preserve"> </w:t>
      </w:r>
      <w:proofErr w:type="spellStart"/>
      <w:r w:rsidR="00096E9B">
        <w:t>eleveation</w:t>
      </w:r>
      <w:proofErr w:type="spellEnd"/>
      <w:r w:rsidR="00096E9B">
        <w:t xml:space="preserve"> angle, as typically UE</w:t>
      </w:r>
      <w:r w:rsidR="00F207C5">
        <w:t>s</w:t>
      </w:r>
      <w:r w:rsidR="00096E9B">
        <w:t xml:space="preserve"> at the beam edge with minimum elevation angle may </w:t>
      </w:r>
      <w:proofErr w:type="gramStart"/>
      <w:r w:rsidR="00096E9B">
        <w:t>be in need of</w:t>
      </w:r>
      <w:proofErr w:type="gramEnd"/>
      <w:r w:rsidR="00096E9B">
        <w:t xml:space="preserve"> coverage enhancement. Furthermore, </w:t>
      </w:r>
      <w:r w:rsidR="00F207C5">
        <w:t>it is not clear if</w:t>
      </w:r>
      <w:r w:rsidR="00A163CF">
        <w:t>, when</w:t>
      </w:r>
      <w:r w:rsidR="00F207C5">
        <w:t xml:space="preserve"> the elevation angle is changed</w:t>
      </w:r>
      <w:r w:rsidR="00C103E5">
        <w:t>,</w:t>
      </w:r>
      <w:r w:rsidR="00F207C5">
        <w:t xml:space="preserve"> </w:t>
      </w:r>
      <w:r w:rsidR="00A163CF">
        <w:t xml:space="preserve">an </w:t>
      </w:r>
      <w:r w:rsidR="00C103E5">
        <w:t>updated</w:t>
      </w:r>
      <w:r w:rsidR="00F207C5">
        <w:t xml:space="preserve"> UE capability report is needed or not. If such update is needed, this may lead to frequent UE capability report update</w:t>
      </w:r>
      <w:r w:rsidR="000266FA">
        <w:t xml:space="preserve">, which may be contradicting </w:t>
      </w:r>
      <w:r w:rsidR="00660F41">
        <w:t>since such change of conditions are re</w:t>
      </w:r>
      <w:r w:rsidR="00FD434F">
        <w:t>flective of</w:t>
      </w:r>
      <w:r w:rsidR="001A3FF1">
        <w:t xml:space="preserve"> the radio environment rather than a specific UE capability</w:t>
      </w:r>
      <w:r w:rsidR="00F207C5">
        <w:t>. For option 1d,</w:t>
      </w:r>
      <w:r w:rsidR="00A65672">
        <w:t xml:space="preserve"> we prefer to have a design which is independent</w:t>
      </w:r>
      <w:r w:rsidR="008F57AD">
        <w:t xml:space="preserve"> from the deployment scenario</w:t>
      </w:r>
      <w:r w:rsidR="00A65672">
        <w:t xml:space="preserve">. </w:t>
      </w:r>
    </w:p>
    <w:p w14:paraId="3B0E5B6F" w14:textId="19903873" w:rsidR="00912A25" w:rsidRDefault="00912A25" w:rsidP="006D281F">
      <w:r>
        <w:t xml:space="preserve">We also believe that no capability report regarding antenna switching (Option 1c) and support of </w:t>
      </w:r>
      <w:proofErr w:type="spellStart"/>
      <w:r>
        <w:t>aTDW</w:t>
      </w:r>
      <w:proofErr w:type="spellEnd"/>
      <w:r>
        <w:t xml:space="preserve"> across pre-compensation segments are needed. The main reason being capability report based on these options are </w:t>
      </w:r>
      <w:r w:rsidR="00AF431C">
        <w:t xml:space="preserve">not really </w:t>
      </w:r>
      <w:r w:rsidR="00940878">
        <w:t xml:space="preserve">associated to the </w:t>
      </w:r>
      <w:r>
        <w:t xml:space="preserve">coverage enhancement framework introduced in Rel-17. </w:t>
      </w:r>
    </w:p>
    <w:p w14:paraId="0E4832B0" w14:textId="3AB18FD7" w:rsidR="00074728" w:rsidRDefault="000C665F" w:rsidP="006D281F">
      <w:r>
        <w:t xml:space="preserve">Furthermore, when comparing </w:t>
      </w:r>
      <w:r w:rsidR="00EF5536">
        <w:t xml:space="preserve">the </w:t>
      </w:r>
      <w:r>
        <w:t xml:space="preserve">two options 1a and 1b, we do not see a clear benefit in introducing a new capability, to indicate Max TDW size, as in option 1b, taking phase pre-compensation into account. </w:t>
      </w:r>
      <w:proofErr w:type="gramStart"/>
      <w:r>
        <w:t>In particular, this</w:t>
      </w:r>
      <w:proofErr w:type="gramEnd"/>
      <w:r>
        <w:t xml:space="preserve"> consideration can already be taken into account using the existing </w:t>
      </w:r>
      <w:r w:rsidR="00074728">
        <w:t>UE capability report, i.e., FG 30-4. Therefore, we propose to down-select option 1a</w:t>
      </w:r>
      <w:r w:rsidR="00742C51">
        <w:t xml:space="preserve"> and remove the brackets</w:t>
      </w:r>
      <w:r w:rsidR="00E65A57">
        <w:t xml:space="preserve"> and merge the text</w:t>
      </w:r>
      <w:r w:rsidR="00742C51">
        <w:t xml:space="preserve"> </w:t>
      </w:r>
      <w:r w:rsidR="00E65A57">
        <w:t>with</w:t>
      </w:r>
      <w:r w:rsidR="00D02869">
        <w:t xml:space="preserve"> </w:t>
      </w:r>
      <w:r w:rsidR="00E65A57">
        <w:t xml:space="preserve">the </w:t>
      </w:r>
      <w:r w:rsidR="00D02869">
        <w:t>Note in option 1a.</w:t>
      </w:r>
    </w:p>
    <w:p w14:paraId="2A3EA94D" w14:textId="31B23A5B" w:rsidR="00386965" w:rsidRDefault="00074728" w:rsidP="006D281F">
      <w:r>
        <w:rPr>
          <w:b/>
          <w:bCs/>
        </w:rPr>
        <w:t xml:space="preserve">Proposal 1: RAN1 to down-select option 1a </w:t>
      </w:r>
      <w:r w:rsidR="00E92B0C">
        <w:rPr>
          <w:b/>
          <w:bCs/>
        </w:rPr>
        <w:t xml:space="preserve">as the solution for the </w:t>
      </w:r>
      <w:r>
        <w:rPr>
          <w:b/>
          <w:bCs/>
        </w:rPr>
        <w:t>UE capability report.</w:t>
      </w:r>
      <w:r w:rsidR="000C665F">
        <w:t xml:space="preserve"> </w:t>
      </w:r>
    </w:p>
    <w:p w14:paraId="3DC0661A" w14:textId="77777777" w:rsidR="00F4151A" w:rsidRDefault="00386965" w:rsidP="006D281F">
      <w:pPr>
        <w:rPr>
          <w:b/>
          <w:bCs/>
        </w:rPr>
      </w:pPr>
      <w:r>
        <w:rPr>
          <w:b/>
          <w:bCs/>
        </w:rPr>
        <w:t xml:space="preserve">Proposal 2: RAN1 to send an LS to RAN4 </w:t>
      </w:r>
      <w:r w:rsidR="00B8076A">
        <w:rPr>
          <w:b/>
          <w:bCs/>
        </w:rPr>
        <w:t>regarding</w:t>
      </w:r>
      <w:r>
        <w:rPr>
          <w:b/>
          <w:bCs/>
        </w:rPr>
        <w:t xml:space="preserve"> the feature related to UE capability FG 30-4 </w:t>
      </w:r>
      <w:r w:rsidR="00B8076A">
        <w:rPr>
          <w:b/>
          <w:bCs/>
        </w:rPr>
        <w:t>and request that</w:t>
      </w:r>
      <w:r>
        <w:rPr>
          <w:b/>
          <w:bCs/>
        </w:rPr>
        <w:t xml:space="preserve"> </w:t>
      </w:r>
      <w:r w:rsidR="00B8076A">
        <w:rPr>
          <w:b/>
          <w:bCs/>
        </w:rPr>
        <w:t>FG 30-4</w:t>
      </w:r>
      <w:r>
        <w:rPr>
          <w:b/>
          <w:bCs/>
        </w:rPr>
        <w:t xml:space="preserve"> is tested under the assumption of a moving satellite</w:t>
      </w:r>
      <w:r w:rsidR="00F4151A">
        <w:rPr>
          <w:b/>
          <w:bCs/>
        </w:rPr>
        <w:t xml:space="preserve"> for the NTN specific scenarios</w:t>
      </w:r>
      <w:r>
        <w:rPr>
          <w:b/>
          <w:bCs/>
        </w:rPr>
        <w:t>.</w:t>
      </w:r>
    </w:p>
    <w:p w14:paraId="03528A19" w14:textId="77777777" w:rsidR="00152C68" w:rsidRDefault="009D50BB" w:rsidP="006D281F">
      <w:r>
        <w:t xml:space="preserve">The agreement above, in addition to the several UE capability reports, also discusses several options for UE assistance information that can be </w:t>
      </w:r>
      <w:proofErr w:type="spellStart"/>
      <w:r>
        <w:t>signaled</w:t>
      </w:r>
      <w:proofErr w:type="spellEnd"/>
      <w:r>
        <w:t xml:space="preserve"> to </w:t>
      </w:r>
      <w:proofErr w:type="spellStart"/>
      <w:r>
        <w:t>gNB</w:t>
      </w:r>
      <w:proofErr w:type="spellEnd"/>
      <w:r>
        <w:t xml:space="preserve">/network on top of any selected UE capability report. In our view, </w:t>
      </w:r>
      <w:proofErr w:type="spellStart"/>
      <w:r w:rsidR="00152C68">
        <w:t>signaling</w:t>
      </w:r>
      <w:proofErr w:type="spellEnd"/>
      <w:r w:rsidR="00152C68">
        <w:t xml:space="preserve"> of additional UE assistance information is not needed. Therefore, our preference is to down-select option 2a. </w:t>
      </w:r>
    </w:p>
    <w:p w14:paraId="13AF9E42" w14:textId="03887E38" w:rsidR="006D281F" w:rsidRPr="00386965" w:rsidRDefault="00152C68" w:rsidP="006D281F">
      <w:pPr>
        <w:rPr>
          <w:b/>
        </w:rPr>
      </w:pPr>
      <w:r>
        <w:rPr>
          <w:b/>
          <w:bCs/>
        </w:rPr>
        <w:t>Proposal 3:</w:t>
      </w:r>
      <w:r w:rsidR="00D50724">
        <w:rPr>
          <w:b/>
          <w:bCs/>
        </w:rPr>
        <w:t xml:space="preserve"> RAN1 to down-select option 2a as the solution for the UE assistance information.</w:t>
      </w:r>
      <w:r w:rsidR="00386965">
        <w:rPr>
          <w:b/>
          <w:bCs/>
        </w:rPr>
        <w:t xml:space="preserve"> </w:t>
      </w:r>
      <w:r w:rsidR="00386965" w:rsidRPr="00386965">
        <w:rPr>
          <w:b/>
          <w:bCs/>
        </w:rPr>
        <w:t xml:space="preserve"> </w:t>
      </w:r>
      <w:r w:rsidR="000C665F" w:rsidRPr="00386965">
        <w:rPr>
          <w:b/>
          <w:bCs/>
        </w:rPr>
        <w:t xml:space="preserve">  </w:t>
      </w:r>
      <w:r w:rsidR="00096E9B" w:rsidRPr="00386965">
        <w:rPr>
          <w:b/>
          <w:bCs/>
        </w:rPr>
        <w:t xml:space="preserve"> </w:t>
      </w:r>
      <w:r w:rsidR="0085630F" w:rsidRPr="00386965">
        <w:rPr>
          <w:b/>
          <w:bCs/>
        </w:rPr>
        <w:t xml:space="preserve">   </w:t>
      </w:r>
      <w:r w:rsidR="00923C31" w:rsidRPr="00386965">
        <w:rPr>
          <w:b/>
          <w:bCs/>
        </w:rPr>
        <w:t xml:space="preserve"> </w:t>
      </w:r>
      <w:r w:rsidR="00AD37C9" w:rsidRPr="00386965">
        <w:rPr>
          <w:b/>
          <w:bCs/>
        </w:rPr>
        <w:t xml:space="preserve"> </w:t>
      </w:r>
      <w:r w:rsidR="003D59D5" w:rsidRPr="00386965">
        <w:rPr>
          <w:b/>
          <w:bCs/>
        </w:rPr>
        <w:t xml:space="preserve"> </w:t>
      </w:r>
    </w:p>
    <w:p w14:paraId="3D9F4AF2" w14:textId="3AEAC946" w:rsidR="003D59D5" w:rsidRPr="001422A8" w:rsidRDefault="00F01C9E" w:rsidP="006D281F">
      <w:r>
        <w:rPr>
          <w:b/>
          <w:bCs/>
        </w:rPr>
        <w:t xml:space="preserve">Issue-2 [nominal TDW configuration/determination]: </w:t>
      </w:r>
      <w:r w:rsidR="001422A8">
        <w:t>With respect to nominal TDW (</w:t>
      </w:r>
      <w:proofErr w:type="spellStart"/>
      <w:r w:rsidR="001422A8">
        <w:t>nTDW</w:t>
      </w:r>
      <w:proofErr w:type="spellEnd"/>
      <w:r w:rsidR="001422A8">
        <w:t xml:space="preserve">) </w:t>
      </w:r>
      <w:r w:rsidR="000F312E">
        <w:t>determination</w:t>
      </w:r>
      <w:r w:rsidR="001422A8">
        <w:t>, the foll</w:t>
      </w:r>
      <w:r w:rsidR="000F312E">
        <w:t>owing working assumption was agreed in the previous meeting.</w:t>
      </w:r>
    </w:p>
    <w:tbl>
      <w:tblPr>
        <w:tblStyle w:val="TableGrid"/>
        <w:tblW w:w="0" w:type="auto"/>
        <w:tblLook w:val="04A0" w:firstRow="1" w:lastRow="0" w:firstColumn="1" w:lastColumn="0" w:noHBand="0" w:noVBand="1"/>
      </w:tblPr>
      <w:tblGrid>
        <w:gridCol w:w="9629"/>
      </w:tblGrid>
      <w:tr w:rsidR="006B38F4" w14:paraId="0F1EEEC9" w14:textId="77777777" w:rsidTr="006B38F4">
        <w:tc>
          <w:tcPr>
            <w:tcW w:w="9629" w:type="dxa"/>
          </w:tcPr>
          <w:p w14:paraId="3441083D" w14:textId="77777777" w:rsidR="006B38F4" w:rsidRPr="006B38F4" w:rsidRDefault="006B38F4" w:rsidP="006B38F4">
            <w:pPr>
              <w:overflowPunct/>
              <w:autoSpaceDE/>
              <w:autoSpaceDN/>
              <w:adjustRightInd/>
              <w:spacing w:after="0"/>
              <w:textAlignment w:val="auto"/>
              <w:rPr>
                <w:rFonts w:eastAsia="Times New Roman"/>
                <w:sz w:val="24"/>
                <w:szCs w:val="24"/>
              </w:rPr>
            </w:pPr>
            <w:r w:rsidRPr="006B38F4">
              <w:rPr>
                <w:rFonts w:ascii="Times" w:eastAsia="Batang" w:hAnsi="Times"/>
                <w:b/>
                <w:color w:val="001135"/>
                <w:kern w:val="24"/>
                <w:highlight w:val="darkYellow"/>
              </w:rPr>
              <w:t>Working assumption</w:t>
            </w:r>
          </w:p>
          <w:p w14:paraId="3DE5DAE9" w14:textId="77777777" w:rsidR="006B38F4" w:rsidRPr="006B38F4" w:rsidRDefault="006B38F4" w:rsidP="006B38F4">
            <w:pPr>
              <w:overflowPunct/>
              <w:autoSpaceDE/>
              <w:autoSpaceDN/>
              <w:adjustRightInd/>
              <w:spacing w:after="0"/>
              <w:jc w:val="both"/>
              <w:textAlignment w:val="auto"/>
              <w:rPr>
                <w:rFonts w:eastAsia="Times New Roman"/>
                <w:sz w:val="24"/>
                <w:szCs w:val="24"/>
              </w:rPr>
            </w:pPr>
            <w:r w:rsidRPr="006B38F4">
              <w:rPr>
                <w:rFonts w:ascii="Times" w:eastAsia="Batang" w:hAnsi="Times"/>
                <w:color w:val="001135"/>
                <w:kern w:val="24"/>
                <w:lang w:val="en-US"/>
              </w:rPr>
              <w:t xml:space="preserve">For NTN-specific PUSCH DMRS bundling, reuse clause 6.1.7 in TS38.214 for </w:t>
            </w:r>
            <w:r w:rsidRPr="006B38F4">
              <w:rPr>
                <w:rFonts w:ascii="Times" w:eastAsia="DengXian" w:hAnsi="Times"/>
                <w:color w:val="001135"/>
                <w:kern w:val="24"/>
                <w:lang w:val="en-US"/>
              </w:rPr>
              <w:t>nominal TDW determination, except for aspects related to UE capabilities and assistance information (if needed)</w:t>
            </w:r>
            <w:r w:rsidRPr="006B38F4">
              <w:rPr>
                <w:rFonts w:ascii="Times" w:eastAsia="Batang" w:hAnsi="Times"/>
                <w:color w:val="001135"/>
                <w:kern w:val="24"/>
                <w:lang w:val="en-US"/>
              </w:rPr>
              <w:t>.</w:t>
            </w:r>
          </w:p>
          <w:p w14:paraId="360BF2D0" w14:textId="77777777" w:rsidR="006B38F4" w:rsidRPr="006B38F4" w:rsidRDefault="006B38F4" w:rsidP="00EC0FB9">
            <w:pPr>
              <w:numPr>
                <w:ilvl w:val="0"/>
                <w:numId w:val="9"/>
              </w:numPr>
              <w:overflowPunct/>
              <w:autoSpaceDE/>
              <w:autoSpaceDN/>
              <w:adjustRightInd/>
              <w:spacing w:after="0"/>
              <w:ind w:left="1267"/>
              <w:contextualSpacing/>
              <w:textAlignment w:val="auto"/>
              <w:rPr>
                <w:rFonts w:eastAsia="Times New Roman"/>
                <w:szCs w:val="24"/>
              </w:rPr>
            </w:pPr>
            <w:r w:rsidRPr="006B38F4">
              <w:rPr>
                <w:rFonts w:ascii="Times" w:eastAsia="DengXian" w:hAnsi="Times"/>
                <w:color w:val="001135"/>
                <w:kern w:val="24"/>
                <w:lang w:val="en-US"/>
              </w:rPr>
              <w:t>i.e., if PUSCH-</w:t>
            </w:r>
            <w:proofErr w:type="spellStart"/>
            <w:r w:rsidRPr="006B38F4">
              <w:rPr>
                <w:rFonts w:ascii="Times" w:eastAsia="DengXian" w:hAnsi="Times"/>
                <w:color w:val="001135"/>
                <w:kern w:val="24"/>
                <w:lang w:val="en-US"/>
              </w:rPr>
              <w:t>TimeDomainWindowLength</w:t>
            </w:r>
            <w:proofErr w:type="spellEnd"/>
            <w:r w:rsidRPr="006B38F4">
              <w:rPr>
                <w:rFonts w:ascii="Times" w:eastAsia="DengXian" w:hAnsi="Times"/>
                <w:color w:val="001135"/>
                <w:kern w:val="24"/>
                <w:lang w:val="en-US"/>
              </w:rPr>
              <w:t xml:space="preserve"> is configured, nominal TDW is determined by PUSCH-</w:t>
            </w:r>
            <w:proofErr w:type="spellStart"/>
            <w:r w:rsidRPr="006B38F4">
              <w:rPr>
                <w:rFonts w:ascii="Times" w:eastAsia="DengXian" w:hAnsi="Times"/>
                <w:color w:val="001135"/>
                <w:kern w:val="24"/>
                <w:lang w:val="en-US"/>
              </w:rPr>
              <w:t>TimeDomainWindowLength</w:t>
            </w:r>
            <w:proofErr w:type="spellEnd"/>
            <w:r w:rsidRPr="006B38F4">
              <w:rPr>
                <w:rFonts w:ascii="Times" w:eastAsia="DengXian" w:hAnsi="Times"/>
                <w:color w:val="001135"/>
                <w:kern w:val="24"/>
                <w:lang w:val="en-US"/>
              </w:rPr>
              <w:t>; otherwise, nominal TDW is determined based on UE capability(</w:t>
            </w:r>
            <w:proofErr w:type="spellStart"/>
            <w:r w:rsidRPr="006B38F4">
              <w:rPr>
                <w:rFonts w:ascii="Times" w:eastAsia="DengXian" w:hAnsi="Times"/>
                <w:color w:val="001135"/>
                <w:kern w:val="24"/>
                <w:lang w:val="en-US"/>
              </w:rPr>
              <w:t>ies</w:t>
            </w:r>
            <w:proofErr w:type="spellEnd"/>
            <w:r w:rsidRPr="006B38F4">
              <w:rPr>
                <w:rFonts w:ascii="Times" w:eastAsia="DengXian" w:hAnsi="Times"/>
                <w:color w:val="001135"/>
                <w:kern w:val="24"/>
                <w:lang w:val="en-US"/>
              </w:rPr>
              <w:t>) signaling.</w:t>
            </w:r>
          </w:p>
          <w:p w14:paraId="036EEB0F" w14:textId="77777777" w:rsidR="006B38F4" w:rsidRPr="006B38F4" w:rsidRDefault="006B38F4" w:rsidP="00EC0FB9">
            <w:pPr>
              <w:numPr>
                <w:ilvl w:val="0"/>
                <w:numId w:val="9"/>
              </w:numPr>
              <w:overflowPunct/>
              <w:autoSpaceDE/>
              <w:autoSpaceDN/>
              <w:adjustRightInd/>
              <w:spacing w:after="0"/>
              <w:ind w:left="1267"/>
              <w:contextualSpacing/>
              <w:textAlignment w:val="auto"/>
              <w:rPr>
                <w:rFonts w:eastAsia="Times New Roman"/>
                <w:szCs w:val="24"/>
              </w:rPr>
            </w:pPr>
            <w:r w:rsidRPr="006B38F4">
              <w:rPr>
                <w:rFonts w:ascii="Times" w:eastAsia="DengXian" w:hAnsi="Times"/>
                <w:color w:val="001135"/>
                <w:kern w:val="24"/>
                <w:lang w:val="en-US"/>
              </w:rPr>
              <w:t>FFS: which UE capability(</w:t>
            </w:r>
            <w:proofErr w:type="spellStart"/>
            <w:r w:rsidRPr="006B38F4">
              <w:rPr>
                <w:rFonts w:ascii="Times" w:eastAsia="DengXian" w:hAnsi="Times"/>
                <w:color w:val="001135"/>
                <w:kern w:val="24"/>
                <w:lang w:val="en-US"/>
              </w:rPr>
              <w:t>ies</w:t>
            </w:r>
            <w:proofErr w:type="spellEnd"/>
            <w:r w:rsidRPr="006B38F4">
              <w:rPr>
                <w:rFonts w:ascii="Times" w:eastAsia="DengXian" w:hAnsi="Times"/>
                <w:color w:val="001135"/>
                <w:kern w:val="24"/>
                <w:lang w:val="en-US"/>
              </w:rPr>
              <w:t>) signaling is(are) used</w:t>
            </w:r>
          </w:p>
          <w:p w14:paraId="513C5B97" w14:textId="77777777" w:rsidR="006B38F4" w:rsidRPr="006B38F4" w:rsidRDefault="006B38F4" w:rsidP="00EC0FB9">
            <w:pPr>
              <w:numPr>
                <w:ilvl w:val="0"/>
                <w:numId w:val="9"/>
              </w:numPr>
              <w:overflowPunct/>
              <w:autoSpaceDE/>
              <w:autoSpaceDN/>
              <w:adjustRightInd/>
              <w:spacing w:after="0"/>
              <w:ind w:left="1267"/>
              <w:contextualSpacing/>
              <w:textAlignment w:val="auto"/>
              <w:rPr>
                <w:rFonts w:eastAsia="Times New Roman"/>
                <w:szCs w:val="24"/>
              </w:rPr>
            </w:pPr>
            <w:r w:rsidRPr="006B38F4">
              <w:rPr>
                <w:rFonts w:ascii="Times" w:eastAsia="DengXian" w:hAnsi="Times"/>
                <w:color w:val="001135"/>
                <w:kern w:val="24"/>
                <w:lang w:val="en-US"/>
              </w:rPr>
              <w:t>FFS: whether/how to use UE assistance information, if supported</w:t>
            </w:r>
          </w:p>
          <w:p w14:paraId="56F4F9C5" w14:textId="77777777" w:rsidR="006B38F4" w:rsidRDefault="006B38F4" w:rsidP="006D281F">
            <w:pPr>
              <w:rPr>
                <w:b/>
                <w:bCs/>
              </w:rPr>
            </w:pPr>
          </w:p>
        </w:tc>
      </w:tr>
    </w:tbl>
    <w:p w14:paraId="5681231B" w14:textId="6C462904" w:rsidR="001422A8" w:rsidRDefault="001422A8" w:rsidP="006D281F"/>
    <w:p w14:paraId="15B5497B" w14:textId="077AB8BD" w:rsidR="003559FE" w:rsidRDefault="006F166F" w:rsidP="006D281F">
      <w:r>
        <w:t>Based on the</w:t>
      </w:r>
      <w:r w:rsidR="000F312E">
        <w:t xml:space="preserve"> above working assumption </w:t>
      </w:r>
      <w:proofErr w:type="spellStart"/>
      <w:r>
        <w:t>nTDW</w:t>
      </w:r>
      <w:proofErr w:type="spellEnd"/>
      <w:r>
        <w:t xml:space="preserve"> is determined according to current framework of coverage enhancement in Rel-17, i.e., clause 6.1.7 in TS34.214. Based on our discussion for Issue-1, with the down-selection of option 1a, no additional </w:t>
      </w:r>
      <w:r w:rsidR="003559FE">
        <w:t xml:space="preserve">steps on top of Rel-17 mechanisms for </w:t>
      </w:r>
      <w:proofErr w:type="spellStart"/>
      <w:r w:rsidR="003559FE">
        <w:t>nTDW</w:t>
      </w:r>
      <w:proofErr w:type="spellEnd"/>
      <w:r w:rsidR="003559FE">
        <w:t xml:space="preserve"> determination is needed. Therefore, </w:t>
      </w:r>
      <w:r w:rsidR="00497258">
        <w:t>our pre</w:t>
      </w:r>
      <w:r w:rsidR="00B62A4F">
        <w:t xml:space="preserve">ference is that </w:t>
      </w:r>
      <w:r w:rsidR="003559FE">
        <w:t xml:space="preserve">we confirm the working assumption after removing the two FFS bullets. </w:t>
      </w:r>
    </w:p>
    <w:p w14:paraId="4D602158" w14:textId="1A69BF0F" w:rsidR="006B38F4" w:rsidRPr="006B38F4" w:rsidRDefault="003559FE" w:rsidP="003559FE">
      <w:pPr>
        <w:tabs>
          <w:tab w:val="num" w:pos="720"/>
        </w:tabs>
        <w:overflowPunct/>
        <w:autoSpaceDE/>
        <w:autoSpaceDN/>
        <w:adjustRightInd/>
        <w:spacing w:after="0"/>
        <w:jc w:val="both"/>
        <w:textAlignment w:val="auto"/>
        <w:rPr>
          <w:b/>
          <w:bCs/>
        </w:rPr>
      </w:pPr>
      <w:r>
        <w:rPr>
          <w:b/>
          <w:bCs/>
        </w:rPr>
        <w:t xml:space="preserve">Proposal </w:t>
      </w:r>
      <w:r w:rsidR="00152C68">
        <w:rPr>
          <w:b/>
          <w:bCs/>
        </w:rPr>
        <w:t>4</w:t>
      </w:r>
      <w:r>
        <w:rPr>
          <w:b/>
          <w:bCs/>
        </w:rPr>
        <w:t xml:space="preserve">: </w:t>
      </w:r>
      <w:r w:rsidRPr="003559FE">
        <w:rPr>
          <w:b/>
          <w:bCs/>
        </w:rPr>
        <w:t>For NTN-specific PUSCH DMRS bundling, reuse clause 6.1.7 in TS38.214 for nominal TDW determination,</w:t>
      </w:r>
      <w:r>
        <w:rPr>
          <w:b/>
          <w:bCs/>
        </w:rPr>
        <w:t xml:space="preserve"> </w:t>
      </w:r>
      <w:r w:rsidRPr="003559FE">
        <w:rPr>
          <w:b/>
          <w:bCs/>
        </w:rPr>
        <w:t>i.e., if PUSCH-</w:t>
      </w:r>
      <w:proofErr w:type="spellStart"/>
      <w:r w:rsidRPr="003559FE">
        <w:rPr>
          <w:b/>
          <w:bCs/>
        </w:rPr>
        <w:t>TimeDomainWindowLength</w:t>
      </w:r>
      <w:proofErr w:type="spellEnd"/>
      <w:r w:rsidRPr="003559FE">
        <w:rPr>
          <w:b/>
          <w:bCs/>
        </w:rPr>
        <w:t xml:space="preserve"> is configured, nominal TDW is determined by PUSCH-</w:t>
      </w:r>
      <w:proofErr w:type="spellStart"/>
      <w:r w:rsidRPr="003559FE">
        <w:rPr>
          <w:b/>
          <w:bCs/>
        </w:rPr>
        <w:t>TimeDomainWindowLength</w:t>
      </w:r>
      <w:proofErr w:type="spellEnd"/>
      <w:r w:rsidRPr="003559FE">
        <w:rPr>
          <w:b/>
          <w:bCs/>
        </w:rPr>
        <w:t xml:space="preserve">; otherwise, nominal TDW is determined based on UE </w:t>
      </w:r>
      <w:r w:rsidR="00386965">
        <w:rPr>
          <w:b/>
          <w:bCs/>
        </w:rPr>
        <w:t xml:space="preserve">FG 30-4 </w:t>
      </w:r>
      <w:r w:rsidRPr="003559FE">
        <w:rPr>
          <w:b/>
          <w:bCs/>
        </w:rPr>
        <w:t xml:space="preserve">capability </w:t>
      </w:r>
      <w:proofErr w:type="spellStart"/>
      <w:r w:rsidRPr="003559FE">
        <w:rPr>
          <w:b/>
          <w:bCs/>
        </w:rPr>
        <w:t>signaling</w:t>
      </w:r>
      <w:proofErr w:type="spellEnd"/>
      <w:r w:rsidRPr="003559FE">
        <w:rPr>
          <w:b/>
          <w:bCs/>
        </w:rPr>
        <w:t>.</w:t>
      </w:r>
    </w:p>
    <w:p w14:paraId="342654C4" w14:textId="6E0B42AB" w:rsidR="000F312E" w:rsidRPr="001422A8" w:rsidRDefault="000F312E" w:rsidP="006D281F"/>
    <w:p w14:paraId="48E87824" w14:textId="14D98214" w:rsidR="00E2403D" w:rsidRPr="003B10EB" w:rsidRDefault="00F01C9E" w:rsidP="00F01C9E">
      <w:r>
        <w:rPr>
          <w:b/>
          <w:bCs/>
        </w:rPr>
        <w:t>Issue-3 [actual TDW configuration/determination]:</w:t>
      </w:r>
      <w:r w:rsidR="00E2403D">
        <w:rPr>
          <w:b/>
          <w:bCs/>
        </w:rPr>
        <w:t xml:space="preserve"> </w:t>
      </w:r>
      <w:r w:rsidR="003B10EB">
        <w:t>Regarding the determination of actual TDW (</w:t>
      </w:r>
      <w:proofErr w:type="spellStart"/>
      <w:r w:rsidR="003B10EB">
        <w:t>aTDW</w:t>
      </w:r>
      <w:proofErr w:type="spellEnd"/>
      <w:r w:rsidR="003B10EB">
        <w:t xml:space="preserve">), the following agreement is obtained in the previous </w:t>
      </w:r>
      <w:r w:rsidR="005F78D4">
        <w:t xml:space="preserve">RAN1#113 </w:t>
      </w:r>
      <w:r w:rsidR="003B10EB">
        <w:t>meeting.</w:t>
      </w:r>
    </w:p>
    <w:tbl>
      <w:tblPr>
        <w:tblStyle w:val="TableGrid"/>
        <w:tblW w:w="0" w:type="auto"/>
        <w:tblLook w:val="04A0" w:firstRow="1" w:lastRow="0" w:firstColumn="1" w:lastColumn="0" w:noHBand="0" w:noVBand="1"/>
      </w:tblPr>
      <w:tblGrid>
        <w:gridCol w:w="9629"/>
      </w:tblGrid>
      <w:tr w:rsidR="00E2403D" w14:paraId="28B358BA" w14:textId="77777777" w:rsidTr="00E2403D">
        <w:tc>
          <w:tcPr>
            <w:tcW w:w="9629" w:type="dxa"/>
          </w:tcPr>
          <w:p w14:paraId="6E9EF251" w14:textId="77777777" w:rsidR="00E2403D" w:rsidRPr="00E2403D" w:rsidRDefault="00E2403D" w:rsidP="00E2403D">
            <w:pPr>
              <w:overflowPunct/>
              <w:autoSpaceDE/>
              <w:autoSpaceDN/>
              <w:adjustRightInd/>
              <w:spacing w:after="0"/>
              <w:textAlignment w:val="auto"/>
              <w:rPr>
                <w:rFonts w:eastAsia="Times New Roman"/>
                <w:sz w:val="24"/>
                <w:szCs w:val="24"/>
              </w:rPr>
            </w:pPr>
            <w:r w:rsidRPr="00E2403D">
              <w:rPr>
                <w:rFonts w:ascii="Times" w:eastAsia="Batang" w:hAnsi="Times"/>
                <w:b/>
                <w:color w:val="001135"/>
                <w:kern w:val="24"/>
                <w:highlight w:val="green"/>
              </w:rPr>
              <w:t>Agreement</w:t>
            </w:r>
          </w:p>
          <w:p w14:paraId="62C305DF" w14:textId="77777777" w:rsidR="00E2403D" w:rsidRPr="00E2403D" w:rsidRDefault="00E2403D" w:rsidP="00E2403D">
            <w:pPr>
              <w:overflowPunct/>
              <w:autoSpaceDE/>
              <w:autoSpaceDN/>
              <w:adjustRightInd/>
              <w:spacing w:after="0"/>
              <w:jc w:val="both"/>
              <w:textAlignment w:val="auto"/>
              <w:rPr>
                <w:rFonts w:eastAsia="Times New Roman"/>
                <w:sz w:val="24"/>
                <w:szCs w:val="24"/>
              </w:rPr>
            </w:pPr>
            <w:r w:rsidRPr="00E2403D">
              <w:rPr>
                <w:rFonts w:ascii="Times" w:eastAsia="Batang" w:hAnsi="Times"/>
                <w:color w:val="001135"/>
                <w:kern w:val="24"/>
                <w:lang w:val="en-US"/>
              </w:rPr>
              <w:t>For NTN-specific PUSCH DMRS bundling, one or more of the following is down-selected for actual TDW determination.</w:t>
            </w:r>
          </w:p>
          <w:p w14:paraId="6EC52895" w14:textId="77777777" w:rsidR="00E2403D" w:rsidRPr="00E2403D" w:rsidRDefault="00E2403D" w:rsidP="00EC0FB9">
            <w:pPr>
              <w:numPr>
                <w:ilvl w:val="0"/>
                <w:numId w:val="8"/>
              </w:numPr>
              <w:overflowPunct/>
              <w:autoSpaceDE/>
              <w:autoSpaceDN/>
              <w:adjustRightInd/>
              <w:spacing w:after="0"/>
              <w:ind w:left="1267"/>
              <w:contextualSpacing/>
              <w:textAlignment w:val="auto"/>
              <w:rPr>
                <w:rFonts w:eastAsia="Times New Roman"/>
                <w:szCs w:val="24"/>
              </w:rPr>
            </w:pPr>
            <w:r w:rsidRPr="00E2403D">
              <w:rPr>
                <w:rFonts w:ascii="Times" w:eastAsia="DengXian" w:hAnsi="Times"/>
                <w:color w:val="001135"/>
                <w:kern w:val="24"/>
                <w:lang w:val="en-US"/>
              </w:rPr>
              <w:t>Actual TDW is determined by the existing events and,</w:t>
            </w:r>
          </w:p>
          <w:p w14:paraId="1CB2BD8A" w14:textId="77777777" w:rsidR="00E2403D" w:rsidRPr="00E2403D" w:rsidRDefault="00E2403D" w:rsidP="00EC0FB9">
            <w:pPr>
              <w:numPr>
                <w:ilvl w:val="1"/>
                <w:numId w:val="8"/>
              </w:numPr>
              <w:overflowPunct/>
              <w:autoSpaceDE/>
              <w:autoSpaceDN/>
              <w:adjustRightInd/>
              <w:spacing w:after="0"/>
              <w:ind w:left="2606"/>
              <w:contextualSpacing/>
              <w:textAlignment w:val="auto"/>
              <w:rPr>
                <w:rFonts w:eastAsia="Times New Roman"/>
                <w:szCs w:val="24"/>
              </w:rPr>
            </w:pPr>
            <w:r w:rsidRPr="00E2403D">
              <w:rPr>
                <w:rFonts w:ascii="Times" w:eastAsia="DengXian" w:hAnsi="Times"/>
                <w:color w:val="001135"/>
                <w:kern w:val="24"/>
                <w:lang w:val="en-US"/>
              </w:rPr>
              <w:t>Alt A: No additional event</w:t>
            </w:r>
          </w:p>
          <w:p w14:paraId="101E0FB5" w14:textId="77777777" w:rsidR="00E2403D" w:rsidRPr="00E2403D" w:rsidRDefault="00E2403D" w:rsidP="00EC0FB9">
            <w:pPr>
              <w:numPr>
                <w:ilvl w:val="2"/>
                <w:numId w:val="8"/>
              </w:numPr>
              <w:overflowPunct/>
              <w:autoSpaceDE/>
              <w:autoSpaceDN/>
              <w:adjustRightInd/>
              <w:spacing w:after="0"/>
              <w:ind w:left="3960"/>
              <w:contextualSpacing/>
              <w:textAlignment w:val="auto"/>
              <w:rPr>
                <w:rFonts w:eastAsia="Times New Roman"/>
                <w:szCs w:val="24"/>
              </w:rPr>
            </w:pPr>
            <w:r w:rsidRPr="00E2403D">
              <w:rPr>
                <w:rFonts w:ascii="Times" w:eastAsia="DengXian" w:hAnsi="Times"/>
                <w:color w:val="001135"/>
                <w:kern w:val="24"/>
                <w:lang w:val="en-US"/>
              </w:rPr>
              <w:t>i.e., no spec impact is assumed for actual TDW determination.</w:t>
            </w:r>
          </w:p>
          <w:p w14:paraId="6C4D4B8C" w14:textId="72D011C1" w:rsidR="00E2403D" w:rsidRPr="00E2403D" w:rsidRDefault="00E2403D" w:rsidP="00EC0FB9">
            <w:pPr>
              <w:numPr>
                <w:ilvl w:val="1"/>
                <w:numId w:val="8"/>
              </w:numPr>
              <w:overflowPunct/>
              <w:autoSpaceDE/>
              <w:autoSpaceDN/>
              <w:adjustRightInd/>
              <w:spacing w:after="0"/>
              <w:ind w:left="2606"/>
              <w:contextualSpacing/>
              <w:textAlignment w:val="auto"/>
              <w:rPr>
                <w:rFonts w:eastAsia="Times New Roman"/>
                <w:szCs w:val="24"/>
              </w:rPr>
            </w:pPr>
            <w:r w:rsidRPr="00E2403D">
              <w:rPr>
                <w:rFonts w:ascii="Times" w:eastAsia="DengXian" w:hAnsi="Times"/>
                <w:color w:val="001135"/>
                <w:kern w:val="24"/>
                <w:lang w:val="en-US"/>
              </w:rPr>
              <w:t xml:space="preserve">Alt B: New event of TA pre-compensation timing dynamically indicated by </w:t>
            </w:r>
            <w:proofErr w:type="spellStart"/>
            <w:proofErr w:type="gramStart"/>
            <w:r w:rsidRPr="00E2403D">
              <w:rPr>
                <w:rFonts w:ascii="Times" w:eastAsia="DengXian" w:hAnsi="Times"/>
                <w:color w:val="001135"/>
                <w:kern w:val="24"/>
                <w:lang w:val="en-US"/>
              </w:rPr>
              <w:t>gNB</w:t>
            </w:r>
            <w:proofErr w:type="spellEnd"/>
            <w:proofErr w:type="gramEnd"/>
          </w:p>
          <w:p w14:paraId="6C582DEC" w14:textId="77777777" w:rsidR="00E2403D" w:rsidRPr="00E2403D" w:rsidRDefault="00E2403D" w:rsidP="00EC0FB9">
            <w:pPr>
              <w:numPr>
                <w:ilvl w:val="2"/>
                <w:numId w:val="8"/>
              </w:numPr>
              <w:overflowPunct/>
              <w:autoSpaceDE/>
              <w:autoSpaceDN/>
              <w:adjustRightInd/>
              <w:spacing w:after="0"/>
              <w:ind w:left="3960"/>
              <w:contextualSpacing/>
              <w:textAlignment w:val="auto"/>
              <w:rPr>
                <w:rFonts w:eastAsia="Times New Roman"/>
                <w:szCs w:val="24"/>
              </w:rPr>
            </w:pPr>
            <w:r w:rsidRPr="00E2403D">
              <w:rPr>
                <w:rFonts w:ascii="Times" w:eastAsia="DengXian" w:hAnsi="Times"/>
                <w:color w:val="001135"/>
                <w:kern w:val="24"/>
                <w:lang w:val="en-US"/>
              </w:rPr>
              <w:t xml:space="preserve">i.e., TA pre-compensation timing can be dynamically indicated by </w:t>
            </w:r>
            <w:proofErr w:type="spellStart"/>
            <w:proofErr w:type="gramStart"/>
            <w:r w:rsidRPr="00E2403D">
              <w:rPr>
                <w:rFonts w:ascii="Times" w:eastAsia="DengXian" w:hAnsi="Times"/>
                <w:color w:val="001135"/>
                <w:kern w:val="24"/>
                <w:lang w:val="en-US"/>
              </w:rPr>
              <w:t>gNB</w:t>
            </w:r>
            <w:proofErr w:type="spellEnd"/>
            <w:proofErr w:type="gramEnd"/>
          </w:p>
          <w:p w14:paraId="0DE69E83" w14:textId="77777777" w:rsidR="00E2403D" w:rsidRPr="00E2403D" w:rsidRDefault="00E2403D" w:rsidP="00EC0FB9">
            <w:pPr>
              <w:numPr>
                <w:ilvl w:val="2"/>
                <w:numId w:val="8"/>
              </w:numPr>
              <w:overflowPunct/>
              <w:autoSpaceDE/>
              <w:autoSpaceDN/>
              <w:adjustRightInd/>
              <w:spacing w:after="0"/>
              <w:ind w:left="3960"/>
              <w:contextualSpacing/>
              <w:textAlignment w:val="auto"/>
              <w:rPr>
                <w:rFonts w:eastAsia="Times New Roman"/>
                <w:szCs w:val="24"/>
              </w:rPr>
            </w:pPr>
            <w:r w:rsidRPr="00E2403D">
              <w:rPr>
                <w:rFonts w:ascii="Times" w:eastAsia="DengXian" w:hAnsi="Times"/>
                <w:color w:val="001135"/>
                <w:kern w:val="24"/>
                <w:lang w:val="en-US"/>
              </w:rPr>
              <w:lastRenderedPageBreak/>
              <w:t>Note: UE can perform TA pre-compensation update at the indicated timing</w:t>
            </w:r>
          </w:p>
          <w:p w14:paraId="635BD118" w14:textId="77777777" w:rsidR="00E2403D" w:rsidRPr="00E2403D" w:rsidRDefault="00E2403D" w:rsidP="00EC0FB9">
            <w:pPr>
              <w:numPr>
                <w:ilvl w:val="2"/>
                <w:numId w:val="8"/>
              </w:numPr>
              <w:overflowPunct/>
              <w:autoSpaceDE/>
              <w:autoSpaceDN/>
              <w:adjustRightInd/>
              <w:spacing w:after="0"/>
              <w:ind w:left="3960"/>
              <w:contextualSpacing/>
              <w:textAlignment w:val="auto"/>
              <w:rPr>
                <w:rFonts w:eastAsia="Times New Roman"/>
                <w:szCs w:val="24"/>
              </w:rPr>
            </w:pPr>
            <w:r w:rsidRPr="00E2403D">
              <w:rPr>
                <w:rFonts w:ascii="Times" w:eastAsia="DengXian" w:hAnsi="Times"/>
                <w:color w:val="001135"/>
                <w:kern w:val="24"/>
                <w:lang w:val="en-US"/>
              </w:rPr>
              <w:t>FFS: detailed indication</w:t>
            </w:r>
          </w:p>
          <w:p w14:paraId="547166D3" w14:textId="77777777" w:rsidR="00E2403D" w:rsidRPr="00E2403D" w:rsidRDefault="00E2403D" w:rsidP="00EC0FB9">
            <w:pPr>
              <w:numPr>
                <w:ilvl w:val="1"/>
                <w:numId w:val="8"/>
              </w:numPr>
              <w:overflowPunct/>
              <w:autoSpaceDE/>
              <w:autoSpaceDN/>
              <w:adjustRightInd/>
              <w:spacing w:after="0"/>
              <w:ind w:left="2606"/>
              <w:contextualSpacing/>
              <w:textAlignment w:val="auto"/>
              <w:rPr>
                <w:rFonts w:eastAsia="Times New Roman"/>
                <w:szCs w:val="24"/>
              </w:rPr>
            </w:pPr>
            <w:r w:rsidRPr="00E2403D">
              <w:rPr>
                <w:rFonts w:ascii="Times" w:eastAsia="DengXian" w:hAnsi="Times"/>
                <w:color w:val="001135"/>
                <w:kern w:val="24"/>
                <w:lang w:val="en-US"/>
              </w:rPr>
              <w:t xml:space="preserve">Alt C: as dynamically indicated by </w:t>
            </w:r>
            <w:proofErr w:type="spellStart"/>
            <w:proofErr w:type="gramStart"/>
            <w:r w:rsidRPr="00E2403D">
              <w:rPr>
                <w:rFonts w:ascii="Times" w:eastAsia="DengXian" w:hAnsi="Times"/>
                <w:color w:val="001135"/>
                <w:kern w:val="24"/>
                <w:lang w:val="en-US"/>
              </w:rPr>
              <w:t>gNB</w:t>
            </w:r>
            <w:proofErr w:type="spellEnd"/>
            <w:proofErr w:type="gramEnd"/>
          </w:p>
          <w:p w14:paraId="1D829614" w14:textId="77777777" w:rsidR="00E2403D" w:rsidRPr="00E2403D" w:rsidRDefault="00E2403D" w:rsidP="00EC0FB9">
            <w:pPr>
              <w:numPr>
                <w:ilvl w:val="2"/>
                <w:numId w:val="8"/>
              </w:numPr>
              <w:overflowPunct/>
              <w:autoSpaceDE/>
              <w:autoSpaceDN/>
              <w:adjustRightInd/>
              <w:spacing w:after="0"/>
              <w:ind w:left="3960"/>
              <w:contextualSpacing/>
              <w:textAlignment w:val="auto"/>
              <w:rPr>
                <w:rFonts w:eastAsia="Times New Roman"/>
                <w:szCs w:val="24"/>
              </w:rPr>
            </w:pPr>
            <w:r w:rsidRPr="00E2403D">
              <w:rPr>
                <w:rFonts w:ascii="Times" w:eastAsia="DengXian" w:hAnsi="Times"/>
                <w:color w:val="001135"/>
                <w:kern w:val="24"/>
                <w:lang w:val="en-US"/>
              </w:rPr>
              <w:t xml:space="preserve">i.e., actual TDW can be dynamically indicated by </w:t>
            </w:r>
            <w:proofErr w:type="spellStart"/>
            <w:proofErr w:type="gramStart"/>
            <w:r w:rsidRPr="00E2403D">
              <w:rPr>
                <w:rFonts w:ascii="Times" w:eastAsia="DengXian" w:hAnsi="Times"/>
                <w:color w:val="001135"/>
                <w:kern w:val="24"/>
                <w:lang w:val="en-US"/>
              </w:rPr>
              <w:t>gNB</w:t>
            </w:r>
            <w:proofErr w:type="spellEnd"/>
            <w:proofErr w:type="gramEnd"/>
          </w:p>
          <w:p w14:paraId="35C4468C" w14:textId="77777777" w:rsidR="00E2403D" w:rsidRPr="00E2403D" w:rsidRDefault="00E2403D" w:rsidP="00EC0FB9">
            <w:pPr>
              <w:numPr>
                <w:ilvl w:val="2"/>
                <w:numId w:val="8"/>
              </w:numPr>
              <w:overflowPunct/>
              <w:autoSpaceDE/>
              <w:autoSpaceDN/>
              <w:adjustRightInd/>
              <w:spacing w:after="0"/>
              <w:ind w:left="3960"/>
              <w:contextualSpacing/>
              <w:textAlignment w:val="auto"/>
              <w:rPr>
                <w:rFonts w:eastAsia="Times New Roman"/>
                <w:szCs w:val="24"/>
              </w:rPr>
            </w:pPr>
            <w:r w:rsidRPr="00E2403D">
              <w:rPr>
                <w:rFonts w:ascii="Times" w:eastAsia="DengXian" w:hAnsi="Times"/>
                <w:color w:val="001135"/>
                <w:kern w:val="24"/>
                <w:lang w:val="en-US"/>
              </w:rPr>
              <w:t>FFS: detailed indication</w:t>
            </w:r>
          </w:p>
          <w:p w14:paraId="45D33510" w14:textId="77777777" w:rsidR="00E2403D" w:rsidRPr="00E2403D" w:rsidRDefault="00E2403D" w:rsidP="00EC0FB9">
            <w:pPr>
              <w:numPr>
                <w:ilvl w:val="1"/>
                <w:numId w:val="8"/>
              </w:numPr>
              <w:overflowPunct/>
              <w:autoSpaceDE/>
              <w:autoSpaceDN/>
              <w:adjustRightInd/>
              <w:spacing w:after="0"/>
              <w:ind w:left="2606"/>
              <w:contextualSpacing/>
              <w:textAlignment w:val="auto"/>
              <w:rPr>
                <w:rFonts w:eastAsia="Times New Roman"/>
                <w:szCs w:val="24"/>
              </w:rPr>
            </w:pPr>
            <w:r w:rsidRPr="00E2403D">
              <w:rPr>
                <w:rFonts w:ascii="Times" w:eastAsia="DengXian" w:hAnsi="Times"/>
                <w:color w:val="001135"/>
                <w:kern w:val="24"/>
                <w:lang w:val="en-US"/>
              </w:rPr>
              <w:t xml:space="preserve">Alt D: New event based on epoch </w:t>
            </w:r>
            <w:proofErr w:type="gramStart"/>
            <w:r w:rsidRPr="00E2403D">
              <w:rPr>
                <w:rFonts w:ascii="Times" w:eastAsia="DengXian" w:hAnsi="Times"/>
                <w:color w:val="001135"/>
                <w:kern w:val="24"/>
                <w:lang w:val="en-US"/>
              </w:rPr>
              <w:t>time</w:t>
            </w:r>
            <w:proofErr w:type="gramEnd"/>
          </w:p>
          <w:p w14:paraId="52A7763C" w14:textId="77777777" w:rsidR="00E2403D" w:rsidRPr="00E2403D" w:rsidRDefault="00E2403D" w:rsidP="00EC0FB9">
            <w:pPr>
              <w:numPr>
                <w:ilvl w:val="2"/>
                <w:numId w:val="8"/>
              </w:numPr>
              <w:overflowPunct/>
              <w:autoSpaceDE/>
              <w:autoSpaceDN/>
              <w:adjustRightInd/>
              <w:spacing w:after="0"/>
              <w:ind w:left="3960"/>
              <w:contextualSpacing/>
              <w:textAlignment w:val="auto"/>
              <w:rPr>
                <w:rFonts w:eastAsia="Times New Roman"/>
                <w:szCs w:val="24"/>
              </w:rPr>
            </w:pPr>
            <w:r w:rsidRPr="00E2403D">
              <w:rPr>
                <w:rFonts w:ascii="Times" w:eastAsia="DengXian" w:hAnsi="Times"/>
                <w:color w:val="001135"/>
                <w:kern w:val="24"/>
                <w:lang w:val="en-US"/>
              </w:rPr>
              <w:t xml:space="preserve">FFS </w:t>
            </w:r>
            <w:proofErr w:type="gramStart"/>
            <w:r w:rsidRPr="00E2403D">
              <w:rPr>
                <w:rFonts w:ascii="Times" w:eastAsia="DengXian" w:hAnsi="Times"/>
                <w:color w:val="001135"/>
                <w:kern w:val="24"/>
                <w:lang w:val="en-US"/>
              </w:rPr>
              <w:t>details</w:t>
            </w:r>
            <w:proofErr w:type="gramEnd"/>
          </w:p>
          <w:p w14:paraId="7D6FCA50" w14:textId="77777777" w:rsidR="00E2403D" w:rsidRPr="00E2403D" w:rsidRDefault="00E2403D" w:rsidP="00EC0FB9">
            <w:pPr>
              <w:numPr>
                <w:ilvl w:val="1"/>
                <w:numId w:val="8"/>
              </w:numPr>
              <w:overflowPunct/>
              <w:autoSpaceDE/>
              <w:autoSpaceDN/>
              <w:adjustRightInd/>
              <w:spacing w:after="0"/>
              <w:ind w:left="2606"/>
              <w:contextualSpacing/>
              <w:textAlignment w:val="auto"/>
              <w:rPr>
                <w:rFonts w:eastAsia="Times New Roman"/>
                <w:szCs w:val="24"/>
              </w:rPr>
            </w:pPr>
            <w:r w:rsidRPr="00E2403D">
              <w:rPr>
                <w:rFonts w:ascii="Times" w:eastAsia="DengXian" w:hAnsi="Times"/>
                <w:color w:val="001135"/>
                <w:kern w:val="24"/>
                <w:lang w:val="en-US"/>
              </w:rPr>
              <w:t xml:space="preserve">Alt E: New event based on antenna </w:t>
            </w:r>
            <w:proofErr w:type="gramStart"/>
            <w:r w:rsidRPr="00E2403D">
              <w:rPr>
                <w:rFonts w:ascii="Times" w:eastAsia="DengXian" w:hAnsi="Times"/>
                <w:color w:val="001135"/>
                <w:kern w:val="24"/>
                <w:lang w:val="en-US"/>
              </w:rPr>
              <w:t>switching</w:t>
            </w:r>
            <w:proofErr w:type="gramEnd"/>
          </w:p>
          <w:p w14:paraId="48F2E120" w14:textId="77777777" w:rsidR="00E2403D" w:rsidRDefault="00E2403D" w:rsidP="00F01C9E">
            <w:pPr>
              <w:rPr>
                <w:b/>
                <w:bCs/>
              </w:rPr>
            </w:pPr>
          </w:p>
        </w:tc>
      </w:tr>
    </w:tbl>
    <w:p w14:paraId="0E6BC9AE" w14:textId="77777777" w:rsidR="006C72E9" w:rsidRDefault="006C72E9" w:rsidP="00F01C9E">
      <w:pPr>
        <w:rPr>
          <w:b/>
          <w:bCs/>
        </w:rPr>
      </w:pPr>
    </w:p>
    <w:p w14:paraId="00089FE9" w14:textId="04C38A69" w:rsidR="0024276D" w:rsidRPr="0024276D" w:rsidRDefault="0024276D" w:rsidP="0024276D">
      <w:pPr>
        <w:rPr>
          <w:color w:val="000000" w:themeColor="text1"/>
        </w:rPr>
      </w:pPr>
      <w:r w:rsidRPr="0024276D">
        <w:rPr>
          <w:color w:val="000000" w:themeColor="text1"/>
        </w:rPr>
        <w:t xml:space="preserve">For </w:t>
      </w:r>
      <w:r>
        <w:rPr>
          <w:color w:val="000000" w:themeColor="text1"/>
        </w:rPr>
        <w:t>Alt B</w:t>
      </w:r>
      <w:r w:rsidRPr="0024276D">
        <w:rPr>
          <w:color w:val="000000" w:themeColor="text1"/>
        </w:rPr>
        <w:t xml:space="preserve">, we assume that </w:t>
      </w:r>
      <w:proofErr w:type="spellStart"/>
      <w:r w:rsidRPr="0024276D">
        <w:rPr>
          <w:color w:val="000000" w:themeColor="text1"/>
        </w:rPr>
        <w:t>nTDW</w:t>
      </w:r>
      <w:proofErr w:type="spellEnd"/>
      <w:r w:rsidRPr="0024276D">
        <w:rPr>
          <w:color w:val="000000" w:themeColor="text1"/>
        </w:rPr>
        <w:t xml:space="preserve"> is configured according to the current specification. However, </w:t>
      </w:r>
      <w:proofErr w:type="gramStart"/>
      <w:r w:rsidRPr="0024276D">
        <w:rPr>
          <w:color w:val="000000" w:themeColor="text1"/>
        </w:rPr>
        <w:t>in order to</w:t>
      </w:r>
      <w:proofErr w:type="gramEnd"/>
      <w:r w:rsidRPr="0024276D">
        <w:rPr>
          <w:color w:val="000000" w:themeColor="text1"/>
        </w:rPr>
        <w:t xml:space="preserve"> establish the common understanding between UE and </w:t>
      </w:r>
      <w:proofErr w:type="spellStart"/>
      <w:r w:rsidRPr="0024276D">
        <w:rPr>
          <w:color w:val="000000" w:themeColor="text1"/>
        </w:rPr>
        <w:t>gNB</w:t>
      </w:r>
      <w:proofErr w:type="spellEnd"/>
      <w:r w:rsidRPr="0024276D">
        <w:rPr>
          <w:color w:val="000000" w:themeColor="text1"/>
        </w:rPr>
        <w:t xml:space="preserve"> on the instances that UE update</w:t>
      </w:r>
      <w:r>
        <w:rPr>
          <w:color w:val="000000" w:themeColor="text1"/>
        </w:rPr>
        <w:t>s</w:t>
      </w:r>
      <w:r w:rsidRPr="0024276D">
        <w:rPr>
          <w:color w:val="000000" w:themeColor="text1"/>
        </w:rPr>
        <w:t xml:space="preserve"> its TA and therefore breaks phase continuity and power consistency, we propose that </w:t>
      </w:r>
      <w:proofErr w:type="spellStart"/>
      <w:r w:rsidRPr="0024276D">
        <w:rPr>
          <w:color w:val="000000" w:themeColor="text1"/>
        </w:rPr>
        <w:t>gNB</w:t>
      </w:r>
      <w:proofErr w:type="spellEnd"/>
      <w:r w:rsidRPr="0024276D">
        <w:rPr>
          <w:color w:val="000000" w:themeColor="text1"/>
        </w:rPr>
        <w:t xml:space="preserve"> indicates the rate/frequency </w:t>
      </w:r>
      <w:r w:rsidR="00887D57">
        <w:rPr>
          <w:color w:val="000000" w:themeColor="text1"/>
        </w:rPr>
        <w:t>as well as “</w:t>
      </w:r>
      <w:r w:rsidR="00980C80">
        <w:rPr>
          <w:color w:val="000000" w:themeColor="text1"/>
        </w:rPr>
        <w:t>time offset</w:t>
      </w:r>
      <w:r w:rsidR="00887D57">
        <w:rPr>
          <w:color w:val="000000" w:themeColor="text1"/>
        </w:rPr>
        <w:t xml:space="preserve">” </w:t>
      </w:r>
      <w:r w:rsidRPr="0024276D">
        <w:rPr>
          <w:color w:val="000000" w:themeColor="text1"/>
        </w:rPr>
        <w:t xml:space="preserve">of </w:t>
      </w:r>
      <w:r w:rsidR="00980C80">
        <w:rPr>
          <w:color w:val="000000" w:themeColor="text1"/>
        </w:rPr>
        <w:t xml:space="preserve">allowed </w:t>
      </w:r>
      <w:r w:rsidRPr="0024276D">
        <w:rPr>
          <w:color w:val="000000" w:themeColor="text1"/>
        </w:rPr>
        <w:t>TA update</w:t>
      </w:r>
      <w:r w:rsidR="00980C80">
        <w:rPr>
          <w:color w:val="000000" w:themeColor="text1"/>
        </w:rPr>
        <w:t>s</w:t>
      </w:r>
      <w:r w:rsidRPr="0024276D">
        <w:rPr>
          <w:color w:val="000000" w:themeColor="text1"/>
        </w:rPr>
        <w:t xml:space="preserve"> to NTN UE. Schematic presentation of </w:t>
      </w:r>
      <w:r>
        <w:rPr>
          <w:color w:val="000000" w:themeColor="text1"/>
        </w:rPr>
        <w:t>Alt B</w:t>
      </w:r>
      <w:r w:rsidRPr="0024276D">
        <w:rPr>
          <w:color w:val="000000" w:themeColor="text1"/>
        </w:rPr>
        <w:t xml:space="preserve"> is shown in Figure </w:t>
      </w:r>
      <w:r>
        <w:rPr>
          <w:color w:val="000000" w:themeColor="text1"/>
        </w:rPr>
        <w:t>1 below</w:t>
      </w:r>
      <w:r w:rsidRPr="0024276D">
        <w:rPr>
          <w:color w:val="000000" w:themeColor="text1"/>
        </w:rPr>
        <w:t>.</w:t>
      </w:r>
    </w:p>
    <w:p w14:paraId="1BF85956" w14:textId="77777777" w:rsidR="0024276D" w:rsidRDefault="0024276D" w:rsidP="0024276D">
      <w:pPr>
        <w:keepNext/>
      </w:pPr>
      <w:r>
        <w:rPr>
          <w:noProof/>
          <w:color w:val="000000" w:themeColor="text1"/>
        </w:rPr>
        <w:drawing>
          <wp:inline distT="0" distB="0" distL="0" distR="0" wp14:anchorId="731F6476" wp14:editId="25D22075">
            <wp:extent cx="6303645" cy="113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3645" cy="1139825"/>
                    </a:xfrm>
                    <a:prstGeom prst="rect">
                      <a:avLst/>
                    </a:prstGeom>
                    <a:noFill/>
                  </pic:spPr>
                </pic:pic>
              </a:graphicData>
            </a:graphic>
          </wp:inline>
        </w:drawing>
      </w:r>
    </w:p>
    <w:p w14:paraId="0F14154E" w14:textId="6F6027EE" w:rsidR="0024276D" w:rsidRPr="0024276D" w:rsidRDefault="0024276D" w:rsidP="0024276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w:t>
      </w:r>
      <w:r w:rsidRPr="00F12F9A">
        <w:t xml:space="preserve">Schematic presentation of </w:t>
      </w:r>
      <w:r>
        <w:t>Alt B</w:t>
      </w:r>
    </w:p>
    <w:p w14:paraId="10820710" w14:textId="49C396F2" w:rsidR="0024276D" w:rsidRPr="0024276D" w:rsidRDefault="0024276D" w:rsidP="0024276D">
      <w:pPr>
        <w:rPr>
          <w:color w:val="000000" w:themeColor="text1"/>
        </w:rPr>
      </w:pPr>
      <w:r w:rsidRPr="0024276D">
        <w:rPr>
          <w:color w:val="000000" w:themeColor="text1"/>
        </w:rPr>
        <w:t xml:space="preserve">We highlight that, as part </w:t>
      </w:r>
      <w:r w:rsidR="001101E0">
        <w:rPr>
          <w:color w:val="000000" w:themeColor="text1"/>
        </w:rPr>
        <w:t>Alt B</w:t>
      </w:r>
      <w:r w:rsidRPr="0024276D">
        <w:rPr>
          <w:color w:val="000000" w:themeColor="text1"/>
        </w:rPr>
        <w:t xml:space="preserve">, the UE behaviour for periodic TA pre-compensation is expected only within the duration of PUSCH repetitions (or within the duration of </w:t>
      </w:r>
      <w:proofErr w:type="spellStart"/>
      <w:r w:rsidRPr="0024276D">
        <w:rPr>
          <w:color w:val="000000" w:themeColor="text1"/>
        </w:rPr>
        <w:t>nTDW</w:t>
      </w:r>
      <w:proofErr w:type="spellEnd"/>
      <w:r w:rsidRPr="0024276D">
        <w:rPr>
          <w:color w:val="000000" w:themeColor="text1"/>
        </w:rPr>
        <w:t>). Outside the PUSCH repetitions window, UE falls back to its regular/normal UE TA pre-compensation behaviour</w:t>
      </w:r>
      <w:r w:rsidR="00176ED9">
        <w:rPr>
          <w:color w:val="000000" w:themeColor="text1"/>
        </w:rPr>
        <w:t xml:space="preserve"> and is not under any restrictions from </w:t>
      </w:r>
      <w:proofErr w:type="spellStart"/>
      <w:r w:rsidR="00176ED9">
        <w:rPr>
          <w:color w:val="000000" w:themeColor="text1"/>
        </w:rPr>
        <w:t>gNB</w:t>
      </w:r>
      <w:proofErr w:type="spellEnd"/>
      <w:r w:rsidR="00176ED9">
        <w:rPr>
          <w:color w:val="000000" w:themeColor="text1"/>
        </w:rPr>
        <w:t xml:space="preserve"> control</w:t>
      </w:r>
      <w:r w:rsidRPr="0024276D">
        <w:rPr>
          <w:color w:val="000000" w:themeColor="text1"/>
        </w:rPr>
        <w:t xml:space="preserve">.      </w:t>
      </w:r>
    </w:p>
    <w:p w14:paraId="6755AD5A" w14:textId="3ABF3D66" w:rsidR="0024276D" w:rsidRPr="004573A7" w:rsidRDefault="0024276D" w:rsidP="0024276D">
      <w:pPr>
        <w:rPr>
          <w:b/>
          <w:bCs/>
          <w:color w:val="000000" w:themeColor="text1"/>
        </w:rPr>
      </w:pPr>
      <w:r w:rsidRPr="004573A7">
        <w:rPr>
          <w:b/>
          <w:bCs/>
          <w:color w:val="000000" w:themeColor="text1"/>
        </w:rPr>
        <w:t xml:space="preserve">Observation </w:t>
      </w:r>
      <w:r w:rsidR="001101E0" w:rsidRPr="004573A7">
        <w:rPr>
          <w:b/>
          <w:bCs/>
          <w:color w:val="000000" w:themeColor="text1"/>
        </w:rPr>
        <w:t>1</w:t>
      </w:r>
      <w:r w:rsidRPr="004573A7">
        <w:rPr>
          <w:b/>
          <w:bCs/>
          <w:color w:val="000000" w:themeColor="text1"/>
        </w:rPr>
        <w:t xml:space="preserve">: By </w:t>
      </w:r>
      <w:proofErr w:type="spellStart"/>
      <w:r w:rsidRPr="004573A7">
        <w:rPr>
          <w:b/>
          <w:bCs/>
          <w:color w:val="000000" w:themeColor="text1"/>
        </w:rPr>
        <w:t>gNB</w:t>
      </w:r>
      <w:proofErr w:type="spellEnd"/>
      <w:r w:rsidRPr="004573A7">
        <w:rPr>
          <w:b/>
          <w:bCs/>
          <w:color w:val="000000" w:themeColor="text1"/>
        </w:rPr>
        <w:t xml:space="preserve"> configuration/indication of the rate or frequency of UE TA update within PUSCH repetitions window (</w:t>
      </w:r>
      <w:proofErr w:type="spellStart"/>
      <w:r w:rsidRPr="004573A7">
        <w:rPr>
          <w:b/>
          <w:bCs/>
          <w:color w:val="000000" w:themeColor="text1"/>
        </w:rPr>
        <w:t>nTDW</w:t>
      </w:r>
      <w:proofErr w:type="spellEnd"/>
      <w:r w:rsidRPr="004573A7">
        <w:rPr>
          <w:b/>
          <w:bCs/>
          <w:color w:val="000000" w:themeColor="text1"/>
        </w:rPr>
        <w:t xml:space="preserve">), both </w:t>
      </w:r>
      <w:proofErr w:type="spellStart"/>
      <w:r w:rsidRPr="004573A7">
        <w:rPr>
          <w:b/>
          <w:bCs/>
          <w:color w:val="000000" w:themeColor="text1"/>
        </w:rPr>
        <w:t>gNB</w:t>
      </w:r>
      <w:proofErr w:type="spellEnd"/>
      <w:r w:rsidRPr="004573A7">
        <w:rPr>
          <w:b/>
          <w:bCs/>
          <w:color w:val="000000" w:themeColor="text1"/>
        </w:rPr>
        <w:t xml:space="preserve"> and NTN UE are aware of the instances that </w:t>
      </w:r>
      <w:proofErr w:type="spellStart"/>
      <w:r w:rsidRPr="004573A7">
        <w:rPr>
          <w:b/>
          <w:bCs/>
          <w:color w:val="000000" w:themeColor="text1"/>
        </w:rPr>
        <w:t>aTDW</w:t>
      </w:r>
      <w:proofErr w:type="spellEnd"/>
      <w:r w:rsidRPr="004573A7">
        <w:rPr>
          <w:b/>
          <w:bCs/>
          <w:color w:val="000000" w:themeColor="text1"/>
        </w:rPr>
        <w:t xml:space="preserve"> may be broken within an </w:t>
      </w:r>
      <w:proofErr w:type="spellStart"/>
      <w:r w:rsidRPr="004573A7">
        <w:rPr>
          <w:b/>
          <w:bCs/>
          <w:color w:val="000000" w:themeColor="text1"/>
        </w:rPr>
        <w:t>nTDW</w:t>
      </w:r>
      <w:proofErr w:type="spellEnd"/>
      <w:r w:rsidRPr="004573A7">
        <w:rPr>
          <w:b/>
          <w:bCs/>
          <w:color w:val="000000" w:themeColor="text1"/>
        </w:rPr>
        <w:t xml:space="preserve">. </w:t>
      </w:r>
    </w:p>
    <w:p w14:paraId="775217DE" w14:textId="3C9C7806" w:rsidR="00F01C9E" w:rsidRPr="001101E0" w:rsidRDefault="006C72E9" w:rsidP="006D281F">
      <w:pPr>
        <w:rPr>
          <w:b/>
          <w:color w:val="000000" w:themeColor="text1"/>
        </w:rPr>
      </w:pPr>
      <w:r w:rsidRPr="001101E0">
        <w:rPr>
          <w:b/>
          <w:bCs/>
          <w:color w:val="000000" w:themeColor="text1"/>
        </w:rPr>
        <w:t xml:space="preserve">Proposal </w:t>
      </w:r>
      <w:r w:rsidR="00152C68">
        <w:rPr>
          <w:b/>
          <w:bCs/>
          <w:color w:val="000000" w:themeColor="text1"/>
        </w:rPr>
        <w:t>5</w:t>
      </w:r>
      <w:r w:rsidRPr="001101E0">
        <w:rPr>
          <w:b/>
          <w:bCs/>
          <w:color w:val="000000" w:themeColor="text1"/>
        </w:rPr>
        <w:t xml:space="preserve">: </w:t>
      </w:r>
      <w:r w:rsidR="001101E0">
        <w:rPr>
          <w:b/>
          <w:bCs/>
          <w:color w:val="000000" w:themeColor="text1"/>
        </w:rPr>
        <w:t xml:space="preserve">RAN1 to down-select Alt B for determination of actual TDW for NTN DMRS bundling. </w:t>
      </w:r>
      <w:r w:rsidRPr="001101E0">
        <w:rPr>
          <w:b/>
          <w:bCs/>
          <w:color w:val="000000" w:themeColor="text1"/>
        </w:rPr>
        <w:t xml:space="preserve"> </w:t>
      </w:r>
    </w:p>
    <w:p w14:paraId="0A04A13E" w14:textId="77777777" w:rsidR="00F01C9E" w:rsidRPr="006D281F" w:rsidRDefault="00F01C9E" w:rsidP="006D281F"/>
    <w:p w14:paraId="743BD6EA" w14:textId="6E6BA6C9" w:rsidR="46D97061" w:rsidRDefault="46D97061" w:rsidP="014CDA43">
      <w:pPr>
        <w:pStyle w:val="Heading2"/>
        <w:rPr>
          <w:rFonts w:eastAsia="Arial" w:cs="Arial"/>
          <w:szCs w:val="32"/>
        </w:rPr>
      </w:pPr>
      <w:r w:rsidRPr="014CDA43">
        <w:rPr>
          <w:rFonts w:ascii="Times New Roman" w:eastAsia="Times New Roman" w:hAnsi="Times New Roman"/>
          <w:sz w:val="14"/>
          <w:szCs w:val="14"/>
        </w:rPr>
        <w:t xml:space="preserve"> </w:t>
      </w:r>
      <w:r w:rsidRPr="014CDA43">
        <w:rPr>
          <w:rFonts w:eastAsia="Arial" w:cs="Arial"/>
          <w:szCs w:val="32"/>
        </w:rPr>
        <w:t>PUCCH for the HARQ-ACK of the Msg4</w:t>
      </w:r>
    </w:p>
    <w:p w14:paraId="381AAF30" w14:textId="59B5571E" w:rsidR="00F6672E" w:rsidRPr="00F6672E" w:rsidRDefault="00F6672E" w:rsidP="00F6672E">
      <w:r>
        <w:t xml:space="preserve">In RAN1 #113, the following working assumption was </w:t>
      </w:r>
      <w:r w:rsidR="00462567">
        <w:t>agreed</w:t>
      </w:r>
      <w:r w:rsidR="00462567">
        <w:t xml:space="preserve"> </w:t>
      </w:r>
      <w:r>
        <w:t>for the PUCCH repetitions for Msg4 HARQ-ACK:</w:t>
      </w:r>
    </w:p>
    <w:tbl>
      <w:tblPr>
        <w:tblStyle w:val="TableGrid"/>
        <w:tblW w:w="0" w:type="auto"/>
        <w:tblLook w:val="04A0" w:firstRow="1" w:lastRow="0" w:firstColumn="1" w:lastColumn="0" w:noHBand="0" w:noVBand="1"/>
      </w:tblPr>
      <w:tblGrid>
        <w:gridCol w:w="9629"/>
      </w:tblGrid>
      <w:tr w:rsidR="0086262F" w14:paraId="40237F04" w14:textId="77777777" w:rsidTr="0086262F">
        <w:tc>
          <w:tcPr>
            <w:tcW w:w="9629" w:type="dxa"/>
          </w:tcPr>
          <w:p w14:paraId="373106B7" w14:textId="77777777" w:rsidR="0086262F" w:rsidRPr="0086262F" w:rsidRDefault="0086262F" w:rsidP="0086262F">
            <w:pPr>
              <w:spacing w:after="160" w:line="257" w:lineRule="auto"/>
              <w:rPr>
                <w:rFonts w:ascii="Calibri" w:eastAsia="Calibri" w:hAnsi="Calibri" w:cs="Calibri"/>
                <w:sz w:val="22"/>
                <w:szCs w:val="22"/>
                <w:lang w:val="en-US"/>
              </w:rPr>
            </w:pPr>
            <w:r w:rsidRPr="0086262F">
              <w:rPr>
                <w:rFonts w:ascii="Calibri" w:eastAsia="Calibri" w:hAnsi="Calibri" w:cs="Calibri"/>
                <w:b/>
                <w:bCs/>
                <w:sz w:val="22"/>
                <w:szCs w:val="22"/>
                <w:highlight w:val="darkYellow"/>
              </w:rPr>
              <w:t>Working assumption</w:t>
            </w:r>
          </w:p>
          <w:p w14:paraId="6EDB78D0" w14:textId="77777777" w:rsidR="0086262F" w:rsidRPr="0086262F" w:rsidRDefault="0086262F" w:rsidP="0086262F">
            <w:pPr>
              <w:spacing w:after="160" w:line="257" w:lineRule="auto"/>
              <w:rPr>
                <w:rFonts w:ascii="Calibri" w:eastAsia="Calibri" w:hAnsi="Calibri" w:cs="Calibri"/>
                <w:sz w:val="22"/>
                <w:szCs w:val="22"/>
                <w:lang w:val="en-US"/>
              </w:rPr>
            </w:pPr>
            <w:r w:rsidRPr="0086262F">
              <w:rPr>
                <w:rFonts w:ascii="Calibri" w:eastAsia="Calibri" w:hAnsi="Calibri" w:cs="Calibri"/>
                <w:sz w:val="22"/>
                <w:szCs w:val="22"/>
                <w:lang w:val="en-US"/>
              </w:rPr>
              <w:t xml:space="preserve">For PUCCH repetition for Msg4 HARQ-ACK, </w:t>
            </w:r>
          </w:p>
          <w:p w14:paraId="74B6B7B3" w14:textId="77777777" w:rsidR="0086262F" w:rsidRPr="0086262F" w:rsidRDefault="0086262F" w:rsidP="00EC0FB9">
            <w:pPr>
              <w:numPr>
                <w:ilvl w:val="0"/>
                <w:numId w:val="5"/>
              </w:numPr>
              <w:spacing w:after="160" w:line="257" w:lineRule="auto"/>
              <w:rPr>
                <w:rFonts w:ascii="Calibri" w:eastAsia="Calibri" w:hAnsi="Calibri" w:cs="Calibri"/>
                <w:sz w:val="22"/>
                <w:szCs w:val="22"/>
                <w:lang w:val="en-US"/>
              </w:rPr>
            </w:pPr>
            <w:r w:rsidRPr="0086262F">
              <w:rPr>
                <w:rFonts w:ascii="Calibri" w:eastAsia="Calibri" w:hAnsi="Calibri" w:cs="Calibri"/>
                <w:sz w:val="22"/>
                <w:szCs w:val="22"/>
                <w:lang w:val="en-US"/>
              </w:rPr>
              <w:t>Two-state information is transmitted as ‘repetition request or capability report’ in the existing agreements/working assumptions.</w:t>
            </w:r>
          </w:p>
          <w:p w14:paraId="20B23CD9" w14:textId="77777777" w:rsidR="0086262F" w:rsidRPr="0086262F" w:rsidRDefault="0086262F" w:rsidP="00EC0FB9">
            <w:pPr>
              <w:numPr>
                <w:ilvl w:val="1"/>
                <w:numId w:val="5"/>
              </w:numPr>
              <w:spacing w:after="160" w:line="257" w:lineRule="auto"/>
              <w:rPr>
                <w:rFonts w:ascii="Calibri" w:eastAsia="Calibri" w:hAnsi="Calibri" w:cs="Calibri"/>
                <w:sz w:val="22"/>
                <w:szCs w:val="22"/>
                <w:lang w:val="en-US"/>
              </w:rPr>
            </w:pPr>
            <w:r w:rsidRPr="0086262F">
              <w:rPr>
                <w:rFonts w:ascii="Calibri" w:eastAsia="Calibri" w:hAnsi="Calibri" w:cs="Calibri"/>
                <w:sz w:val="22"/>
                <w:szCs w:val="22"/>
                <w:lang w:val="en-US"/>
              </w:rPr>
              <w:t>The two-state information represents state 1: ‘repetition request or capability report’ or state 2: no indication.</w:t>
            </w:r>
          </w:p>
          <w:p w14:paraId="70D51D2E" w14:textId="77777777" w:rsidR="0086262F" w:rsidRPr="0086262F" w:rsidRDefault="0086262F" w:rsidP="00EC0FB9">
            <w:pPr>
              <w:numPr>
                <w:ilvl w:val="1"/>
                <w:numId w:val="5"/>
              </w:numPr>
              <w:spacing w:after="160" w:line="257" w:lineRule="auto"/>
              <w:rPr>
                <w:rFonts w:ascii="Calibri" w:eastAsia="Calibri" w:hAnsi="Calibri" w:cs="Calibri"/>
                <w:sz w:val="22"/>
                <w:szCs w:val="22"/>
                <w:lang w:val="en-US"/>
              </w:rPr>
            </w:pPr>
            <w:r w:rsidRPr="0086262F">
              <w:rPr>
                <w:rFonts w:ascii="Calibri" w:eastAsia="Calibri" w:hAnsi="Calibri" w:cs="Calibri"/>
                <w:sz w:val="22"/>
                <w:szCs w:val="22"/>
                <w:lang w:val="en-US"/>
              </w:rPr>
              <w:t>How to transmit the two-state information is up to RAN2 when higher layer signaling is used for the transmission.</w:t>
            </w:r>
          </w:p>
          <w:p w14:paraId="3ACD716F" w14:textId="77777777" w:rsidR="0086262F" w:rsidRPr="0086262F" w:rsidRDefault="0086262F" w:rsidP="00EC0FB9">
            <w:pPr>
              <w:numPr>
                <w:ilvl w:val="1"/>
                <w:numId w:val="5"/>
              </w:numPr>
              <w:spacing w:after="160" w:line="257" w:lineRule="auto"/>
              <w:rPr>
                <w:rFonts w:ascii="Calibri" w:eastAsia="Calibri" w:hAnsi="Calibri" w:cs="Calibri"/>
                <w:sz w:val="22"/>
                <w:szCs w:val="22"/>
                <w:lang w:val="en-US"/>
              </w:rPr>
            </w:pPr>
            <w:r w:rsidRPr="0086262F">
              <w:rPr>
                <w:rFonts w:ascii="Calibri" w:eastAsia="Calibri" w:hAnsi="Calibri" w:cs="Calibri"/>
                <w:sz w:val="22"/>
                <w:szCs w:val="22"/>
                <w:lang w:val="en-US"/>
              </w:rPr>
              <w:t>In state 1, only either repetition request or capability report is transmitted from each UE when transmitted, and they are not differentiated in the signaling.</w:t>
            </w:r>
          </w:p>
          <w:p w14:paraId="39A9BF7A" w14:textId="18E84398" w:rsidR="0086262F" w:rsidRPr="0086262F" w:rsidRDefault="0086262F" w:rsidP="00EC0FB9">
            <w:pPr>
              <w:numPr>
                <w:ilvl w:val="1"/>
                <w:numId w:val="5"/>
              </w:numPr>
              <w:spacing w:after="160" w:line="257" w:lineRule="auto"/>
              <w:rPr>
                <w:rFonts w:ascii="Calibri" w:eastAsia="Calibri" w:hAnsi="Calibri" w:cs="Calibri"/>
                <w:sz w:val="22"/>
                <w:szCs w:val="22"/>
                <w:lang w:val="en-US"/>
              </w:rPr>
            </w:pPr>
            <w:r w:rsidRPr="0086262F">
              <w:rPr>
                <w:rFonts w:ascii="Calibri" w:eastAsia="Calibri" w:hAnsi="Calibri" w:cs="Calibri"/>
                <w:sz w:val="22"/>
                <w:szCs w:val="22"/>
                <w:lang w:val="en-US"/>
              </w:rPr>
              <w:lastRenderedPageBreak/>
              <w:t>Note: repetition request and capability report are defined as in the working assumption reached at RAN1#112.</w:t>
            </w:r>
          </w:p>
        </w:tc>
      </w:tr>
    </w:tbl>
    <w:p w14:paraId="216B48CB" w14:textId="6AE0A34C" w:rsidR="0086262F" w:rsidRDefault="0086262F" w:rsidP="014CDA43">
      <w:pPr>
        <w:spacing w:after="160" w:line="257" w:lineRule="auto"/>
        <w:rPr>
          <w:rFonts w:ascii="Calibri" w:eastAsia="Calibri" w:hAnsi="Calibri" w:cs="Calibri"/>
          <w:sz w:val="22"/>
          <w:szCs w:val="22"/>
        </w:rPr>
      </w:pPr>
    </w:p>
    <w:p w14:paraId="09782A7D" w14:textId="32CDE470" w:rsidR="0086262F" w:rsidRDefault="00F6672E" w:rsidP="006177EF">
      <w:r>
        <w:t xml:space="preserve">We believe the working assumption should be </w:t>
      </w:r>
      <w:r w:rsidR="00E3007B">
        <w:t xml:space="preserve">confirmed and </w:t>
      </w:r>
      <w:r>
        <w:t xml:space="preserve">agreed with state 1 representing UE capability report only. </w:t>
      </w:r>
      <w:r w:rsidR="00505454">
        <w:t xml:space="preserve">The </w:t>
      </w:r>
      <w:proofErr w:type="spellStart"/>
      <w:r>
        <w:t>gNB</w:t>
      </w:r>
      <w:proofErr w:type="spellEnd"/>
      <w:r>
        <w:t xml:space="preserve"> is not aware of UE capabilities at that stage, so it is natural for </w:t>
      </w:r>
      <w:r w:rsidR="00F25277">
        <w:t>th</w:t>
      </w:r>
      <w:r w:rsidR="00F25277">
        <w:t>is</w:t>
      </w:r>
      <w:r w:rsidR="00F25277">
        <w:t xml:space="preserve"> </w:t>
      </w:r>
      <w:r>
        <w:t>state to represent information on UE capability.</w:t>
      </w:r>
      <w:r w:rsidR="001D6772">
        <w:t xml:space="preserve"> </w:t>
      </w:r>
      <w:r w:rsidR="00612822">
        <w:t xml:space="preserve">It should be noted that that the UE is in no condition to </w:t>
      </w:r>
      <w:r w:rsidR="00780598">
        <w:t>have a proper understanding of the radio conditions that would or would not require repetitions. Th</w:t>
      </w:r>
      <w:r w:rsidR="006C11E2">
        <w:t xml:space="preserve">is assessment would be on the </w:t>
      </w:r>
      <w:proofErr w:type="spellStart"/>
      <w:r w:rsidR="006C11E2">
        <w:t>gNB</w:t>
      </w:r>
      <w:proofErr w:type="spellEnd"/>
      <w:r w:rsidR="006C11E2">
        <w:t xml:space="preserve"> side, where the </w:t>
      </w:r>
      <w:proofErr w:type="spellStart"/>
      <w:r w:rsidR="006C11E2">
        <w:t>gNB</w:t>
      </w:r>
      <w:proofErr w:type="spellEnd"/>
      <w:r w:rsidR="006C11E2">
        <w:t xml:space="preserve"> has the possibility to </w:t>
      </w:r>
      <w:r w:rsidR="00A52498">
        <w:t>evaluate the radio conditions for the uplink transmissions.</w:t>
      </w:r>
    </w:p>
    <w:p w14:paraId="7FC7D7F8" w14:textId="21BF6FAD" w:rsidR="00F618A9" w:rsidRPr="00552769" w:rsidRDefault="00F6672E" w:rsidP="006177EF">
      <w:pPr>
        <w:rPr>
          <w:b/>
        </w:rPr>
      </w:pPr>
      <w:r w:rsidRPr="00F6672E">
        <w:rPr>
          <w:b/>
          <w:bCs/>
        </w:rPr>
        <w:t xml:space="preserve">Proposal </w:t>
      </w:r>
      <w:r w:rsidR="00382073">
        <w:rPr>
          <w:b/>
        </w:rPr>
        <w:t>6</w:t>
      </w:r>
      <w:r w:rsidRPr="00F6672E">
        <w:rPr>
          <w:b/>
          <w:bCs/>
        </w:rPr>
        <w:t>. Agree to working assumption with state 1 representing UE capability report only</w:t>
      </w:r>
      <w:r w:rsidR="00317D3B">
        <w:rPr>
          <w:b/>
          <w:bCs/>
        </w:rPr>
        <w:t>.</w:t>
      </w:r>
    </w:p>
    <w:p w14:paraId="093F4D09" w14:textId="4120453D" w:rsidR="46D97061" w:rsidRDefault="46D97061" w:rsidP="006177EF">
      <w:r w:rsidRPr="014CDA43">
        <w:t xml:space="preserve">In RAN1 #112, the following working assumption was reached </w:t>
      </w:r>
      <w:r w:rsidR="00287851">
        <w:t xml:space="preserve">in </w:t>
      </w:r>
      <w:r w:rsidRPr="014CDA43">
        <w:t xml:space="preserve">the </w:t>
      </w:r>
      <w:r w:rsidR="00287851">
        <w:t xml:space="preserve">context of </w:t>
      </w:r>
      <w:r w:rsidRPr="014CDA43">
        <w:t>UE request of PUCCH repetitions:</w:t>
      </w:r>
    </w:p>
    <w:tbl>
      <w:tblPr>
        <w:tblStyle w:val="TableGrid"/>
        <w:tblW w:w="0" w:type="auto"/>
        <w:tblLook w:val="04A0" w:firstRow="1" w:lastRow="0" w:firstColumn="1" w:lastColumn="0" w:noHBand="0" w:noVBand="1"/>
      </w:tblPr>
      <w:tblGrid>
        <w:gridCol w:w="9629"/>
      </w:tblGrid>
      <w:tr w:rsidR="00F618A9" w14:paraId="0FFB48C9" w14:textId="77777777" w:rsidTr="00F618A9">
        <w:tc>
          <w:tcPr>
            <w:tcW w:w="9629" w:type="dxa"/>
          </w:tcPr>
          <w:p w14:paraId="362400CA" w14:textId="77777777" w:rsidR="00F618A9" w:rsidRDefault="00F618A9" w:rsidP="00F618A9">
            <w:pPr>
              <w:snapToGrid w:val="0"/>
              <w:rPr>
                <w:rFonts w:eastAsia="Batang"/>
                <w:b/>
                <w:szCs w:val="16"/>
                <w:highlight w:val="darkYellow"/>
                <w:lang w:val="en-US" w:eastAsia="zh-CN"/>
              </w:rPr>
            </w:pPr>
            <w:r>
              <w:rPr>
                <w:rFonts w:eastAsia="Batang"/>
                <w:b/>
                <w:szCs w:val="16"/>
                <w:highlight w:val="darkYellow"/>
                <w:lang w:val="en-US" w:eastAsia="zh-CN"/>
              </w:rPr>
              <w:t>Working assumption</w:t>
            </w:r>
          </w:p>
          <w:p w14:paraId="1E3F20F3" w14:textId="77777777" w:rsidR="00F618A9" w:rsidRDefault="00F618A9" w:rsidP="00F618A9">
            <w:pPr>
              <w:snapToGrid w:val="0"/>
              <w:rPr>
                <w:rFonts w:eastAsia="Batang"/>
                <w:szCs w:val="16"/>
                <w:lang w:val="en-US"/>
              </w:rPr>
            </w:pPr>
            <w:r>
              <w:rPr>
                <w:rFonts w:eastAsia="Batang"/>
                <w:szCs w:val="16"/>
                <w:lang w:val="en-US"/>
              </w:rPr>
              <w:t>For PUCCH repetition for Msg4 HARQ-ACK,</w:t>
            </w:r>
          </w:p>
          <w:p w14:paraId="76DFBC67" w14:textId="77777777" w:rsidR="00F618A9" w:rsidRDefault="00F618A9" w:rsidP="00EC0FB9">
            <w:pPr>
              <w:numPr>
                <w:ilvl w:val="0"/>
                <w:numId w:val="6"/>
              </w:numPr>
              <w:overflowPunct/>
              <w:autoSpaceDE/>
              <w:autoSpaceDN/>
              <w:adjustRightInd/>
              <w:snapToGrid w:val="0"/>
              <w:spacing w:after="0"/>
              <w:ind w:left="720"/>
              <w:textAlignment w:val="auto"/>
              <w:rPr>
                <w:rFonts w:eastAsia="Batang"/>
                <w:szCs w:val="16"/>
                <w:lang w:val="en-US"/>
              </w:rPr>
            </w:pPr>
            <w:r>
              <w:rPr>
                <w:rFonts w:eastAsia="Batang"/>
                <w:szCs w:val="16"/>
                <w:lang w:val="en-US"/>
              </w:rPr>
              <w:t>A RSRP threshold can be configured via SIB at least when the number of repetitions is configured by SIB.</w:t>
            </w:r>
          </w:p>
          <w:p w14:paraId="004BA91E" w14:textId="77777777" w:rsidR="00F618A9" w:rsidRDefault="00F618A9" w:rsidP="00EC0FB9">
            <w:pPr>
              <w:numPr>
                <w:ilvl w:val="1"/>
                <w:numId w:val="6"/>
              </w:numPr>
              <w:overflowPunct/>
              <w:autoSpaceDE/>
              <w:autoSpaceDN/>
              <w:adjustRightInd/>
              <w:snapToGrid w:val="0"/>
              <w:spacing w:after="0"/>
              <w:textAlignment w:val="auto"/>
              <w:rPr>
                <w:rFonts w:eastAsia="Batang"/>
                <w:szCs w:val="16"/>
                <w:lang w:val="en-US"/>
              </w:rPr>
            </w:pPr>
            <w:r>
              <w:rPr>
                <w:rFonts w:eastAsia="Batang"/>
                <w:szCs w:val="16"/>
                <w:lang w:val="en-US"/>
              </w:rPr>
              <w:t>If the RSRP threshold is configured and the configured RSRP threshold is smaller than X,</w:t>
            </w:r>
          </w:p>
          <w:p w14:paraId="71A39460" w14:textId="77777777" w:rsidR="00F618A9" w:rsidRDefault="00F618A9" w:rsidP="00EC0FB9">
            <w:pPr>
              <w:numPr>
                <w:ilvl w:val="2"/>
                <w:numId w:val="6"/>
              </w:numPr>
              <w:overflowPunct/>
              <w:autoSpaceDE/>
              <w:autoSpaceDN/>
              <w:adjustRightInd/>
              <w:snapToGrid w:val="0"/>
              <w:spacing w:after="0"/>
              <w:textAlignment w:val="auto"/>
              <w:rPr>
                <w:rFonts w:eastAsia="Batang"/>
                <w:szCs w:val="16"/>
                <w:lang w:val="en-US"/>
              </w:rPr>
            </w:pPr>
            <w:r>
              <w:rPr>
                <w:rFonts w:eastAsia="Batang"/>
                <w:szCs w:val="16"/>
                <w:lang w:val="en-US"/>
              </w:rPr>
              <w:t xml:space="preserve">UE capable of PUCCH repetition for Msg4 HARQ-ACK transmits </w:t>
            </w:r>
            <w:r>
              <w:rPr>
                <w:rFonts w:eastAsia="Batang"/>
                <w:szCs w:val="16"/>
                <w:highlight w:val="yellow"/>
                <w:lang w:val="en-US"/>
              </w:rPr>
              <w:t>repetition request</w:t>
            </w:r>
            <w:r>
              <w:rPr>
                <w:rFonts w:eastAsia="Batang"/>
                <w:szCs w:val="16"/>
                <w:lang w:val="en-US"/>
              </w:rPr>
              <w:t xml:space="preserve"> if measured RSRP is lower than a RSRP threshold.</w:t>
            </w:r>
          </w:p>
          <w:p w14:paraId="2B8014B9" w14:textId="77777777" w:rsidR="00F618A9" w:rsidRDefault="00F618A9" w:rsidP="00EC0FB9">
            <w:pPr>
              <w:numPr>
                <w:ilvl w:val="1"/>
                <w:numId w:val="6"/>
              </w:numPr>
              <w:overflowPunct/>
              <w:autoSpaceDE/>
              <w:autoSpaceDN/>
              <w:adjustRightInd/>
              <w:snapToGrid w:val="0"/>
              <w:spacing w:after="0"/>
              <w:textAlignment w:val="auto"/>
              <w:rPr>
                <w:rFonts w:eastAsia="Batang"/>
                <w:szCs w:val="16"/>
                <w:lang w:val="en-US"/>
              </w:rPr>
            </w:pPr>
            <w:r>
              <w:rPr>
                <w:rFonts w:eastAsia="Batang"/>
                <w:szCs w:val="16"/>
                <w:lang w:val="en-US"/>
              </w:rPr>
              <w:t>If the RSRP threshold is not configured, or if the configured RSRP threshold is X,</w:t>
            </w:r>
          </w:p>
          <w:p w14:paraId="6BA7CA02" w14:textId="77777777" w:rsidR="00F618A9" w:rsidRDefault="00F618A9" w:rsidP="00EC0FB9">
            <w:pPr>
              <w:numPr>
                <w:ilvl w:val="2"/>
                <w:numId w:val="6"/>
              </w:numPr>
              <w:overflowPunct/>
              <w:autoSpaceDE/>
              <w:autoSpaceDN/>
              <w:adjustRightInd/>
              <w:snapToGrid w:val="0"/>
              <w:spacing w:after="0"/>
              <w:textAlignment w:val="auto"/>
              <w:rPr>
                <w:rFonts w:eastAsia="Batang"/>
                <w:szCs w:val="16"/>
                <w:lang w:val="en-US"/>
              </w:rPr>
            </w:pPr>
            <w:r>
              <w:rPr>
                <w:rFonts w:eastAsia="Batang"/>
                <w:szCs w:val="16"/>
                <w:lang w:val="en-US"/>
              </w:rPr>
              <w:t xml:space="preserve">UE capable of PUCCH repetition for Msg4 HARQ-ACK reports </w:t>
            </w:r>
            <w:r>
              <w:rPr>
                <w:rFonts w:eastAsia="Batang"/>
                <w:szCs w:val="16"/>
                <w:highlight w:val="yellow"/>
                <w:lang w:val="en-US"/>
              </w:rPr>
              <w:t>the capability</w:t>
            </w:r>
            <w:r>
              <w:rPr>
                <w:rFonts w:eastAsia="Batang"/>
                <w:szCs w:val="16"/>
                <w:lang w:val="en-US"/>
              </w:rPr>
              <w:t xml:space="preserve"> of PUCCH repetition for Msg4 HARQ-ACK</w:t>
            </w:r>
          </w:p>
          <w:p w14:paraId="1EFD8F89" w14:textId="77777777" w:rsidR="00F618A9" w:rsidRDefault="00F618A9" w:rsidP="00EC0FB9">
            <w:pPr>
              <w:numPr>
                <w:ilvl w:val="1"/>
                <w:numId w:val="6"/>
              </w:numPr>
              <w:overflowPunct/>
              <w:autoSpaceDE/>
              <w:autoSpaceDN/>
              <w:adjustRightInd/>
              <w:snapToGrid w:val="0"/>
              <w:spacing w:after="0"/>
              <w:textAlignment w:val="auto"/>
              <w:rPr>
                <w:rFonts w:eastAsia="Batang"/>
                <w:szCs w:val="16"/>
                <w:lang w:val="en-US"/>
              </w:rPr>
            </w:pPr>
            <w:r>
              <w:rPr>
                <w:rFonts w:eastAsia="Batang"/>
                <w:szCs w:val="16"/>
                <w:lang w:val="en-US"/>
              </w:rPr>
              <w:t>FFS: value of X (the maximum configurable value of the RSRP threshold)</w:t>
            </w:r>
          </w:p>
          <w:p w14:paraId="00784853" w14:textId="77777777" w:rsidR="00F618A9" w:rsidRDefault="00F618A9" w:rsidP="00EC0FB9">
            <w:pPr>
              <w:numPr>
                <w:ilvl w:val="1"/>
                <w:numId w:val="6"/>
              </w:numPr>
              <w:overflowPunct/>
              <w:autoSpaceDE/>
              <w:autoSpaceDN/>
              <w:adjustRightInd/>
              <w:snapToGrid w:val="0"/>
              <w:spacing w:after="0"/>
              <w:textAlignment w:val="auto"/>
              <w:rPr>
                <w:rFonts w:eastAsia="Batang"/>
                <w:szCs w:val="16"/>
                <w:lang w:val="en-US"/>
              </w:rPr>
            </w:pPr>
            <w:proofErr w:type="gramStart"/>
            <w:r>
              <w:rPr>
                <w:rFonts w:eastAsia="Batang"/>
                <w:szCs w:val="16"/>
                <w:lang w:val="en-US"/>
              </w:rPr>
              <w:t>Down-select</w:t>
            </w:r>
            <w:proofErr w:type="gramEnd"/>
            <w:r>
              <w:rPr>
                <w:rFonts w:eastAsia="Batang"/>
                <w:szCs w:val="16"/>
                <w:lang w:val="en-US"/>
              </w:rPr>
              <w:t xml:space="preserve"> one from the following alternatives for the RSRP threshold.</w:t>
            </w:r>
          </w:p>
          <w:p w14:paraId="217B4B8E" w14:textId="77777777" w:rsidR="00F618A9" w:rsidRDefault="00F618A9" w:rsidP="00EC0FB9">
            <w:pPr>
              <w:numPr>
                <w:ilvl w:val="2"/>
                <w:numId w:val="6"/>
              </w:numPr>
              <w:overflowPunct/>
              <w:autoSpaceDE/>
              <w:autoSpaceDN/>
              <w:adjustRightInd/>
              <w:snapToGrid w:val="0"/>
              <w:spacing w:after="0"/>
              <w:textAlignment w:val="auto"/>
              <w:rPr>
                <w:rFonts w:eastAsia="Batang"/>
                <w:szCs w:val="16"/>
                <w:lang w:val="en-US"/>
              </w:rPr>
            </w:pPr>
            <w:r>
              <w:rPr>
                <w:rFonts w:eastAsia="Batang"/>
                <w:szCs w:val="16"/>
                <w:lang w:val="en-US"/>
              </w:rPr>
              <w:t xml:space="preserve">Alt A: The same RSRP threshold as R17 Msg3 repetition (i.e., </w:t>
            </w:r>
            <w:r>
              <w:rPr>
                <w:rFonts w:eastAsia="Batang"/>
                <w:i/>
                <w:iCs/>
                <w:szCs w:val="16"/>
                <w:lang w:val="en-US"/>
              </w:rPr>
              <w:t>rsrp-ThresholdMsg3-r17</w:t>
            </w:r>
            <w:r>
              <w:rPr>
                <w:rFonts w:eastAsia="Batang"/>
                <w:szCs w:val="16"/>
                <w:lang w:val="en-US"/>
              </w:rPr>
              <w:t>) is used.</w:t>
            </w:r>
          </w:p>
          <w:p w14:paraId="120E514B" w14:textId="77777777" w:rsidR="00F618A9" w:rsidRDefault="00F618A9" w:rsidP="00EC0FB9">
            <w:pPr>
              <w:numPr>
                <w:ilvl w:val="2"/>
                <w:numId w:val="6"/>
              </w:numPr>
              <w:overflowPunct/>
              <w:autoSpaceDE/>
              <w:autoSpaceDN/>
              <w:adjustRightInd/>
              <w:snapToGrid w:val="0"/>
              <w:spacing w:after="0"/>
              <w:textAlignment w:val="auto"/>
              <w:rPr>
                <w:rFonts w:eastAsia="Batang"/>
                <w:szCs w:val="16"/>
                <w:lang w:val="en-US"/>
              </w:rPr>
            </w:pPr>
            <w:r>
              <w:rPr>
                <w:rFonts w:eastAsia="Batang"/>
                <w:szCs w:val="16"/>
                <w:lang w:val="en-US"/>
              </w:rPr>
              <w:t>Alt B: New RSRP threshold is introduced.</w:t>
            </w:r>
          </w:p>
          <w:p w14:paraId="6565DDCF" w14:textId="3C74F7E9" w:rsidR="00F618A9" w:rsidRPr="00F618A9" w:rsidRDefault="00F618A9" w:rsidP="00EC0FB9">
            <w:pPr>
              <w:numPr>
                <w:ilvl w:val="0"/>
                <w:numId w:val="6"/>
              </w:numPr>
              <w:overflowPunct/>
              <w:autoSpaceDE/>
              <w:autoSpaceDN/>
              <w:adjustRightInd/>
              <w:snapToGrid w:val="0"/>
              <w:spacing w:after="0"/>
              <w:ind w:left="720"/>
              <w:textAlignment w:val="auto"/>
              <w:rPr>
                <w:rFonts w:eastAsia="Batang"/>
                <w:szCs w:val="16"/>
                <w:lang w:val="en-US"/>
              </w:rPr>
            </w:pPr>
            <w:r>
              <w:rPr>
                <w:rFonts w:eastAsia="Batang"/>
                <w:szCs w:val="16"/>
                <w:lang w:val="en-US"/>
              </w:rPr>
              <w:t>Note: UE incapable of PUCCH repetition for Msg4 HARQ-ACK transmits neither repetition request nor capability report</w:t>
            </w:r>
          </w:p>
        </w:tc>
      </w:tr>
    </w:tbl>
    <w:p w14:paraId="50214A97" w14:textId="77777777" w:rsidR="00F618A9" w:rsidRPr="006177EF" w:rsidRDefault="00F618A9" w:rsidP="006177EF"/>
    <w:p w14:paraId="50372BA1" w14:textId="5454E0C6" w:rsidR="46D97061" w:rsidRPr="006177EF" w:rsidRDefault="46D97061" w:rsidP="006177EF">
      <w:r w:rsidRPr="006177EF">
        <w:rPr>
          <w:rFonts w:eastAsia="Calibri"/>
        </w:rPr>
        <w:t xml:space="preserve">The working assumption targets definition of an RSRP threshold that can be configured by </w:t>
      </w:r>
      <w:proofErr w:type="spellStart"/>
      <w:r w:rsidRPr="006177EF">
        <w:rPr>
          <w:rFonts w:eastAsia="Calibri"/>
        </w:rPr>
        <w:t>gNB</w:t>
      </w:r>
      <w:proofErr w:type="spellEnd"/>
      <w:r w:rsidRPr="006177EF">
        <w:rPr>
          <w:rFonts w:eastAsia="Calibri"/>
        </w:rPr>
        <w:t xml:space="preserve"> for UE to request PUCCH repetitions for the Msg4 HARQ-ACK. In our view, definition of such a threshold is not necessary for the targeted feature, as before the Msg4 HARQ-ACK the </w:t>
      </w:r>
      <w:proofErr w:type="spellStart"/>
      <w:r w:rsidRPr="006177EF">
        <w:rPr>
          <w:rFonts w:eastAsia="Calibri"/>
        </w:rPr>
        <w:t>gNB</w:t>
      </w:r>
      <w:proofErr w:type="spellEnd"/>
      <w:r w:rsidRPr="006177EF">
        <w:rPr>
          <w:rFonts w:eastAsia="Calibri"/>
        </w:rPr>
        <w:t xml:space="preserve"> has already received two UL transmissions from the UE (</w:t>
      </w:r>
      <w:proofErr w:type="gramStart"/>
      <w:r w:rsidRPr="006177EF">
        <w:rPr>
          <w:rFonts w:eastAsia="Calibri"/>
        </w:rPr>
        <w:t>i.e.</w:t>
      </w:r>
      <w:proofErr w:type="gramEnd"/>
      <w:r w:rsidRPr="006177EF">
        <w:rPr>
          <w:rFonts w:eastAsia="Calibri"/>
        </w:rPr>
        <w:t xml:space="preserve"> PRACH and Msg3), from which it can already derive an accurate estimate of the UE UL conditions and assign a proper repetition factor for the subsequent </w:t>
      </w:r>
      <w:proofErr w:type="spellStart"/>
      <w:r w:rsidRPr="006177EF">
        <w:rPr>
          <w:rFonts w:eastAsia="Calibri"/>
        </w:rPr>
        <w:t>Msg</w:t>
      </w:r>
      <w:proofErr w:type="spellEnd"/>
      <w:r w:rsidRPr="006177EF">
        <w:rPr>
          <w:rFonts w:eastAsia="Calibri"/>
        </w:rPr>
        <w:t xml:space="preserve"> 4 HARQ-ACK PUCCH transmission. </w:t>
      </w:r>
      <w:r w:rsidR="003721DE">
        <w:rPr>
          <w:rFonts w:eastAsia="Calibri"/>
        </w:rPr>
        <w:t xml:space="preserve">As stated before, </w:t>
      </w:r>
      <w:r w:rsidR="009E1178">
        <w:rPr>
          <w:rFonts w:eastAsia="Calibri"/>
        </w:rPr>
        <w:t xml:space="preserve">the </w:t>
      </w:r>
      <w:r w:rsidR="00430857">
        <w:rPr>
          <w:rFonts w:eastAsia="Calibri"/>
        </w:rPr>
        <w:t xml:space="preserve">indication from the UE to the </w:t>
      </w:r>
      <w:proofErr w:type="spellStart"/>
      <w:r w:rsidR="00430857">
        <w:rPr>
          <w:rFonts w:eastAsia="Calibri"/>
        </w:rPr>
        <w:t>gNB</w:t>
      </w:r>
      <w:proofErr w:type="spellEnd"/>
      <w:r w:rsidR="00430857">
        <w:rPr>
          <w:rFonts w:eastAsia="Calibri"/>
        </w:rPr>
        <w:t xml:space="preserve"> for such a case would never be considered a “repetition request</w:t>
      </w:r>
      <w:proofErr w:type="gramStart"/>
      <w:r w:rsidR="00430857">
        <w:rPr>
          <w:rFonts w:eastAsia="Calibri"/>
        </w:rPr>
        <w:t>”, but</w:t>
      </w:r>
      <w:proofErr w:type="gramEnd"/>
      <w:r w:rsidR="00430857">
        <w:rPr>
          <w:rFonts w:eastAsia="Calibri"/>
        </w:rPr>
        <w:t xml:space="preserve"> </w:t>
      </w:r>
      <w:r w:rsidR="0042501F">
        <w:rPr>
          <w:rFonts w:eastAsia="Calibri"/>
        </w:rPr>
        <w:t xml:space="preserve">would be indicative of a UE fulfilling a certain </w:t>
      </w:r>
      <w:r w:rsidR="00C109D3">
        <w:rPr>
          <w:rFonts w:eastAsia="Calibri"/>
        </w:rPr>
        <w:t xml:space="preserve">radio propagation condition (meeting a </w:t>
      </w:r>
      <w:r w:rsidR="00A93AC3">
        <w:rPr>
          <w:rFonts w:eastAsia="Calibri"/>
        </w:rPr>
        <w:t>RSRP threshold). For any practical condition, this could only be seen as the UE</w:t>
      </w:r>
      <w:r w:rsidR="00AD66D9">
        <w:rPr>
          <w:rFonts w:eastAsia="Calibri"/>
        </w:rPr>
        <w:t xml:space="preserve"> indicating </w:t>
      </w:r>
      <w:r w:rsidR="00A812EE">
        <w:rPr>
          <w:rFonts w:eastAsia="Calibri"/>
        </w:rPr>
        <w:t xml:space="preserve">that it supports PUCCH repetitions, but this time only </w:t>
      </w:r>
      <w:r w:rsidR="007012B8">
        <w:rPr>
          <w:rFonts w:eastAsia="Calibri"/>
        </w:rPr>
        <w:t xml:space="preserve">while still meeting </w:t>
      </w:r>
      <w:r w:rsidR="00CE3BD9">
        <w:rPr>
          <w:rFonts w:eastAsia="Calibri"/>
        </w:rPr>
        <w:t>a RSRP threshold.</w:t>
      </w:r>
      <w:r w:rsidR="00430857">
        <w:rPr>
          <w:rFonts w:eastAsia="Calibri"/>
        </w:rPr>
        <w:t xml:space="preserve"> </w:t>
      </w:r>
      <w:proofErr w:type="gramStart"/>
      <w:r w:rsidRPr="006177EF">
        <w:rPr>
          <w:rFonts w:eastAsia="Calibri"/>
        </w:rPr>
        <w:t>For</w:t>
      </w:r>
      <w:proofErr w:type="gramEnd"/>
      <w:r w:rsidRPr="006177EF">
        <w:rPr>
          <w:rFonts w:eastAsia="Calibri"/>
        </w:rPr>
        <w:t xml:space="preserve"> this reason, we believe that the working assumption should not be adopted and UE should only indicate its capability via the methods discussed throughout this section.</w:t>
      </w:r>
    </w:p>
    <w:p w14:paraId="05881D05" w14:textId="4401F04A" w:rsidR="014CDA43" w:rsidRPr="006177EF" w:rsidRDefault="46D97061" w:rsidP="006177EF">
      <w:r w:rsidRPr="006177EF">
        <w:rPr>
          <w:rFonts w:eastAsia="Calibri"/>
          <w:b/>
          <w:bCs/>
        </w:rPr>
        <w:t xml:space="preserve">Proposal </w:t>
      </w:r>
      <w:r w:rsidR="00382073">
        <w:rPr>
          <w:rFonts w:eastAsia="Calibri"/>
          <w:b/>
        </w:rPr>
        <w:t>7</w:t>
      </w:r>
      <w:r w:rsidRPr="006177EF">
        <w:rPr>
          <w:rFonts w:eastAsia="Calibri"/>
          <w:b/>
          <w:bCs/>
        </w:rPr>
        <w:t>: Do not confirm the working assumption on RSRP threshold for requesting PUCCH repetitions for the Msg4 HARQ-ACK.</w:t>
      </w:r>
    </w:p>
    <w:p w14:paraId="10445A01" w14:textId="65BF2491" w:rsidR="00885580" w:rsidRDefault="007820D0" w:rsidP="00885580">
      <w:pPr>
        <w:pStyle w:val="Heading1"/>
      </w:pPr>
      <w:r>
        <w:t>Conclusion</w:t>
      </w:r>
    </w:p>
    <w:p w14:paraId="068F7B13" w14:textId="092AE9F1" w:rsidR="004573A7" w:rsidRDefault="009843C7" w:rsidP="001F201D">
      <w:r>
        <w:t xml:space="preserve">In this contribution we have presented our views which are best summarized through </w:t>
      </w:r>
      <w:r w:rsidR="004573A7">
        <w:t xml:space="preserve">an observation and </w:t>
      </w:r>
      <w:proofErr w:type="gramStart"/>
      <w:r w:rsidR="004573A7">
        <w:t>a number of</w:t>
      </w:r>
      <w:proofErr w:type="gramEnd"/>
      <w:r w:rsidR="004573A7">
        <w:t xml:space="preserve"> </w:t>
      </w:r>
      <w:r>
        <w:t>proposals</w:t>
      </w:r>
      <w:r w:rsidR="004573A7">
        <w:t xml:space="preserve"> which are as follows:</w:t>
      </w:r>
    </w:p>
    <w:p w14:paraId="7868C6D6" w14:textId="77777777" w:rsidR="004573A7" w:rsidRPr="004573A7" w:rsidRDefault="004573A7" w:rsidP="004573A7">
      <w:pPr>
        <w:rPr>
          <w:b/>
          <w:bCs/>
          <w:color w:val="000000" w:themeColor="text1"/>
        </w:rPr>
      </w:pPr>
      <w:r w:rsidRPr="004573A7">
        <w:rPr>
          <w:b/>
          <w:bCs/>
          <w:color w:val="000000" w:themeColor="text1"/>
        </w:rPr>
        <w:t xml:space="preserve">Observation 1: By </w:t>
      </w:r>
      <w:proofErr w:type="spellStart"/>
      <w:r w:rsidRPr="004573A7">
        <w:rPr>
          <w:b/>
          <w:bCs/>
          <w:color w:val="000000" w:themeColor="text1"/>
        </w:rPr>
        <w:t>gNB</w:t>
      </w:r>
      <w:proofErr w:type="spellEnd"/>
      <w:r w:rsidRPr="004573A7">
        <w:rPr>
          <w:b/>
          <w:bCs/>
          <w:color w:val="000000" w:themeColor="text1"/>
        </w:rPr>
        <w:t xml:space="preserve"> configuration/indication of the rate or frequency of UE TA update within PUSCH repetitions window (</w:t>
      </w:r>
      <w:proofErr w:type="spellStart"/>
      <w:r w:rsidRPr="004573A7">
        <w:rPr>
          <w:b/>
          <w:bCs/>
          <w:color w:val="000000" w:themeColor="text1"/>
        </w:rPr>
        <w:t>nTDW</w:t>
      </w:r>
      <w:proofErr w:type="spellEnd"/>
      <w:r w:rsidRPr="004573A7">
        <w:rPr>
          <w:b/>
          <w:bCs/>
          <w:color w:val="000000" w:themeColor="text1"/>
        </w:rPr>
        <w:t xml:space="preserve">), both </w:t>
      </w:r>
      <w:proofErr w:type="spellStart"/>
      <w:r w:rsidRPr="004573A7">
        <w:rPr>
          <w:b/>
          <w:bCs/>
          <w:color w:val="000000" w:themeColor="text1"/>
        </w:rPr>
        <w:t>gNB</w:t>
      </w:r>
      <w:proofErr w:type="spellEnd"/>
      <w:r w:rsidRPr="004573A7">
        <w:rPr>
          <w:b/>
          <w:bCs/>
          <w:color w:val="000000" w:themeColor="text1"/>
        </w:rPr>
        <w:t xml:space="preserve"> and NTN UE are aware of the instances that </w:t>
      </w:r>
      <w:proofErr w:type="spellStart"/>
      <w:r w:rsidRPr="004573A7">
        <w:rPr>
          <w:b/>
          <w:bCs/>
          <w:color w:val="000000" w:themeColor="text1"/>
        </w:rPr>
        <w:t>aTDW</w:t>
      </w:r>
      <w:proofErr w:type="spellEnd"/>
      <w:r w:rsidRPr="004573A7">
        <w:rPr>
          <w:b/>
          <w:bCs/>
          <w:color w:val="000000" w:themeColor="text1"/>
        </w:rPr>
        <w:t xml:space="preserve"> may be broken within an </w:t>
      </w:r>
      <w:proofErr w:type="spellStart"/>
      <w:r w:rsidRPr="004573A7">
        <w:rPr>
          <w:b/>
          <w:bCs/>
          <w:color w:val="000000" w:themeColor="text1"/>
        </w:rPr>
        <w:t>nTDW</w:t>
      </w:r>
      <w:proofErr w:type="spellEnd"/>
      <w:r w:rsidRPr="004573A7">
        <w:rPr>
          <w:b/>
          <w:bCs/>
          <w:color w:val="000000" w:themeColor="text1"/>
        </w:rPr>
        <w:t xml:space="preserve">. </w:t>
      </w:r>
    </w:p>
    <w:p w14:paraId="7B8FB4E4" w14:textId="77777777" w:rsidR="004573A7" w:rsidRDefault="004573A7" w:rsidP="001F201D"/>
    <w:p w14:paraId="5937FE08" w14:textId="77777777" w:rsidR="004573A7" w:rsidRDefault="004573A7" w:rsidP="004573A7">
      <w:r>
        <w:rPr>
          <w:b/>
          <w:bCs/>
        </w:rPr>
        <w:t>Proposal 1: RAN1 to down-select option 1a as the solution for the UE capability report.</w:t>
      </w:r>
      <w:r>
        <w:t xml:space="preserve"> </w:t>
      </w:r>
    </w:p>
    <w:p w14:paraId="54196E05" w14:textId="77777777" w:rsidR="004573A7" w:rsidRDefault="004573A7" w:rsidP="004573A7">
      <w:pPr>
        <w:rPr>
          <w:b/>
          <w:bCs/>
        </w:rPr>
      </w:pPr>
      <w:r>
        <w:rPr>
          <w:b/>
          <w:bCs/>
        </w:rPr>
        <w:lastRenderedPageBreak/>
        <w:t>Proposal 2: RAN1 to send an LS to RAN4 regarding the feature related to UE capability FG 30-4 and request that FG 30-4 is tested under the assumption of a moving satellite for the NTN specific scenarios.</w:t>
      </w:r>
    </w:p>
    <w:p w14:paraId="006F6512" w14:textId="77777777" w:rsidR="004573A7" w:rsidRPr="00386965" w:rsidRDefault="004573A7" w:rsidP="004573A7">
      <w:pPr>
        <w:rPr>
          <w:b/>
        </w:rPr>
      </w:pPr>
      <w:r>
        <w:rPr>
          <w:b/>
          <w:bCs/>
        </w:rPr>
        <w:t xml:space="preserve">Proposal 3: RAN1 to down-select option 2a as the solution for the UE assistance information. </w:t>
      </w:r>
      <w:r w:rsidRPr="00386965">
        <w:rPr>
          <w:b/>
          <w:bCs/>
        </w:rPr>
        <w:t xml:space="preserve">          </w:t>
      </w:r>
    </w:p>
    <w:p w14:paraId="69BEB5D4" w14:textId="77777777" w:rsidR="004573A7" w:rsidRPr="006B38F4" w:rsidRDefault="004573A7" w:rsidP="004573A7">
      <w:pPr>
        <w:rPr>
          <w:b/>
          <w:bCs/>
        </w:rPr>
      </w:pPr>
      <w:r>
        <w:rPr>
          <w:b/>
          <w:bCs/>
        </w:rPr>
        <w:t xml:space="preserve">Proposal 4: </w:t>
      </w:r>
      <w:r w:rsidRPr="003559FE">
        <w:rPr>
          <w:b/>
          <w:bCs/>
        </w:rPr>
        <w:t>For NTN-specific PUSCH DMRS bundling, reuse clause 6.1.7 in TS38.214 for nominal TDW determination,</w:t>
      </w:r>
      <w:r>
        <w:rPr>
          <w:b/>
          <w:bCs/>
        </w:rPr>
        <w:t xml:space="preserve"> </w:t>
      </w:r>
      <w:r w:rsidRPr="003559FE">
        <w:rPr>
          <w:b/>
          <w:bCs/>
        </w:rPr>
        <w:t>i.e., if PUSCH-</w:t>
      </w:r>
      <w:proofErr w:type="spellStart"/>
      <w:r w:rsidRPr="003559FE">
        <w:rPr>
          <w:b/>
          <w:bCs/>
        </w:rPr>
        <w:t>TimeDomainWindowLength</w:t>
      </w:r>
      <w:proofErr w:type="spellEnd"/>
      <w:r w:rsidRPr="003559FE">
        <w:rPr>
          <w:b/>
          <w:bCs/>
        </w:rPr>
        <w:t xml:space="preserve"> is configured, nominal TDW is determined by PUSCH-</w:t>
      </w:r>
      <w:proofErr w:type="spellStart"/>
      <w:r w:rsidRPr="003559FE">
        <w:rPr>
          <w:b/>
          <w:bCs/>
        </w:rPr>
        <w:t>TimeDomainWindowLength</w:t>
      </w:r>
      <w:proofErr w:type="spellEnd"/>
      <w:r w:rsidRPr="003559FE">
        <w:rPr>
          <w:b/>
          <w:bCs/>
        </w:rPr>
        <w:t xml:space="preserve">; otherwise, nominal TDW is determined based on UE </w:t>
      </w:r>
      <w:r>
        <w:rPr>
          <w:b/>
          <w:bCs/>
        </w:rPr>
        <w:t xml:space="preserve">FG 30-4 </w:t>
      </w:r>
      <w:r w:rsidRPr="003559FE">
        <w:rPr>
          <w:b/>
          <w:bCs/>
        </w:rPr>
        <w:t xml:space="preserve">capability </w:t>
      </w:r>
      <w:proofErr w:type="spellStart"/>
      <w:r w:rsidRPr="003559FE">
        <w:rPr>
          <w:b/>
          <w:bCs/>
        </w:rPr>
        <w:t>signaling</w:t>
      </w:r>
      <w:proofErr w:type="spellEnd"/>
      <w:r w:rsidRPr="003559FE">
        <w:rPr>
          <w:b/>
          <w:bCs/>
        </w:rPr>
        <w:t>.</w:t>
      </w:r>
    </w:p>
    <w:p w14:paraId="345C1036" w14:textId="77777777" w:rsidR="004573A7" w:rsidRPr="001101E0" w:rsidRDefault="004573A7" w:rsidP="004573A7">
      <w:pPr>
        <w:rPr>
          <w:b/>
          <w:color w:val="000000" w:themeColor="text1"/>
        </w:rPr>
      </w:pPr>
      <w:r w:rsidRPr="007412E0">
        <w:rPr>
          <w:b/>
          <w:bCs/>
        </w:rPr>
        <w:t>Proposal 5: RAN1 to down</w:t>
      </w:r>
      <w:r>
        <w:rPr>
          <w:b/>
          <w:bCs/>
          <w:color w:val="000000" w:themeColor="text1"/>
        </w:rPr>
        <w:t xml:space="preserve">-select Alt B for determination of actual TDW for NTN DMRS bundling. </w:t>
      </w:r>
      <w:r w:rsidRPr="001101E0">
        <w:rPr>
          <w:b/>
          <w:bCs/>
          <w:color w:val="000000" w:themeColor="text1"/>
        </w:rPr>
        <w:t xml:space="preserve"> </w:t>
      </w:r>
    </w:p>
    <w:p w14:paraId="711077D8" w14:textId="77777777" w:rsidR="004573A7" w:rsidRPr="00552769" w:rsidRDefault="004573A7" w:rsidP="004573A7">
      <w:pPr>
        <w:rPr>
          <w:b/>
        </w:rPr>
      </w:pPr>
      <w:r w:rsidRPr="00F6672E">
        <w:rPr>
          <w:b/>
          <w:bCs/>
        </w:rPr>
        <w:t xml:space="preserve">Proposal </w:t>
      </w:r>
      <w:r>
        <w:rPr>
          <w:b/>
        </w:rPr>
        <w:t>6</w:t>
      </w:r>
      <w:r w:rsidRPr="00F6672E">
        <w:rPr>
          <w:b/>
          <w:bCs/>
        </w:rPr>
        <w:t>. Agree to working assumption with state 1 representing UE capability report only</w:t>
      </w:r>
      <w:r>
        <w:rPr>
          <w:b/>
          <w:bCs/>
        </w:rPr>
        <w:t>.</w:t>
      </w:r>
    </w:p>
    <w:p w14:paraId="213A2007" w14:textId="77777777" w:rsidR="004573A7" w:rsidRPr="006177EF" w:rsidRDefault="004573A7" w:rsidP="004573A7">
      <w:r w:rsidRPr="006177EF">
        <w:rPr>
          <w:rFonts w:eastAsia="Calibri"/>
          <w:b/>
          <w:bCs/>
        </w:rPr>
        <w:t xml:space="preserve">Proposal </w:t>
      </w:r>
      <w:r>
        <w:rPr>
          <w:rFonts w:eastAsia="Calibri"/>
          <w:b/>
        </w:rPr>
        <w:t>7</w:t>
      </w:r>
      <w:r w:rsidRPr="006177EF">
        <w:rPr>
          <w:rFonts w:eastAsia="Calibri"/>
          <w:b/>
          <w:bCs/>
        </w:rPr>
        <w:t>: Do not confirm the working assumption on RSRP threshold for requesting PUCCH repetitions for the Msg4 HARQ-ACK.</w:t>
      </w:r>
    </w:p>
    <w:p w14:paraId="384567B8" w14:textId="4FBC42FB" w:rsidR="001337A5" w:rsidRPr="001337A5" w:rsidRDefault="001337A5" w:rsidP="001F201D">
      <w:pPr>
        <w:rPr>
          <w:lang w:val="en-US"/>
        </w:rPr>
      </w:pPr>
    </w:p>
    <w:p w14:paraId="53CD9119" w14:textId="5206E1F5" w:rsidR="00885580" w:rsidRDefault="00885580" w:rsidP="00885580">
      <w:pPr>
        <w:pStyle w:val="Heading1"/>
        <w:numPr>
          <w:ilvl w:val="0"/>
          <w:numId w:val="0"/>
        </w:numPr>
      </w:pPr>
      <w:r>
        <w:t>References</w:t>
      </w:r>
    </w:p>
    <w:p w14:paraId="18CE662A" w14:textId="77777777" w:rsidR="00667252" w:rsidRPr="008746CE" w:rsidRDefault="00667252" w:rsidP="00667252">
      <w:pPr>
        <w:pStyle w:val="ListParagraph"/>
        <w:numPr>
          <w:ilvl w:val="0"/>
          <w:numId w:val="4"/>
        </w:numPr>
        <w:spacing w:after="160" w:line="276" w:lineRule="auto"/>
        <w:rPr>
          <w:sz w:val="20"/>
          <w:szCs w:val="20"/>
          <w:lang w:val="en-US"/>
        </w:rPr>
      </w:pPr>
      <w:bookmarkStart w:id="2" w:name="_Ref61377968"/>
      <w:bookmarkStart w:id="3" w:name="_Ref100147501"/>
      <w:r w:rsidRPr="008746CE">
        <w:rPr>
          <w:sz w:val="20"/>
          <w:szCs w:val="20"/>
          <w:lang w:val="en-US"/>
        </w:rPr>
        <w:t>R</w:t>
      </w:r>
      <w:bookmarkEnd w:id="2"/>
      <w:r w:rsidRPr="008746CE">
        <w:rPr>
          <w:sz w:val="20"/>
          <w:szCs w:val="20"/>
          <w:lang w:val="en-US"/>
        </w:rPr>
        <w:t>P-</w:t>
      </w:r>
      <w:r w:rsidRPr="008746CE">
        <w:rPr>
          <w:sz w:val="20"/>
          <w:szCs w:val="20"/>
        </w:rPr>
        <w:t xml:space="preserve"> </w:t>
      </w:r>
      <w:r w:rsidRPr="008746CE">
        <w:rPr>
          <w:sz w:val="20"/>
          <w:szCs w:val="20"/>
          <w:lang w:val="en-US"/>
        </w:rPr>
        <w:t>213690,</w:t>
      </w:r>
      <w:r w:rsidRPr="008746CE">
        <w:rPr>
          <w:sz w:val="20"/>
          <w:szCs w:val="20"/>
        </w:rPr>
        <w:t xml:space="preserve"> </w:t>
      </w:r>
      <w:r w:rsidRPr="008746CE">
        <w:rPr>
          <w:sz w:val="20"/>
          <w:szCs w:val="20"/>
          <w:lang w:val="en-US"/>
        </w:rPr>
        <w:t>New WI: NR NTN (Non-Terrestrial Networks) enhancements, December 2021.</w:t>
      </w:r>
      <w:bookmarkEnd w:id="3"/>
    </w:p>
    <w:p w14:paraId="5F9E7F94" w14:textId="77777777" w:rsidR="008746CE" w:rsidRPr="008746CE" w:rsidRDefault="008746CE" w:rsidP="008746CE">
      <w:pPr>
        <w:pStyle w:val="ListParagraph"/>
        <w:numPr>
          <w:ilvl w:val="0"/>
          <w:numId w:val="4"/>
        </w:numPr>
        <w:spacing w:after="160" w:line="276" w:lineRule="auto"/>
        <w:rPr>
          <w:sz w:val="20"/>
          <w:szCs w:val="20"/>
          <w:lang w:val="en-US"/>
        </w:rPr>
      </w:pPr>
      <w:bookmarkStart w:id="4" w:name="_Ref115438125"/>
      <w:r w:rsidRPr="008746CE">
        <w:rPr>
          <w:sz w:val="20"/>
          <w:szCs w:val="20"/>
          <w:lang w:val="en-US"/>
        </w:rPr>
        <w:t>RP-222654, Revised WID: NR NTN (Non-Terrestrial Networks) enhancements”, Thales.</w:t>
      </w:r>
      <w:bookmarkEnd w:id="4"/>
      <w:r w:rsidRPr="008746CE">
        <w:rPr>
          <w:sz w:val="20"/>
          <w:szCs w:val="20"/>
          <w:lang w:val="en-US"/>
        </w:rPr>
        <w:t xml:space="preserve"> </w:t>
      </w:r>
    </w:p>
    <w:p w14:paraId="48DC5AD7" w14:textId="77777777" w:rsidR="008746CE" w:rsidRPr="008746CE" w:rsidRDefault="008746CE" w:rsidP="001F74EB">
      <w:pPr>
        <w:pStyle w:val="ListParagraph"/>
        <w:spacing w:after="160" w:line="276" w:lineRule="auto"/>
        <w:ind w:left="360"/>
        <w:rPr>
          <w:sz w:val="20"/>
          <w:szCs w:val="20"/>
          <w:lang w:val="en-US"/>
        </w:rPr>
      </w:pPr>
    </w:p>
    <w:p w14:paraId="093EE10C" w14:textId="77777777" w:rsidR="00205A4B" w:rsidRPr="00205A4B" w:rsidRDefault="00205A4B" w:rsidP="00667252">
      <w:pPr>
        <w:pStyle w:val="ListParagraph"/>
        <w:ind w:left="360"/>
        <w:rPr>
          <w:sz w:val="20"/>
          <w:szCs w:val="20"/>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D5458" w14:textId="77777777" w:rsidR="00A35F8F" w:rsidRDefault="00A35F8F">
      <w:r>
        <w:separator/>
      </w:r>
    </w:p>
  </w:endnote>
  <w:endnote w:type="continuationSeparator" w:id="0">
    <w:p w14:paraId="05B464B6" w14:textId="77777777" w:rsidR="00A35F8F" w:rsidRDefault="00A35F8F">
      <w:r>
        <w:continuationSeparator/>
      </w:r>
    </w:p>
  </w:endnote>
  <w:endnote w:type="continuationNotice" w:id="1">
    <w:p w14:paraId="2EB633A1" w14:textId="77777777" w:rsidR="00A66715" w:rsidRDefault="00A66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25EF0" w14:textId="77777777" w:rsidR="00A35F8F" w:rsidRDefault="00A35F8F">
      <w:r>
        <w:separator/>
      </w:r>
    </w:p>
  </w:footnote>
  <w:footnote w:type="continuationSeparator" w:id="0">
    <w:p w14:paraId="6A53BC64" w14:textId="77777777" w:rsidR="00A35F8F" w:rsidRDefault="00A35F8F">
      <w:r>
        <w:continuationSeparator/>
      </w:r>
    </w:p>
  </w:footnote>
  <w:footnote w:type="continuationNotice" w:id="1">
    <w:p w14:paraId="28B50F54" w14:textId="77777777" w:rsidR="00A66715" w:rsidRDefault="00A66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AE01E3"/>
    <w:multiLevelType w:val="multilevel"/>
    <w:tmpl w:val="589258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585E33"/>
    <w:multiLevelType w:val="hybridMultilevel"/>
    <w:tmpl w:val="061CC200"/>
    <w:lvl w:ilvl="0" w:tplc="F4A4DB02">
      <w:start w:val="1"/>
      <w:numFmt w:val="bullet"/>
      <w:lvlText w:val=""/>
      <w:lvlJc w:val="left"/>
      <w:pPr>
        <w:tabs>
          <w:tab w:val="num" w:pos="720"/>
        </w:tabs>
        <w:ind w:left="720" w:hanging="360"/>
      </w:pPr>
      <w:rPr>
        <w:rFonts w:ascii="Symbol" w:hAnsi="Symbol" w:hint="default"/>
      </w:rPr>
    </w:lvl>
    <w:lvl w:ilvl="1" w:tplc="81F03B3C">
      <w:numFmt w:val="bullet"/>
      <w:lvlText w:val="o"/>
      <w:lvlJc w:val="left"/>
      <w:pPr>
        <w:tabs>
          <w:tab w:val="num" w:pos="1440"/>
        </w:tabs>
        <w:ind w:left="1440" w:hanging="360"/>
      </w:pPr>
      <w:rPr>
        <w:rFonts w:ascii="Courier New" w:hAnsi="Courier New" w:hint="default"/>
      </w:rPr>
    </w:lvl>
    <w:lvl w:ilvl="2" w:tplc="C7AA41D4">
      <w:numFmt w:val="bullet"/>
      <w:lvlText w:val="-"/>
      <w:lvlJc w:val="left"/>
      <w:pPr>
        <w:tabs>
          <w:tab w:val="num" w:pos="2160"/>
        </w:tabs>
        <w:ind w:left="2160" w:hanging="360"/>
      </w:pPr>
      <w:rPr>
        <w:rFonts w:ascii="Times" w:hAnsi="Times" w:hint="default"/>
      </w:rPr>
    </w:lvl>
    <w:lvl w:ilvl="3" w:tplc="C6B6AD34" w:tentative="1">
      <w:start w:val="1"/>
      <w:numFmt w:val="bullet"/>
      <w:lvlText w:val=""/>
      <w:lvlJc w:val="left"/>
      <w:pPr>
        <w:tabs>
          <w:tab w:val="num" w:pos="2880"/>
        </w:tabs>
        <w:ind w:left="2880" w:hanging="360"/>
      </w:pPr>
      <w:rPr>
        <w:rFonts w:ascii="Symbol" w:hAnsi="Symbol" w:hint="default"/>
      </w:rPr>
    </w:lvl>
    <w:lvl w:ilvl="4" w:tplc="31D2C484" w:tentative="1">
      <w:start w:val="1"/>
      <w:numFmt w:val="bullet"/>
      <w:lvlText w:val=""/>
      <w:lvlJc w:val="left"/>
      <w:pPr>
        <w:tabs>
          <w:tab w:val="num" w:pos="3600"/>
        </w:tabs>
        <w:ind w:left="3600" w:hanging="360"/>
      </w:pPr>
      <w:rPr>
        <w:rFonts w:ascii="Symbol" w:hAnsi="Symbol" w:hint="default"/>
      </w:rPr>
    </w:lvl>
    <w:lvl w:ilvl="5" w:tplc="7B32CEC2" w:tentative="1">
      <w:start w:val="1"/>
      <w:numFmt w:val="bullet"/>
      <w:lvlText w:val=""/>
      <w:lvlJc w:val="left"/>
      <w:pPr>
        <w:tabs>
          <w:tab w:val="num" w:pos="4320"/>
        </w:tabs>
        <w:ind w:left="4320" w:hanging="360"/>
      </w:pPr>
      <w:rPr>
        <w:rFonts w:ascii="Symbol" w:hAnsi="Symbol" w:hint="default"/>
      </w:rPr>
    </w:lvl>
    <w:lvl w:ilvl="6" w:tplc="A8C8861A" w:tentative="1">
      <w:start w:val="1"/>
      <w:numFmt w:val="bullet"/>
      <w:lvlText w:val=""/>
      <w:lvlJc w:val="left"/>
      <w:pPr>
        <w:tabs>
          <w:tab w:val="num" w:pos="5040"/>
        </w:tabs>
        <w:ind w:left="5040" w:hanging="360"/>
      </w:pPr>
      <w:rPr>
        <w:rFonts w:ascii="Symbol" w:hAnsi="Symbol" w:hint="default"/>
      </w:rPr>
    </w:lvl>
    <w:lvl w:ilvl="7" w:tplc="1D9C5A56" w:tentative="1">
      <w:start w:val="1"/>
      <w:numFmt w:val="bullet"/>
      <w:lvlText w:val=""/>
      <w:lvlJc w:val="left"/>
      <w:pPr>
        <w:tabs>
          <w:tab w:val="num" w:pos="5760"/>
        </w:tabs>
        <w:ind w:left="5760" w:hanging="360"/>
      </w:pPr>
      <w:rPr>
        <w:rFonts w:ascii="Symbol" w:hAnsi="Symbol" w:hint="default"/>
      </w:rPr>
    </w:lvl>
    <w:lvl w:ilvl="8" w:tplc="EEB092D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5E7E1C"/>
    <w:multiLevelType w:val="hybridMultilevel"/>
    <w:tmpl w:val="A85C51F4"/>
    <w:lvl w:ilvl="0" w:tplc="592C802C">
      <w:start w:val="1"/>
      <w:numFmt w:val="bullet"/>
      <w:lvlText w:val=""/>
      <w:lvlJc w:val="left"/>
      <w:pPr>
        <w:tabs>
          <w:tab w:val="num" w:pos="720"/>
        </w:tabs>
        <w:ind w:left="720" w:hanging="360"/>
      </w:pPr>
      <w:rPr>
        <w:rFonts w:ascii="Symbol" w:hAnsi="Symbol" w:hint="default"/>
      </w:rPr>
    </w:lvl>
    <w:lvl w:ilvl="1" w:tplc="93267B04" w:tentative="1">
      <w:start w:val="1"/>
      <w:numFmt w:val="bullet"/>
      <w:lvlText w:val=""/>
      <w:lvlJc w:val="left"/>
      <w:pPr>
        <w:tabs>
          <w:tab w:val="num" w:pos="1440"/>
        </w:tabs>
        <w:ind w:left="1440" w:hanging="360"/>
      </w:pPr>
      <w:rPr>
        <w:rFonts w:ascii="Symbol" w:hAnsi="Symbol" w:hint="default"/>
      </w:rPr>
    </w:lvl>
    <w:lvl w:ilvl="2" w:tplc="DA601DA8" w:tentative="1">
      <w:start w:val="1"/>
      <w:numFmt w:val="bullet"/>
      <w:lvlText w:val=""/>
      <w:lvlJc w:val="left"/>
      <w:pPr>
        <w:tabs>
          <w:tab w:val="num" w:pos="2160"/>
        </w:tabs>
        <w:ind w:left="2160" w:hanging="360"/>
      </w:pPr>
      <w:rPr>
        <w:rFonts w:ascii="Symbol" w:hAnsi="Symbol" w:hint="default"/>
      </w:rPr>
    </w:lvl>
    <w:lvl w:ilvl="3" w:tplc="FFB0963A" w:tentative="1">
      <w:start w:val="1"/>
      <w:numFmt w:val="bullet"/>
      <w:lvlText w:val=""/>
      <w:lvlJc w:val="left"/>
      <w:pPr>
        <w:tabs>
          <w:tab w:val="num" w:pos="2880"/>
        </w:tabs>
        <w:ind w:left="2880" w:hanging="360"/>
      </w:pPr>
      <w:rPr>
        <w:rFonts w:ascii="Symbol" w:hAnsi="Symbol" w:hint="default"/>
      </w:rPr>
    </w:lvl>
    <w:lvl w:ilvl="4" w:tplc="B992B8DA" w:tentative="1">
      <w:start w:val="1"/>
      <w:numFmt w:val="bullet"/>
      <w:lvlText w:val=""/>
      <w:lvlJc w:val="left"/>
      <w:pPr>
        <w:tabs>
          <w:tab w:val="num" w:pos="3600"/>
        </w:tabs>
        <w:ind w:left="3600" w:hanging="360"/>
      </w:pPr>
      <w:rPr>
        <w:rFonts w:ascii="Symbol" w:hAnsi="Symbol" w:hint="default"/>
      </w:rPr>
    </w:lvl>
    <w:lvl w:ilvl="5" w:tplc="F20E9804" w:tentative="1">
      <w:start w:val="1"/>
      <w:numFmt w:val="bullet"/>
      <w:lvlText w:val=""/>
      <w:lvlJc w:val="left"/>
      <w:pPr>
        <w:tabs>
          <w:tab w:val="num" w:pos="4320"/>
        </w:tabs>
        <w:ind w:left="4320" w:hanging="360"/>
      </w:pPr>
      <w:rPr>
        <w:rFonts w:ascii="Symbol" w:hAnsi="Symbol" w:hint="default"/>
      </w:rPr>
    </w:lvl>
    <w:lvl w:ilvl="6" w:tplc="70EEDC36" w:tentative="1">
      <w:start w:val="1"/>
      <w:numFmt w:val="bullet"/>
      <w:lvlText w:val=""/>
      <w:lvlJc w:val="left"/>
      <w:pPr>
        <w:tabs>
          <w:tab w:val="num" w:pos="5040"/>
        </w:tabs>
        <w:ind w:left="5040" w:hanging="360"/>
      </w:pPr>
      <w:rPr>
        <w:rFonts w:ascii="Symbol" w:hAnsi="Symbol" w:hint="default"/>
      </w:rPr>
    </w:lvl>
    <w:lvl w:ilvl="7" w:tplc="BB124BE4" w:tentative="1">
      <w:start w:val="1"/>
      <w:numFmt w:val="bullet"/>
      <w:lvlText w:val=""/>
      <w:lvlJc w:val="left"/>
      <w:pPr>
        <w:tabs>
          <w:tab w:val="num" w:pos="5760"/>
        </w:tabs>
        <w:ind w:left="5760" w:hanging="360"/>
      </w:pPr>
      <w:rPr>
        <w:rFonts w:ascii="Symbol" w:hAnsi="Symbol" w:hint="default"/>
      </w:rPr>
    </w:lvl>
    <w:lvl w:ilvl="8" w:tplc="C1F4467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C96345"/>
    <w:multiLevelType w:val="hybridMultilevel"/>
    <w:tmpl w:val="345C0564"/>
    <w:lvl w:ilvl="0" w:tplc="31722CB0">
      <w:start w:val="1"/>
      <w:numFmt w:val="bullet"/>
      <w:lvlText w:val=""/>
      <w:lvlJc w:val="left"/>
      <w:pPr>
        <w:tabs>
          <w:tab w:val="num" w:pos="720"/>
        </w:tabs>
        <w:ind w:left="720" w:hanging="360"/>
      </w:pPr>
      <w:rPr>
        <w:rFonts w:ascii="Symbol" w:hAnsi="Symbol" w:hint="default"/>
      </w:rPr>
    </w:lvl>
    <w:lvl w:ilvl="1" w:tplc="E2543376">
      <w:numFmt w:val="bullet"/>
      <w:lvlText w:val="o"/>
      <w:lvlJc w:val="left"/>
      <w:pPr>
        <w:tabs>
          <w:tab w:val="num" w:pos="1440"/>
        </w:tabs>
        <w:ind w:left="1440" w:hanging="360"/>
      </w:pPr>
      <w:rPr>
        <w:rFonts w:ascii="Courier New" w:hAnsi="Courier New" w:hint="default"/>
      </w:rPr>
    </w:lvl>
    <w:lvl w:ilvl="2" w:tplc="7BB8BA98">
      <w:numFmt w:val="bullet"/>
      <w:lvlText w:val="-"/>
      <w:lvlJc w:val="left"/>
      <w:pPr>
        <w:tabs>
          <w:tab w:val="num" w:pos="2160"/>
        </w:tabs>
        <w:ind w:left="2160" w:hanging="360"/>
      </w:pPr>
      <w:rPr>
        <w:rFonts w:ascii="Times" w:hAnsi="Times" w:hint="default"/>
      </w:rPr>
    </w:lvl>
    <w:lvl w:ilvl="3" w:tplc="02EEA7B0" w:tentative="1">
      <w:start w:val="1"/>
      <w:numFmt w:val="bullet"/>
      <w:lvlText w:val=""/>
      <w:lvlJc w:val="left"/>
      <w:pPr>
        <w:tabs>
          <w:tab w:val="num" w:pos="2880"/>
        </w:tabs>
        <w:ind w:left="2880" w:hanging="360"/>
      </w:pPr>
      <w:rPr>
        <w:rFonts w:ascii="Symbol" w:hAnsi="Symbol" w:hint="default"/>
      </w:rPr>
    </w:lvl>
    <w:lvl w:ilvl="4" w:tplc="7D8E2FE6" w:tentative="1">
      <w:start w:val="1"/>
      <w:numFmt w:val="bullet"/>
      <w:lvlText w:val=""/>
      <w:lvlJc w:val="left"/>
      <w:pPr>
        <w:tabs>
          <w:tab w:val="num" w:pos="3600"/>
        </w:tabs>
        <w:ind w:left="3600" w:hanging="360"/>
      </w:pPr>
      <w:rPr>
        <w:rFonts w:ascii="Symbol" w:hAnsi="Symbol" w:hint="default"/>
      </w:rPr>
    </w:lvl>
    <w:lvl w:ilvl="5" w:tplc="099C0F24" w:tentative="1">
      <w:start w:val="1"/>
      <w:numFmt w:val="bullet"/>
      <w:lvlText w:val=""/>
      <w:lvlJc w:val="left"/>
      <w:pPr>
        <w:tabs>
          <w:tab w:val="num" w:pos="4320"/>
        </w:tabs>
        <w:ind w:left="4320" w:hanging="360"/>
      </w:pPr>
      <w:rPr>
        <w:rFonts w:ascii="Symbol" w:hAnsi="Symbol" w:hint="default"/>
      </w:rPr>
    </w:lvl>
    <w:lvl w:ilvl="6" w:tplc="46CC699C" w:tentative="1">
      <w:start w:val="1"/>
      <w:numFmt w:val="bullet"/>
      <w:lvlText w:val=""/>
      <w:lvlJc w:val="left"/>
      <w:pPr>
        <w:tabs>
          <w:tab w:val="num" w:pos="5040"/>
        </w:tabs>
        <w:ind w:left="5040" w:hanging="360"/>
      </w:pPr>
      <w:rPr>
        <w:rFonts w:ascii="Symbol" w:hAnsi="Symbol" w:hint="default"/>
      </w:rPr>
    </w:lvl>
    <w:lvl w:ilvl="7" w:tplc="E576A406" w:tentative="1">
      <w:start w:val="1"/>
      <w:numFmt w:val="bullet"/>
      <w:lvlText w:val=""/>
      <w:lvlJc w:val="left"/>
      <w:pPr>
        <w:tabs>
          <w:tab w:val="num" w:pos="5760"/>
        </w:tabs>
        <w:ind w:left="5760" w:hanging="360"/>
      </w:pPr>
      <w:rPr>
        <w:rFonts w:ascii="Symbol" w:hAnsi="Symbol" w:hint="default"/>
      </w:rPr>
    </w:lvl>
    <w:lvl w:ilvl="8" w:tplc="2D6CD37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3F3A02"/>
    <w:multiLevelType w:val="hybridMultilevel"/>
    <w:tmpl w:val="1C48724C"/>
    <w:lvl w:ilvl="0" w:tplc="3764690E">
      <w:start w:val="1"/>
      <w:numFmt w:val="bullet"/>
      <w:lvlText w:val=""/>
      <w:lvlJc w:val="left"/>
      <w:pPr>
        <w:tabs>
          <w:tab w:val="num" w:pos="720"/>
        </w:tabs>
        <w:ind w:left="720" w:hanging="360"/>
      </w:pPr>
      <w:rPr>
        <w:rFonts w:ascii="Symbol" w:hAnsi="Symbol" w:hint="default"/>
      </w:rPr>
    </w:lvl>
    <w:lvl w:ilvl="1" w:tplc="B284F7CA">
      <w:numFmt w:val="bullet"/>
      <w:lvlText w:val="o"/>
      <w:lvlJc w:val="left"/>
      <w:pPr>
        <w:tabs>
          <w:tab w:val="num" w:pos="1440"/>
        </w:tabs>
        <w:ind w:left="1440" w:hanging="360"/>
      </w:pPr>
      <w:rPr>
        <w:rFonts w:ascii="Courier New" w:hAnsi="Courier New" w:hint="default"/>
      </w:rPr>
    </w:lvl>
    <w:lvl w:ilvl="2" w:tplc="AF9430D4" w:tentative="1">
      <w:start w:val="1"/>
      <w:numFmt w:val="bullet"/>
      <w:lvlText w:val=""/>
      <w:lvlJc w:val="left"/>
      <w:pPr>
        <w:tabs>
          <w:tab w:val="num" w:pos="2160"/>
        </w:tabs>
        <w:ind w:left="2160" w:hanging="360"/>
      </w:pPr>
      <w:rPr>
        <w:rFonts w:ascii="Symbol" w:hAnsi="Symbol" w:hint="default"/>
      </w:rPr>
    </w:lvl>
    <w:lvl w:ilvl="3" w:tplc="AEC412CA" w:tentative="1">
      <w:start w:val="1"/>
      <w:numFmt w:val="bullet"/>
      <w:lvlText w:val=""/>
      <w:lvlJc w:val="left"/>
      <w:pPr>
        <w:tabs>
          <w:tab w:val="num" w:pos="2880"/>
        </w:tabs>
        <w:ind w:left="2880" w:hanging="360"/>
      </w:pPr>
      <w:rPr>
        <w:rFonts w:ascii="Symbol" w:hAnsi="Symbol" w:hint="default"/>
      </w:rPr>
    </w:lvl>
    <w:lvl w:ilvl="4" w:tplc="179E4600" w:tentative="1">
      <w:start w:val="1"/>
      <w:numFmt w:val="bullet"/>
      <w:lvlText w:val=""/>
      <w:lvlJc w:val="left"/>
      <w:pPr>
        <w:tabs>
          <w:tab w:val="num" w:pos="3600"/>
        </w:tabs>
        <w:ind w:left="3600" w:hanging="360"/>
      </w:pPr>
      <w:rPr>
        <w:rFonts w:ascii="Symbol" w:hAnsi="Symbol" w:hint="default"/>
      </w:rPr>
    </w:lvl>
    <w:lvl w:ilvl="5" w:tplc="E03C1E56" w:tentative="1">
      <w:start w:val="1"/>
      <w:numFmt w:val="bullet"/>
      <w:lvlText w:val=""/>
      <w:lvlJc w:val="left"/>
      <w:pPr>
        <w:tabs>
          <w:tab w:val="num" w:pos="4320"/>
        </w:tabs>
        <w:ind w:left="4320" w:hanging="360"/>
      </w:pPr>
      <w:rPr>
        <w:rFonts w:ascii="Symbol" w:hAnsi="Symbol" w:hint="default"/>
      </w:rPr>
    </w:lvl>
    <w:lvl w:ilvl="6" w:tplc="3042E070" w:tentative="1">
      <w:start w:val="1"/>
      <w:numFmt w:val="bullet"/>
      <w:lvlText w:val=""/>
      <w:lvlJc w:val="left"/>
      <w:pPr>
        <w:tabs>
          <w:tab w:val="num" w:pos="5040"/>
        </w:tabs>
        <w:ind w:left="5040" w:hanging="360"/>
      </w:pPr>
      <w:rPr>
        <w:rFonts w:ascii="Symbol" w:hAnsi="Symbol" w:hint="default"/>
      </w:rPr>
    </w:lvl>
    <w:lvl w:ilvl="7" w:tplc="A8B244C0" w:tentative="1">
      <w:start w:val="1"/>
      <w:numFmt w:val="bullet"/>
      <w:lvlText w:val=""/>
      <w:lvlJc w:val="left"/>
      <w:pPr>
        <w:tabs>
          <w:tab w:val="num" w:pos="5760"/>
        </w:tabs>
        <w:ind w:left="5760" w:hanging="360"/>
      </w:pPr>
      <w:rPr>
        <w:rFonts w:ascii="Symbol" w:hAnsi="Symbol" w:hint="default"/>
      </w:rPr>
    </w:lvl>
    <w:lvl w:ilvl="8" w:tplc="09DA5258" w:tentative="1">
      <w:start w:val="1"/>
      <w:numFmt w:val="bullet"/>
      <w:lvlText w:val=""/>
      <w:lvlJc w:val="left"/>
      <w:pPr>
        <w:tabs>
          <w:tab w:val="num" w:pos="6480"/>
        </w:tabs>
        <w:ind w:left="6480" w:hanging="360"/>
      </w:pPr>
      <w:rPr>
        <w:rFonts w:ascii="Symbol" w:hAnsi="Symbol" w:hint="default"/>
      </w:rPr>
    </w:lvl>
  </w:abstractNum>
  <w:num w:numId="1" w16cid:durableId="1911961443">
    <w:abstractNumId w:val="7"/>
  </w:num>
  <w:num w:numId="2" w16cid:durableId="357124585">
    <w:abstractNumId w:val="11"/>
  </w:num>
  <w:num w:numId="3" w16cid:durableId="1559780918">
    <w:abstractNumId w:val="0"/>
  </w:num>
  <w:num w:numId="4" w16cid:durableId="1644850337">
    <w:abstractNumId w:val="3"/>
  </w:num>
  <w:num w:numId="5" w16cid:durableId="1963882500">
    <w:abstractNumId w:val="13"/>
  </w:num>
  <w:num w:numId="6" w16cid:durableId="583029594">
    <w:abstractNumId w:val="1"/>
  </w:num>
  <w:num w:numId="7" w16cid:durableId="1880429633">
    <w:abstractNumId w:val="6"/>
  </w:num>
  <w:num w:numId="8" w16cid:durableId="1561360544">
    <w:abstractNumId w:val="9"/>
  </w:num>
  <w:num w:numId="9" w16cid:durableId="120196637">
    <w:abstractNumId w:val="8"/>
  </w:num>
  <w:num w:numId="10" w16cid:durableId="462575649">
    <w:abstractNumId w:val="4"/>
  </w:num>
  <w:num w:numId="11" w16cid:durableId="1130900397">
    <w:abstractNumId w:val="2"/>
  </w:num>
  <w:num w:numId="12" w16cid:durableId="1221474577">
    <w:abstractNumId w:val="5"/>
  </w:num>
  <w:num w:numId="13" w16cid:durableId="2065711723">
    <w:abstractNumId w:val="10"/>
  </w:num>
  <w:num w:numId="14" w16cid:durableId="88934156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C96"/>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6FA"/>
    <w:rsid w:val="00026C65"/>
    <w:rsid w:val="00027755"/>
    <w:rsid w:val="00027864"/>
    <w:rsid w:val="0002789E"/>
    <w:rsid w:val="00030048"/>
    <w:rsid w:val="0003072D"/>
    <w:rsid w:val="000314CD"/>
    <w:rsid w:val="0003332B"/>
    <w:rsid w:val="00033544"/>
    <w:rsid w:val="0003479E"/>
    <w:rsid w:val="000351BB"/>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C08"/>
    <w:rsid w:val="00074728"/>
    <w:rsid w:val="00075965"/>
    <w:rsid w:val="00075FDA"/>
    <w:rsid w:val="00076386"/>
    <w:rsid w:val="00076D82"/>
    <w:rsid w:val="00081EC2"/>
    <w:rsid w:val="00082154"/>
    <w:rsid w:val="00083800"/>
    <w:rsid w:val="00084A65"/>
    <w:rsid w:val="0008559A"/>
    <w:rsid w:val="000902C2"/>
    <w:rsid w:val="00091A92"/>
    <w:rsid w:val="00093C49"/>
    <w:rsid w:val="00095A80"/>
    <w:rsid w:val="00096E9B"/>
    <w:rsid w:val="000973E1"/>
    <w:rsid w:val="000A1402"/>
    <w:rsid w:val="000A20BA"/>
    <w:rsid w:val="000A262C"/>
    <w:rsid w:val="000A3C8D"/>
    <w:rsid w:val="000A3DFE"/>
    <w:rsid w:val="000A40EC"/>
    <w:rsid w:val="000A4E43"/>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4B71"/>
    <w:rsid w:val="000B50C3"/>
    <w:rsid w:val="000B5AC9"/>
    <w:rsid w:val="000B5F0A"/>
    <w:rsid w:val="000B6D65"/>
    <w:rsid w:val="000B743C"/>
    <w:rsid w:val="000C1D59"/>
    <w:rsid w:val="000C2B09"/>
    <w:rsid w:val="000C30CF"/>
    <w:rsid w:val="000C501D"/>
    <w:rsid w:val="000C5B5B"/>
    <w:rsid w:val="000C5CBA"/>
    <w:rsid w:val="000C665F"/>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1D9"/>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12E"/>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1E0"/>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2B8"/>
    <w:rsid w:val="00137AB9"/>
    <w:rsid w:val="00137D78"/>
    <w:rsid w:val="0014060C"/>
    <w:rsid w:val="001409A0"/>
    <w:rsid w:val="00141E40"/>
    <w:rsid w:val="00141F08"/>
    <w:rsid w:val="00141FF2"/>
    <w:rsid w:val="001422A8"/>
    <w:rsid w:val="0014287A"/>
    <w:rsid w:val="00142DE2"/>
    <w:rsid w:val="00144C87"/>
    <w:rsid w:val="001467B1"/>
    <w:rsid w:val="00150175"/>
    <w:rsid w:val="001502C8"/>
    <w:rsid w:val="00151011"/>
    <w:rsid w:val="00151224"/>
    <w:rsid w:val="0015130F"/>
    <w:rsid w:val="00152C68"/>
    <w:rsid w:val="001532BA"/>
    <w:rsid w:val="00153FED"/>
    <w:rsid w:val="001543BF"/>
    <w:rsid w:val="00155BFD"/>
    <w:rsid w:val="001561DE"/>
    <w:rsid w:val="00156ABA"/>
    <w:rsid w:val="00157390"/>
    <w:rsid w:val="00157802"/>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6ED9"/>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1BC"/>
    <w:rsid w:val="001A02F6"/>
    <w:rsid w:val="001A15C6"/>
    <w:rsid w:val="001A3FF1"/>
    <w:rsid w:val="001A5510"/>
    <w:rsid w:val="001A5C7B"/>
    <w:rsid w:val="001A5E19"/>
    <w:rsid w:val="001A63D8"/>
    <w:rsid w:val="001A6450"/>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6772"/>
    <w:rsid w:val="001D753C"/>
    <w:rsid w:val="001D7BE0"/>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4EB"/>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AA8"/>
    <w:rsid w:val="00224A2C"/>
    <w:rsid w:val="00224D49"/>
    <w:rsid w:val="00225217"/>
    <w:rsid w:val="002256D9"/>
    <w:rsid w:val="00226577"/>
    <w:rsid w:val="0022687C"/>
    <w:rsid w:val="002306F8"/>
    <w:rsid w:val="002312F4"/>
    <w:rsid w:val="002313A2"/>
    <w:rsid w:val="00231E83"/>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EF7"/>
    <w:rsid w:val="00241311"/>
    <w:rsid w:val="002418E8"/>
    <w:rsid w:val="0024276D"/>
    <w:rsid w:val="00242E22"/>
    <w:rsid w:val="0024336B"/>
    <w:rsid w:val="00244194"/>
    <w:rsid w:val="0024424F"/>
    <w:rsid w:val="00244D28"/>
    <w:rsid w:val="00245689"/>
    <w:rsid w:val="00245720"/>
    <w:rsid w:val="00245A6F"/>
    <w:rsid w:val="00245FD5"/>
    <w:rsid w:val="00246F8A"/>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2D6"/>
    <w:rsid w:val="002667A8"/>
    <w:rsid w:val="00267587"/>
    <w:rsid w:val="002675C8"/>
    <w:rsid w:val="00267760"/>
    <w:rsid w:val="00271589"/>
    <w:rsid w:val="00273177"/>
    <w:rsid w:val="0027455B"/>
    <w:rsid w:val="00275074"/>
    <w:rsid w:val="00276236"/>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87851"/>
    <w:rsid w:val="0029136E"/>
    <w:rsid w:val="00291B77"/>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275"/>
    <w:rsid w:val="002C1EEA"/>
    <w:rsid w:val="002C47AD"/>
    <w:rsid w:val="002C5510"/>
    <w:rsid w:val="002C6034"/>
    <w:rsid w:val="002C635B"/>
    <w:rsid w:val="002C7276"/>
    <w:rsid w:val="002C770F"/>
    <w:rsid w:val="002C7CFF"/>
    <w:rsid w:val="002D0BC6"/>
    <w:rsid w:val="002D12DB"/>
    <w:rsid w:val="002D17C5"/>
    <w:rsid w:val="002D365F"/>
    <w:rsid w:val="002D3EB7"/>
    <w:rsid w:val="002D51DF"/>
    <w:rsid w:val="002D64A7"/>
    <w:rsid w:val="002D6892"/>
    <w:rsid w:val="002D68C2"/>
    <w:rsid w:val="002D7C86"/>
    <w:rsid w:val="002E0692"/>
    <w:rsid w:val="002E152D"/>
    <w:rsid w:val="002E1D74"/>
    <w:rsid w:val="002E2943"/>
    <w:rsid w:val="002E2CF1"/>
    <w:rsid w:val="002E34AF"/>
    <w:rsid w:val="002E4AAC"/>
    <w:rsid w:val="002E5148"/>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5E00"/>
    <w:rsid w:val="003175E1"/>
    <w:rsid w:val="00317D3B"/>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023"/>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59FE"/>
    <w:rsid w:val="00356275"/>
    <w:rsid w:val="00356C0B"/>
    <w:rsid w:val="00357B9C"/>
    <w:rsid w:val="00357C48"/>
    <w:rsid w:val="00361412"/>
    <w:rsid w:val="003615CA"/>
    <w:rsid w:val="00362F2F"/>
    <w:rsid w:val="00363849"/>
    <w:rsid w:val="00363B2C"/>
    <w:rsid w:val="003642A6"/>
    <w:rsid w:val="00364763"/>
    <w:rsid w:val="00365C3D"/>
    <w:rsid w:val="00366C1B"/>
    <w:rsid w:val="00366FB5"/>
    <w:rsid w:val="00367337"/>
    <w:rsid w:val="00367367"/>
    <w:rsid w:val="00367FD8"/>
    <w:rsid w:val="0037004E"/>
    <w:rsid w:val="00370B63"/>
    <w:rsid w:val="00370FCC"/>
    <w:rsid w:val="003711AF"/>
    <w:rsid w:val="00371B7F"/>
    <w:rsid w:val="003721DE"/>
    <w:rsid w:val="003735C6"/>
    <w:rsid w:val="00374848"/>
    <w:rsid w:val="003757A1"/>
    <w:rsid w:val="00375D09"/>
    <w:rsid w:val="003762DC"/>
    <w:rsid w:val="0037739D"/>
    <w:rsid w:val="0037751C"/>
    <w:rsid w:val="00377D61"/>
    <w:rsid w:val="00380B66"/>
    <w:rsid w:val="00380F3F"/>
    <w:rsid w:val="00381953"/>
    <w:rsid w:val="00382073"/>
    <w:rsid w:val="00382232"/>
    <w:rsid w:val="00382F1A"/>
    <w:rsid w:val="00382F9A"/>
    <w:rsid w:val="00383282"/>
    <w:rsid w:val="00383422"/>
    <w:rsid w:val="00383658"/>
    <w:rsid w:val="0038412E"/>
    <w:rsid w:val="00386053"/>
    <w:rsid w:val="00386965"/>
    <w:rsid w:val="00387459"/>
    <w:rsid w:val="0038771D"/>
    <w:rsid w:val="00390935"/>
    <w:rsid w:val="0039241F"/>
    <w:rsid w:val="00392491"/>
    <w:rsid w:val="003935B0"/>
    <w:rsid w:val="00393E44"/>
    <w:rsid w:val="00394301"/>
    <w:rsid w:val="0039747B"/>
    <w:rsid w:val="00397AB6"/>
    <w:rsid w:val="00397ACA"/>
    <w:rsid w:val="003A10C3"/>
    <w:rsid w:val="003A458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0EB"/>
    <w:rsid w:val="003B1C12"/>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0DF5"/>
    <w:rsid w:val="003D132A"/>
    <w:rsid w:val="003D1517"/>
    <w:rsid w:val="003D1D50"/>
    <w:rsid w:val="003D232D"/>
    <w:rsid w:val="003D286B"/>
    <w:rsid w:val="003D2938"/>
    <w:rsid w:val="003D3FBA"/>
    <w:rsid w:val="003D402B"/>
    <w:rsid w:val="003D54B0"/>
    <w:rsid w:val="003D59D5"/>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5E8F"/>
    <w:rsid w:val="003F6E12"/>
    <w:rsid w:val="003F6F8B"/>
    <w:rsid w:val="003F75ED"/>
    <w:rsid w:val="004002B7"/>
    <w:rsid w:val="00400F31"/>
    <w:rsid w:val="00401C9C"/>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01F"/>
    <w:rsid w:val="00425D2C"/>
    <w:rsid w:val="00426A87"/>
    <w:rsid w:val="00427007"/>
    <w:rsid w:val="004271BF"/>
    <w:rsid w:val="0043085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573A7"/>
    <w:rsid w:val="0046047A"/>
    <w:rsid w:val="00461210"/>
    <w:rsid w:val="00461700"/>
    <w:rsid w:val="00461AAC"/>
    <w:rsid w:val="00462490"/>
    <w:rsid w:val="00462567"/>
    <w:rsid w:val="00462AC9"/>
    <w:rsid w:val="00463DC3"/>
    <w:rsid w:val="00465299"/>
    <w:rsid w:val="00466586"/>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258"/>
    <w:rsid w:val="004A014C"/>
    <w:rsid w:val="004A0AA8"/>
    <w:rsid w:val="004A1FE4"/>
    <w:rsid w:val="004A2103"/>
    <w:rsid w:val="004A2CA9"/>
    <w:rsid w:val="004A33EF"/>
    <w:rsid w:val="004A34C9"/>
    <w:rsid w:val="004A3CB5"/>
    <w:rsid w:val="004A537D"/>
    <w:rsid w:val="004A67F0"/>
    <w:rsid w:val="004A6DDB"/>
    <w:rsid w:val="004A71C3"/>
    <w:rsid w:val="004A7769"/>
    <w:rsid w:val="004A77B1"/>
    <w:rsid w:val="004B2329"/>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2BE"/>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642"/>
    <w:rsid w:val="00500572"/>
    <w:rsid w:val="00500573"/>
    <w:rsid w:val="00500701"/>
    <w:rsid w:val="00501304"/>
    <w:rsid w:val="00501425"/>
    <w:rsid w:val="00502CCE"/>
    <w:rsid w:val="0050318B"/>
    <w:rsid w:val="00503CF2"/>
    <w:rsid w:val="00504311"/>
    <w:rsid w:val="0050485C"/>
    <w:rsid w:val="00504AC6"/>
    <w:rsid w:val="00504D75"/>
    <w:rsid w:val="00505454"/>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687"/>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AD7"/>
    <w:rsid w:val="00536698"/>
    <w:rsid w:val="005375FE"/>
    <w:rsid w:val="00540BFC"/>
    <w:rsid w:val="0054195A"/>
    <w:rsid w:val="005420DE"/>
    <w:rsid w:val="00542249"/>
    <w:rsid w:val="00542FAA"/>
    <w:rsid w:val="005431F5"/>
    <w:rsid w:val="00543529"/>
    <w:rsid w:val="00543707"/>
    <w:rsid w:val="005439D2"/>
    <w:rsid w:val="00543EBB"/>
    <w:rsid w:val="00544213"/>
    <w:rsid w:val="0054486D"/>
    <w:rsid w:val="005453F3"/>
    <w:rsid w:val="00545549"/>
    <w:rsid w:val="005469F5"/>
    <w:rsid w:val="00546F36"/>
    <w:rsid w:val="005518ED"/>
    <w:rsid w:val="00552093"/>
    <w:rsid w:val="00552769"/>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4E9D"/>
    <w:rsid w:val="005650ED"/>
    <w:rsid w:val="00565869"/>
    <w:rsid w:val="00567415"/>
    <w:rsid w:val="00567610"/>
    <w:rsid w:val="00570C7A"/>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6FD"/>
    <w:rsid w:val="00584320"/>
    <w:rsid w:val="00584CB8"/>
    <w:rsid w:val="00585484"/>
    <w:rsid w:val="00587229"/>
    <w:rsid w:val="00587503"/>
    <w:rsid w:val="00587F7F"/>
    <w:rsid w:val="00590E8D"/>
    <w:rsid w:val="00591511"/>
    <w:rsid w:val="00591E50"/>
    <w:rsid w:val="00592CDA"/>
    <w:rsid w:val="0059331A"/>
    <w:rsid w:val="00593A72"/>
    <w:rsid w:val="005954A5"/>
    <w:rsid w:val="005954FB"/>
    <w:rsid w:val="005955F2"/>
    <w:rsid w:val="00595A8C"/>
    <w:rsid w:val="00595C2C"/>
    <w:rsid w:val="00596BBA"/>
    <w:rsid w:val="00597386"/>
    <w:rsid w:val="005975C4"/>
    <w:rsid w:val="00597ED8"/>
    <w:rsid w:val="005A17AE"/>
    <w:rsid w:val="005A2AFF"/>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4B6"/>
    <w:rsid w:val="005F28C6"/>
    <w:rsid w:val="005F334A"/>
    <w:rsid w:val="005F3F16"/>
    <w:rsid w:val="005F52CC"/>
    <w:rsid w:val="005F5E6F"/>
    <w:rsid w:val="005F6510"/>
    <w:rsid w:val="005F681C"/>
    <w:rsid w:val="005F6BD4"/>
    <w:rsid w:val="005F7188"/>
    <w:rsid w:val="005F78D4"/>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822"/>
    <w:rsid w:val="00613EA5"/>
    <w:rsid w:val="00614CD1"/>
    <w:rsid w:val="00614EA1"/>
    <w:rsid w:val="006151F2"/>
    <w:rsid w:val="0061567B"/>
    <w:rsid w:val="00615AC8"/>
    <w:rsid w:val="006177EF"/>
    <w:rsid w:val="0062152A"/>
    <w:rsid w:val="00621753"/>
    <w:rsid w:val="00623583"/>
    <w:rsid w:val="0062462F"/>
    <w:rsid w:val="00624BA1"/>
    <w:rsid w:val="0062661B"/>
    <w:rsid w:val="00627832"/>
    <w:rsid w:val="00630118"/>
    <w:rsid w:val="00630514"/>
    <w:rsid w:val="006310AE"/>
    <w:rsid w:val="00631762"/>
    <w:rsid w:val="00631BED"/>
    <w:rsid w:val="00632196"/>
    <w:rsid w:val="00632BA2"/>
    <w:rsid w:val="00633BF2"/>
    <w:rsid w:val="00633F67"/>
    <w:rsid w:val="006345C3"/>
    <w:rsid w:val="0063530F"/>
    <w:rsid w:val="006362F9"/>
    <w:rsid w:val="006369A9"/>
    <w:rsid w:val="00636B72"/>
    <w:rsid w:val="006373CD"/>
    <w:rsid w:val="006409E3"/>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0F41"/>
    <w:rsid w:val="006619B0"/>
    <w:rsid w:val="00662012"/>
    <w:rsid w:val="00662459"/>
    <w:rsid w:val="00662543"/>
    <w:rsid w:val="006626D0"/>
    <w:rsid w:val="006628E9"/>
    <w:rsid w:val="00663745"/>
    <w:rsid w:val="006641F4"/>
    <w:rsid w:val="00664E8C"/>
    <w:rsid w:val="00665F7C"/>
    <w:rsid w:val="0066699A"/>
    <w:rsid w:val="00666DFC"/>
    <w:rsid w:val="00666EBB"/>
    <w:rsid w:val="00667252"/>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A79D9"/>
    <w:rsid w:val="006B05B5"/>
    <w:rsid w:val="006B1545"/>
    <w:rsid w:val="006B23B9"/>
    <w:rsid w:val="006B2DA7"/>
    <w:rsid w:val="006B2F4D"/>
    <w:rsid w:val="006B306B"/>
    <w:rsid w:val="006B3682"/>
    <w:rsid w:val="006B38F4"/>
    <w:rsid w:val="006B3974"/>
    <w:rsid w:val="006B48CB"/>
    <w:rsid w:val="006B564D"/>
    <w:rsid w:val="006B6B15"/>
    <w:rsid w:val="006C11E2"/>
    <w:rsid w:val="006C1445"/>
    <w:rsid w:val="006C3AB0"/>
    <w:rsid w:val="006C4FC1"/>
    <w:rsid w:val="006C51A5"/>
    <w:rsid w:val="006C529D"/>
    <w:rsid w:val="006C6798"/>
    <w:rsid w:val="006C6DF7"/>
    <w:rsid w:val="006C72E9"/>
    <w:rsid w:val="006D0826"/>
    <w:rsid w:val="006D0C12"/>
    <w:rsid w:val="006D0E6B"/>
    <w:rsid w:val="006D2146"/>
    <w:rsid w:val="006D281F"/>
    <w:rsid w:val="006D632E"/>
    <w:rsid w:val="006D6C9C"/>
    <w:rsid w:val="006E094A"/>
    <w:rsid w:val="006E12B1"/>
    <w:rsid w:val="006E13D1"/>
    <w:rsid w:val="006E4D0C"/>
    <w:rsid w:val="006E4D1B"/>
    <w:rsid w:val="006E4D68"/>
    <w:rsid w:val="006E51E4"/>
    <w:rsid w:val="006E5B78"/>
    <w:rsid w:val="006E67BA"/>
    <w:rsid w:val="006E699D"/>
    <w:rsid w:val="006E6BA3"/>
    <w:rsid w:val="006F1116"/>
    <w:rsid w:val="006F166F"/>
    <w:rsid w:val="006F2654"/>
    <w:rsid w:val="006F3196"/>
    <w:rsid w:val="006F3C54"/>
    <w:rsid w:val="006F418C"/>
    <w:rsid w:val="006F5E64"/>
    <w:rsid w:val="006F60DE"/>
    <w:rsid w:val="006F65FB"/>
    <w:rsid w:val="006F6DB2"/>
    <w:rsid w:val="006F7914"/>
    <w:rsid w:val="006F7C0B"/>
    <w:rsid w:val="006F7E46"/>
    <w:rsid w:val="00700AB4"/>
    <w:rsid w:val="00700FCA"/>
    <w:rsid w:val="007012B8"/>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7AFB"/>
    <w:rsid w:val="0073124A"/>
    <w:rsid w:val="00731B79"/>
    <w:rsid w:val="007320A2"/>
    <w:rsid w:val="007327CE"/>
    <w:rsid w:val="00733893"/>
    <w:rsid w:val="007340CA"/>
    <w:rsid w:val="00734A05"/>
    <w:rsid w:val="00734ECC"/>
    <w:rsid w:val="00735C6F"/>
    <w:rsid w:val="00737A31"/>
    <w:rsid w:val="007412E0"/>
    <w:rsid w:val="00742A6A"/>
    <w:rsid w:val="00742B44"/>
    <w:rsid w:val="00742C51"/>
    <w:rsid w:val="0074656E"/>
    <w:rsid w:val="007472D5"/>
    <w:rsid w:val="00747C57"/>
    <w:rsid w:val="00747F27"/>
    <w:rsid w:val="00752B03"/>
    <w:rsid w:val="00753454"/>
    <w:rsid w:val="00753BB5"/>
    <w:rsid w:val="007544F1"/>
    <w:rsid w:val="00755E4A"/>
    <w:rsid w:val="00756832"/>
    <w:rsid w:val="00757F0B"/>
    <w:rsid w:val="007626D0"/>
    <w:rsid w:val="007651CA"/>
    <w:rsid w:val="00766868"/>
    <w:rsid w:val="00767519"/>
    <w:rsid w:val="007704E1"/>
    <w:rsid w:val="00770E5C"/>
    <w:rsid w:val="00772569"/>
    <w:rsid w:val="00772765"/>
    <w:rsid w:val="00772E8C"/>
    <w:rsid w:val="00772FDB"/>
    <w:rsid w:val="0077316B"/>
    <w:rsid w:val="007736D3"/>
    <w:rsid w:val="0077500F"/>
    <w:rsid w:val="0077548E"/>
    <w:rsid w:val="00777315"/>
    <w:rsid w:val="007802E4"/>
    <w:rsid w:val="00780598"/>
    <w:rsid w:val="00780919"/>
    <w:rsid w:val="00781589"/>
    <w:rsid w:val="007820D0"/>
    <w:rsid w:val="007826C8"/>
    <w:rsid w:val="00784190"/>
    <w:rsid w:val="0078457B"/>
    <w:rsid w:val="00784756"/>
    <w:rsid w:val="0078539D"/>
    <w:rsid w:val="007856C1"/>
    <w:rsid w:val="00785B0F"/>
    <w:rsid w:val="00787051"/>
    <w:rsid w:val="0079018D"/>
    <w:rsid w:val="007901DC"/>
    <w:rsid w:val="00790A1C"/>
    <w:rsid w:val="00791A00"/>
    <w:rsid w:val="00791D18"/>
    <w:rsid w:val="00791DDB"/>
    <w:rsid w:val="00792CEE"/>
    <w:rsid w:val="007936A8"/>
    <w:rsid w:val="00794C4E"/>
    <w:rsid w:val="00794FDB"/>
    <w:rsid w:val="007962B4"/>
    <w:rsid w:val="00796F15"/>
    <w:rsid w:val="00797E22"/>
    <w:rsid w:val="007A0454"/>
    <w:rsid w:val="007A138F"/>
    <w:rsid w:val="007A1640"/>
    <w:rsid w:val="007A1AE4"/>
    <w:rsid w:val="007A39DF"/>
    <w:rsid w:val="007A43ED"/>
    <w:rsid w:val="007A4BDD"/>
    <w:rsid w:val="007A6B00"/>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1D53"/>
    <w:rsid w:val="007F2845"/>
    <w:rsid w:val="007F2A69"/>
    <w:rsid w:val="007F38A2"/>
    <w:rsid w:val="007F43BC"/>
    <w:rsid w:val="007F4740"/>
    <w:rsid w:val="007F6CA1"/>
    <w:rsid w:val="008006C6"/>
    <w:rsid w:val="00800C52"/>
    <w:rsid w:val="0080153E"/>
    <w:rsid w:val="008018C8"/>
    <w:rsid w:val="0080263A"/>
    <w:rsid w:val="0080329D"/>
    <w:rsid w:val="008055A9"/>
    <w:rsid w:val="0080742D"/>
    <w:rsid w:val="008100AC"/>
    <w:rsid w:val="00810C05"/>
    <w:rsid w:val="00811060"/>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352"/>
    <w:rsid w:val="008359EB"/>
    <w:rsid w:val="00836B7A"/>
    <w:rsid w:val="00837B90"/>
    <w:rsid w:val="008409AA"/>
    <w:rsid w:val="00840FB8"/>
    <w:rsid w:val="00842E0C"/>
    <w:rsid w:val="00843A7A"/>
    <w:rsid w:val="008447F5"/>
    <w:rsid w:val="00846292"/>
    <w:rsid w:val="008477C7"/>
    <w:rsid w:val="00847C7A"/>
    <w:rsid w:val="008506E1"/>
    <w:rsid w:val="00850D96"/>
    <w:rsid w:val="008515EE"/>
    <w:rsid w:val="00851A8E"/>
    <w:rsid w:val="00851EC7"/>
    <w:rsid w:val="008528D3"/>
    <w:rsid w:val="00854553"/>
    <w:rsid w:val="00855B86"/>
    <w:rsid w:val="0085630F"/>
    <w:rsid w:val="00856D47"/>
    <w:rsid w:val="00860874"/>
    <w:rsid w:val="008609A3"/>
    <w:rsid w:val="00862008"/>
    <w:rsid w:val="0086262F"/>
    <w:rsid w:val="00862720"/>
    <w:rsid w:val="008628C8"/>
    <w:rsid w:val="00862B2A"/>
    <w:rsid w:val="008630B9"/>
    <w:rsid w:val="00863F37"/>
    <w:rsid w:val="0086406B"/>
    <w:rsid w:val="00864C8C"/>
    <w:rsid w:val="008659FB"/>
    <w:rsid w:val="0086709D"/>
    <w:rsid w:val="00867651"/>
    <w:rsid w:val="00867B5A"/>
    <w:rsid w:val="00867F07"/>
    <w:rsid w:val="00872445"/>
    <w:rsid w:val="0087321D"/>
    <w:rsid w:val="00874009"/>
    <w:rsid w:val="00874158"/>
    <w:rsid w:val="008743F3"/>
    <w:rsid w:val="0087444A"/>
    <w:rsid w:val="008746CE"/>
    <w:rsid w:val="00875139"/>
    <w:rsid w:val="00875410"/>
    <w:rsid w:val="008777FF"/>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D57"/>
    <w:rsid w:val="008908E5"/>
    <w:rsid w:val="00891216"/>
    <w:rsid w:val="00894B58"/>
    <w:rsid w:val="00894FDC"/>
    <w:rsid w:val="008957D3"/>
    <w:rsid w:val="008959C6"/>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972"/>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7AD"/>
    <w:rsid w:val="008F6647"/>
    <w:rsid w:val="008F700E"/>
    <w:rsid w:val="00900343"/>
    <w:rsid w:val="009006A2"/>
    <w:rsid w:val="0090102B"/>
    <w:rsid w:val="00901448"/>
    <w:rsid w:val="009036BC"/>
    <w:rsid w:val="00903D30"/>
    <w:rsid w:val="00904414"/>
    <w:rsid w:val="00904EC9"/>
    <w:rsid w:val="00905197"/>
    <w:rsid w:val="00905C47"/>
    <w:rsid w:val="00906379"/>
    <w:rsid w:val="00906A8C"/>
    <w:rsid w:val="009101EA"/>
    <w:rsid w:val="009106FC"/>
    <w:rsid w:val="009108E5"/>
    <w:rsid w:val="009118BB"/>
    <w:rsid w:val="0091191F"/>
    <w:rsid w:val="00911E7D"/>
    <w:rsid w:val="009120A9"/>
    <w:rsid w:val="00912A25"/>
    <w:rsid w:val="009134C3"/>
    <w:rsid w:val="00915B81"/>
    <w:rsid w:val="00915D6B"/>
    <w:rsid w:val="009160DF"/>
    <w:rsid w:val="009162C7"/>
    <w:rsid w:val="00916EC2"/>
    <w:rsid w:val="009213BD"/>
    <w:rsid w:val="0092231C"/>
    <w:rsid w:val="009230A6"/>
    <w:rsid w:val="00923C31"/>
    <w:rsid w:val="00924627"/>
    <w:rsid w:val="009250A8"/>
    <w:rsid w:val="00925BE6"/>
    <w:rsid w:val="00926697"/>
    <w:rsid w:val="00926F61"/>
    <w:rsid w:val="00926FA9"/>
    <w:rsid w:val="0093123D"/>
    <w:rsid w:val="00932502"/>
    <w:rsid w:val="00933040"/>
    <w:rsid w:val="009330E9"/>
    <w:rsid w:val="00934D97"/>
    <w:rsid w:val="00935D15"/>
    <w:rsid w:val="00940878"/>
    <w:rsid w:val="009411FB"/>
    <w:rsid w:val="009414A9"/>
    <w:rsid w:val="00941B71"/>
    <w:rsid w:val="00941DF9"/>
    <w:rsid w:val="009421AD"/>
    <w:rsid w:val="0094221C"/>
    <w:rsid w:val="0094409C"/>
    <w:rsid w:val="00944159"/>
    <w:rsid w:val="009449B2"/>
    <w:rsid w:val="00944A82"/>
    <w:rsid w:val="00944BA5"/>
    <w:rsid w:val="00945C32"/>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895"/>
    <w:rsid w:val="009633BB"/>
    <w:rsid w:val="00963A36"/>
    <w:rsid w:val="009643DA"/>
    <w:rsid w:val="00964829"/>
    <w:rsid w:val="0096485F"/>
    <w:rsid w:val="00965C40"/>
    <w:rsid w:val="00967354"/>
    <w:rsid w:val="00971592"/>
    <w:rsid w:val="00971617"/>
    <w:rsid w:val="009717F8"/>
    <w:rsid w:val="00971DDF"/>
    <w:rsid w:val="0097225C"/>
    <w:rsid w:val="009731D6"/>
    <w:rsid w:val="00973FC6"/>
    <w:rsid w:val="00974746"/>
    <w:rsid w:val="00975119"/>
    <w:rsid w:val="009763ED"/>
    <w:rsid w:val="00976C38"/>
    <w:rsid w:val="00976F04"/>
    <w:rsid w:val="009777F4"/>
    <w:rsid w:val="00977AD8"/>
    <w:rsid w:val="00980A10"/>
    <w:rsid w:val="00980C80"/>
    <w:rsid w:val="00981130"/>
    <w:rsid w:val="0098229C"/>
    <w:rsid w:val="0098289D"/>
    <w:rsid w:val="009835E0"/>
    <w:rsid w:val="00983D46"/>
    <w:rsid w:val="00983DCA"/>
    <w:rsid w:val="009843C7"/>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0BB"/>
    <w:rsid w:val="009D5193"/>
    <w:rsid w:val="009D5C32"/>
    <w:rsid w:val="009D5C56"/>
    <w:rsid w:val="009D6472"/>
    <w:rsid w:val="009D79F4"/>
    <w:rsid w:val="009D7D19"/>
    <w:rsid w:val="009E1178"/>
    <w:rsid w:val="009E126D"/>
    <w:rsid w:val="009E33D7"/>
    <w:rsid w:val="009E3CD1"/>
    <w:rsid w:val="009E5520"/>
    <w:rsid w:val="009E5AF5"/>
    <w:rsid w:val="009E5EB5"/>
    <w:rsid w:val="009E74F0"/>
    <w:rsid w:val="009E7F23"/>
    <w:rsid w:val="009F0768"/>
    <w:rsid w:val="009F0F6A"/>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3CF"/>
    <w:rsid w:val="00A16462"/>
    <w:rsid w:val="00A1678B"/>
    <w:rsid w:val="00A167B5"/>
    <w:rsid w:val="00A16DBE"/>
    <w:rsid w:val="00A179E0"/>
    <w:rsid w:val="00A17C4F"/>
    <w:rsid w:val="00A20653"/>
    <w:rsid w:val="00A20A39"/>
    <w:rsid w:val="00A20C16"/>
    <w:rsid w:val="00A238BD"/>
    <w:rsid w:val="00A23DCA"/>
    <w:rsid w:val="00A240D8"/>
    <w:rsid w:val="00A240ED"/>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1243"/>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498"/>
    <w:rsid w:val="00A52895"/>
    <w:rsid w:val="00A52D7D"/>
    <w:rsid w:val="00A53290"/>
    <w:rsid w:val="00A539A5"/>
    <w:rsid w:val="00A53DA0"/>
    <w:rsid w:val="00A5404D"/>
    <w:rsid w:val="00A555A7"/>
    <w:rsid w:val="00A5765D"/>
    <w:rsid w:val="00A579BD"/>
    <w:rsid w:val="00A604F0"/>
    <w:rsid w:val="00A607CB"/>
    <w:rsid w:val="00A614EA"/>
    <w:rsid w:val="00A6351F"/>
    <w:rsid w:val="00A63809"/>
    <w:rsid w:val="00A64278"/>
    <w:rsid w:val="00A64A6E"/>
    <w:rsid w:val="00A6519F"/>
    <w:rsid w:val="00A65672"/>
    <w:rsid w:val="00A65931"/>
    <w:rsid w:val="00A65A70"/>
    <w:rsid w:val="00A65E0B"/>
    <w:rsid w:val="00A6665F"/>
    <w:rsid w:val="00A66715"/>
    <w:rsid w:val="00A66F36"/>
    <w:rsid w:val="00A676D9"/>
    <w:rsid w:val="00A67EFC"/>
    <w:rsid w:val="00A7031E"/>
    <w:rsid w:val="00A71140"/>
    <w:rsid w:val="00A7205E"/>
    <w:rsid w:val="00A74692"/>
    <w:rsid w:val="00A75A52"/>
    <w:rsid w:val="00A7618B"/>
    <w:rsid w:val="00A7640B"/>
    <w:rsid w:val="00A773A8"/>
    <w:rsid w:val="00A7778B"/>
    <w:rsid w:val="00A77847"/>
    <w:rsid w:val="00A803BC"/>
    <w:rsid w:val="00A80969"/>
    <w:rsid w:val="00A812EE"/>
    <w:rsid w:val="00A834D0"/>
    <w:rsid w:val="00A85798"/>
    <w:rsid w:val="00A8609D"/>
    <w:rsid w:val="00A86EA7"/>
    <w:rsid w:val="00A91244"/>
    <w:rsid w:val="00A91774"/>
    <w:rsid w:val="00A91C7F"/>
    <w:rsid w:val="00A92066"/>
    <w:rsid w:val="00A92776"/>
    <w:rsid w:val="00A93181"/>
    <w:rsid w:val="00A938E6"/>
    <w:rsid w:val="00A93AC3"/>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7C9"/>
    <w:rsid w:val="00AD3CAD"/>
    <w:rsid w:val="00AD5A99"/>
    <w:rsid w:val="00AD66D9"/>
    <w:rsid w:val="00AD69FF"/>
    <w:rsid w:val="00AD702B"/>
    <w:rsid w:val="00AD72E6"/>
    <w:rsid w:val="00AD7C95"/>
    <w:rsid w:val="00AD7FCD"/>
    <w:rsid w:val="00AE2BED"/>
    <w:rsid w:val="00AE3DE1"/>
    <w:rsid w:val="00AE5439"/>
    <w:rsid w:val="00AE555C"/>
    <w:rsid w:val="00AE61B2"/>
    <w:rsid w:val="00AE78D1"/>
    <w:rsid w:val="00AE7F89"/>
    <w:rsid w:val="00AF2D54"/>
    <w:rsid w:val="00AF3458"/>
    <w:rsid w:val="00AF3F7B"/>
    <w:rsid w:val="00AF42B4"/>
    <w:rsid w:val="00AF431C"/>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2A4F"/>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76A"/>
    <w:rsid w:val="00B80A07"/>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370"/>
    <w:rsid w:val="00BB5A35"/>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0833"/>
    <w:rsid w:val="00BE1A25"/>
    <w:rsid w:val="00BE28C1"/>
    <w:rsid w:val="00BE3492"/>
    <w:rsid w:val="00BE3B62"/>
    <w:rsid w:val="00BE4EC9"/>
    <w:rsid w:val="00BE5089"/>
    <w:rsid w:val="00BE631E"/>
    <w:rsid w:val="00BE6BEC"/>
    <w:rsid w:val="00BE7498"/>
    <w:rsid w:val="00BF0CCF"/>
    <w:rsid w:val="00BF0FC5"/>
    <w:rsid w:val="00BF10BC"/>
    <w:rsid w:val="00BF21AC"/>
    <w:rsid w:val="00BF2E53"/>
    <w:rsid w:val="00BF352A"/>
    <w:rsid w:val="00BF3669"/>
    <w:rsid w:val="00BF3C0D"/>
    <w:rsid w:val="00BF4BC7"/>
    <w:rsid w:val="00BF5B7D"/>
    <w:rsid w:val="00BF6252"/>
    <w:rsid w:val="00BF711C"/>
    <w:rsid w:val="00BF748E"/>
    <w:rsid w:val="00BF789B"/>
    <w:rsid w:val="00C03309"/>
    <w:rsid w:val="00C037E0"/>
    <w:rsid w:val="00C06014"/>
    <w:rsid w:val="00C072FE"/>
    <w:rsid w:val="00C103E5"/>
    <w:rsid w:val="00C109D3"/>
    <w:rsid w:val="00C1146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257"/>
    <w:rsid w:val="00C257B7"/>
    <w:rsid w:val="00C272E8"/>
    <w:rsid w:val="00C301A9"/>
    <w:rsid w:val="00C30ABC"/>
    <w:rsid w:val="00C30B60"/>
    <w:rsid w:val="00C31FAA"/>
    <w:rsid w:val="00C33359"/>
    <w:rsid w:val="00C348D6"/>
    <w:rsid w:val="00C3504C"/>
    <w:rsid w:val="00C3597A"/>
    <w:rsid w:val="00C365E7"/>
    <w:rsid w:val="00C36E34"/>
    <w:rsid w:val="00C40388"/>
    <w:rsid w:val="00C404D7"/>
    <w:rsid w:val="00C404EE"/>
    <w:rsid w:val="00C4171B"/>
    <w:rsid w:val="00C42689"/>
    <w:rsid w:val="00C42988"/>
    <w:rsid w:val="00C42BD4"/>
    <w:rsid w:val="00C43EB7"/>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BFD"/>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132"/>
    <w:rsid w:val="00C91857"/>
    <w:rsid w:val="00C9213B"/>
    <w:rsid w:val="00C93462"/>
    <w:rsid w:val="00C94384"/>
    <w:rsid w:val="00C94A34"/>
    <w:rsid w:val="00C94C2B"/>
    <w:rsid w:val="00C94F73"/>
    <w:rsid w:val="00C95609"/>
    <w:rsid w:val="00C96F79"/>
    <w:rsid w:val="00C97CF9"/>
    <w:rsid w:val="00CA02C6"/>
    <w:rsid w:val="00CA17DD"/>
    <w:rsid w:val="00CA1863"/>
    <w:rsid w:val="00CA1941"/>
    <w:rsid w:val="00CA26CE"/>
    <w:rsid w:val="00CA391D"/>
    <w:rsid w:val="00CA3ACD"/>
    <w:rsid w:val="00CA4C3F"/>
    <w:rsid w:val="00CA4F8B"/>
    <w:rsid w:val="00CA5445"/>
    <w:rsid w:val="00CB0007"/>
    <w:rsid w:val="00CB01CC"/>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3B31"/>
    <w:rsid w:val="00CE3BD9"/>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5D1"/>
    <w:rsid w:val="00D00BB7"/>
    <w:rsid w:val="00D01DFA"/>
    <w:rsid w:val="00D01EAD"/>
    <w:rsid w:val="00D02869"/>
    <w:rsid w:val="00D02F9C"/>
    <w:rsid w:val="00D035B9"/>
    <w:rsid w:val="00D040B7"/>
    <w:rsid w:val="00D060FF"/>
    <w:rsid w:val="00D064E8"/>
    <w:rsid w:val="00D06546"/>
    <w:rsid w:val="00D06572"/>
    <w:rsid w:val="00D065CD"/>
    <w:rsid w:val="00D0724B"/>
    <w:rsid w:val="00D119B6"/>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BA2"/>
    <w:rsid w:val="00D30CF0"/>
    <w:rsid w:val="00D31681"/>
    <w:rsid w:val="00D3191C"/>
    <w:rsid w:val="00D31B6E"/>
    <w:rsid w:val="00D3232B"/>
    <w:rsid w:val="00D3239F"/>
    <w:rsid w:val="00D324A4"/>
    <w:rsid w:val="00D3250C"/>
    <w:rsid w:val="00D328F6"/>
    <w:rsid w:val="00D345D4"/>
    <w:rsid w:val="00D3462C"/>
    <w:rsid w:val="00D34DEB"/>
    <w:rsid w:val="00D35198"/>
    <w:rsid w:val="00D3530C"/>
    <w:rsid w:val="00D3584B"/>
    <w:rsid w:val="00D35A85"/>
    <w:rsid w:val="00D35F97"/>
    <w:rsid w:val="00D36964"/>
    <w:rsid w:val="00D37A1A"/>
    <w:rsid w:val="00D4081B"/>
    <w:rsid w:val="00D40E1A"/>
    <w:rsid w:val="00D41176"/>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24"/>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232"/>
    <w:rsid w:val="00D758B3"/>
    <w:rsid w:val="00D76ADC"/>
    <w:rsid w:val="00D77413"/>
    <w:rsid w:val="00D80B04"/>
    <w:rsid w:val="00D81F10"/>
    <w:rsid w:val="00D82798"/>
    <w:rsid w:val="00D82B9F"/>
    <w:rsid w:val="00D82BF2"/>
    <w:rsid w:val="00D84A57"/>
    <w:rsid w:val="00D87307"/>
    <w:rsid w:val="00D874DF"/>
    <w:rsid w:val="00D87A12"/>
    <w:rsid w:val="00D930E1"/>
    <w:rsid w:val="00D9354D"/>
    <w:rsid w:val="00D93BE8"/>
    <w:rsid w:val="00D9415C"/>
    <w:rsid w:val="00D942CC"/>
    <w:rsid w:val="00D944E4"/>
    <w:rsid w:val="00D94D87"/>
    <w:rsid w:val="00D95B31"/>
    <w:rsid w:val="00D95DCC"/>
    <w:rsid w:val="00D962DC"/>
    <w:rsid w:val="00D974FA"/>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5CD5"/>
    <w:rsid w:val="00E068BC"/>
    <w:rsid w:val="00E073F0"/>
    <w:rsid w:val="00E10761"/>
    <w:rsid w:val="00E11D7A"/>
    <w:rsid w:val="00E11EEB"/>
    <w:rsid w:val="00E128F2"/>
    <w:rsid w:val="00E13E5A"/>
    <w:rsid w:val="00E13EE4"/>
    <w:rsid w:val="00E16463"/>
    <w:rsid w:val="00E16F82"/>
    <w:rsid w:val="00E17F6F"/>
    <w:rsid w:val="00E20B20"/>
    <w:rsid w:val="00E239D1"/>
    <w:rsid w:val="00E2403D"/>
    <w:rsid w:val="00E246B9"/>
    <w:rsid w:val="00E250C5"/>
    <w:rsid w:val="00E26727"/>
    <w:rsid w:val="00E26970"/>
    <w:rsid w:val="00E2728F"/>
    <w:rsid w:val="00E27791"/>
    <w:rsid w:val="00E27B28"/>
    <w:rsid w:val="00E3007B"/>
    <w:rsid w:val="00E30F2D"/>
    <w:rsid w:val="00E319DB"/>
    <w:rsid w:val="00E31AFC"/>
    <w:rsid w:val="00E3250F"/>
    <w:rsid w:val="00E3409E"/>
    <w:rsid w:val="00E34F76"/>
    <w:rsid w:val="00E37BE5"/>
    <w:rsid w:val="00E41A27"/>
    <w:rsid w:val="00E41AB4"/>
    <w:rsid w:val="00E41B1F"/>
    <w:rsid w:val="00E42737"/>
    <w:rsid w:val="00E44906"/>
    <w:rsid w:val="00E45C77"/>
    <w:rsid w:val="00E4608B"/>
    <w:rsid w:val="00E46D7F"/>
    <w:rsid w:val="00E501D3"/>
    <w:rsid w:val="00E53A01"/>
    <w:rsid w:val="00E53AFC"/>
    <w:rsid w:val="00E564C4"/>
    <w:rsid w:val="00E567C9"/>
    <w:rsid w:val="00E57E1A"/>
    <w:rsid w:val="00E604C4"/>
    <w:rsid w:val="00E60809"/>
    <w:rsid w:val="00E61300"/>
    <w:rsid w:val="00E635B9"/>
    <w:rsid w:val="00E64198"/>
    <w:rsid w:val="00E65A5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2B0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49E"/>
    <w:rsid w:val="00EC0FB9"/>
    <w:rsid w:val="00EC14B0"/>
    <w:rsid w:val="00EC204E"/>
    <w:rsid w:val="00EC249E"/>
    <w:rsid w:val="00EC2CFF"/>
    <w:rsid w:val="00EC2DFB"/>
    <w:rsid w:val="00EC37EE"/>
    <w:rsid w:val="00EC4904"/>
    <w:rsid w:val="00EC4DF6"/>
    <w:rsid w:val="00EC5F2F"/>
    <w:rsid w:val="00EC651E"/>
    <w:rsid w:val="00EC65E5"/>
    <w:rsid w:val="00EC692E"/>
    <w:rsid w:val="00EC7273"/>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5536"/>
    <w:rsid w:val="00EF67BB"/>
    <w:rsid w:val="00EF72F9"/>
    <w:rsid w:val="00F0021E"/>
    <w:rsid w:val="00F0030E"/>
    <w:rsid w:val="00F00CD1"/>
    <w:rsid w:val="00F01C9E"/>
    <w:rsid w:val="00F01E6B"/>
    <w:rsid w:val="00F0241C"/>
    <w:rsid w:val="00F031EE"/>
    <w:rsid w:val="00F047CF"/>
    <w:rsid w:val="00F05759"/>
    <w:rsid w:val="00F064EC"/>
    <w:rsid w:val="00F07F39"/>
    <w:rsid w:val="00F10CB9"/>
    <w:rsid w:val="00F110CD"/>
    <w:rsid w:val="00F110D5"/>
    <w:rsid w:val="00F12351"/>
    <w:rsid w:val="00F15193"/>
    <w:rsid w:val="00F16739"/>
    <w:rsid w:val="00F16DE2"/>
    <w:rsid w:val="00F2052B"/>
    <w:rsid w:val="00F207C5"/>
    <w:rsid w:val="00F213DC"/>
    <w:rsid w:val="00F22183"/>
    <w:rsid w:val="00F2260F"/>
    <w:rsid w:val="00F242AD"/>
    <w:rsid w:val="00F247F2"/>
    <w:rsid w:val="00F2518F"/>
    <w:rsid w:val="00F25277"/>
    <w:rsid w:val="00F252A8"/>
    <w:rsid w:val="00F255D9"/>
    <w:rsid w:val="00F265F7"/>
    <w:rsid w:val="00F27FA6"/>
    <w:rsid w:val="00F33DC8"/>
    <w:rsid w:val="00F34444"/>
    <w:rsid w:val="00F378F1"/>
    <w:rsid w:val="00F403A1"/>
    <w:rsid w:val="00F403DB"/>
    <w:rsid w:val="00F4065A"/>
    <w:rsid w:val="00F4151A"/>
    <w:rsid w:val="00F4275C"/>
    <w:rsid w:val="00F434B2"/>
    <w:rsid w:val="00F45693"/>
    <w:rsid w:val="00F52339"/>
    <w:rsid w:val="00F52455"/>
    <w:rsid w:val="00F5277A"/>
    <w:rsid w:val="00F532E8"/>
    <w:rsid w:val="00F537FF"/>
    <w:rsid w:val="00F54E36"/>
    <w:rsid w:val="00F560FE"/>
    <w:rsid w:val="00F56433"/>
    <w:rsid w:val="00F569B4"/>
    <w:rsid w:val="00F60CD6"/>
    <w:rsid w:val="00F6111C"/>
    <w:rsid w:val="00F614C0"/>
    <w:rsid w:val="00F61647"/>
    <w:rsid w:val="00F618A9"/>
    <w:rsid w:val="00F6265B"/>
    <w:rsid w:val="00F64279"/>
    <w:rsid w:val="00F657CF"/>
    <w:rsid w:val="00F65808"/>
    <w:rsid w:val="00F6587D"/>
    <w:rsid w:val="00F6672E"/>
    <w:rsid w:val="00F66A00"/>
    <w:rsid w:val="00F66CFB"/>
    <w:rsid w:val="00F70C73"/>
    <w:rsid w:val="00F713A3"/>
    <w:rsid w:val="00F71A8F"/>
    <w:rsid w:val="00F75330"/>
    <w:rsid w:val="00F75B66"/>
    <w:rsid w:val="00F76BD9"/>
    <w:rsid w:val="00F76CD8"/>
    <w:rsid w:val="00F80318"/>
    <w:rsid w:val="00F803D0"/>
    <w:rsid w:val="00F80703"/>
    <w:rsid w:val="00F80948"/>
    <w:rsid w:val="00F81387"/>
    <w:rsid w:val="00F82134"/>
    <w:rsid w:val="00F822E3"/>
    <w:rsid w:val="00F82866"/>
    <w:rsid w:val="00F841FB"/>
    <w:rsid w:val="00F84421"/>
    <w:rsid w:val="00F8449B"/>
    <w:rsid w:val="00F84B44"/>
    <w:rsid w:val="00F85691"/>
    <w:rsid w:val="00F86D5F"/>
    <w:rsid w:val="00F87032"/>
    <w:rsid w:val="00F87094"/>
    <w:rsid w:val="00F87AB3"/>
    <w:rsid w:val="00F913DC"/>
    <w:rsid w:val="00F91DDA"/>
    <w:rsid w:val="00F934A5"/>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1BF"/>
    <w:rsid w:val="00FC6238"/>
    <w:rsid w:val="00FC7951"/>
    <w:rsid w:val="00FC7EAE"/>
    <w:rsid w:val="00FD236B"/>
    <w:rsid w:val="00FD2785"/>
    <w:rsid w:val="00FD33FC"/>
    <w:rsid w:val="00FD3730"/>
    <w:rsid w:val="00FD3ADE"/>
    <w:rsid w:val="00FD3B08"/>
    <w:rsid w:val="00FD41D5"/>
    <w:rsid w:val="00FD434F"/>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4CDA43"/>
    <w:rsid w:val="10E807B4"/>
    <w:rsid w:val="141204DA"/>
    <w:rsid w:val="16512788"/>
    <w:rsid w:val="1A219784"/>
    <w:rsid w:val="32975CEE"/>
    <w:rsid w:val="3E61DC49"/>
    <w:rsid w:val="46D970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EC0FB9"/>
    <w:pPr>
      <w:overflowPunct/>
      <w:autoSpaceDE/>
      <w:autoSpaceDN/>
      <w:adjustRightInd/>
      <w:spacing w:before="100" w:beforeAutospacing="1" w:after="100" w:afterAutospacing="1" w:line="259" w:lineRule="auto"/>
      <w:textAlignment w:val="auto"/>
    </w:pPr>
    <w:rPr>
      <w:rFonts w:asciiTheme="minorHAnsi" w:eastAsia="Times New Roman" w:hAnsiTheme="minorHAnsi" w:cstheme="minorBidi"/>
      <w:kern w:val="2"/>
      <w:sz w:val="24"/>
      <w:szCs w:val="24"/>
      <w:lang/>
      <w14:ligatures w14:val="standardContextual"/>
    </w:rPr>
  </w:style>
  <w:style w:type="character" w:customStyle="1" w:styleId="normaltextrun">
    <w:name w:val="normaltextrun"/>
    <w:basedOn w:val="DefaultParagraphFont"/>
    <w:rsid w:val="00EC0FB9"/>
  </w:style>
  <w:style w:type="character" w:customStyle="1" w:styleId="eop">
    <w:name w:val="eop"/>
    <w:basedOn w:val="DefaultParagraphFont"/>
    <w:rsid w:val="00EC0FB9"/>
  </w:style>
  <w:style w:type="character" w:customStyle="1" w:styleId="tabchar">
    <w:name w:val="tabchar"/>
    <w:basedOn w:val="DefaultParagraphFont"/>
    <w:rsid w:val="00EC0FB9"/>
  </w:style>
  <w:style w:type="character" w:styleId="Mention">
    <w:name w:val="Mention"/>
    <w:basedOn w:val="DefaultParagraphFont"/>
    <w:uiPriority w:val="99"/>
    <w:unhideWhenUsed/>
    <w:rsid w:val="00E92B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45566">
      <w:bodyDiv w:val="1"/>
      <w:marLeft w:val="0"/>
      <w:marRight w:val="0"/>
      <w:marTop w:val="0"/>
      <w:marBottom w:val="0"/>
      <w:divBdr>
        <w:top w:val="none" w:sz="0" w:space="0" w:color="auto"/>
        <w:left w:val="none" w:sz="0" w:space="0" w:color="auto"/>
        <w:bottom w:val="none" w:sz="0" w:space="0" w:color="auto"/>
        <w:right w:val="none" w:sz="0" w:space="0" w:color="auto"/>
      </w:divBdr>
      <w:divsChild>
        <w:div w:id="366762244">
          <w:marLeft w:val="547"/>
          <w:marRight w:val="0"/>
          <w:marTop w:val="0"/>
          <w:marBottom w:val="0"/>
          <w:divBdr>
            <w:top w:val="none" w:sz="0" w:space="0" w:color="auto"/>
            <w:left w:val="none" w:sz="0" w:space="0" w:color="auto"/>
            <w:bottom w:val="none" w:sz="0" w:space="0" w:color="auto"/>
            <w:right w:val="none" w:sz="0" w:space="0" w:color="auto"/>
          </w:divBdr>
        </w:div>
        <w:div w:id="1099371124">
          <w:marLeft w:val="1166"/>
          <w:marRight w:val="0"/>
          <w:marTop w:val="0"/>
          <w:marBottom w:val="0"/>
          <w:divBdr>
            <w:top w:val="none" w:sz="0" w:space="0" w:color="auto"/>
            <w:left w:val="none" w:sz="0" w:space="0" w:color="auto"/>
            <w:bottom w:val="none" w:sz="0" w:space="0" w:color="auto"/>
            <w:right w:val="none" w:sz="0" w:space="0" w:color="auto"/>
          </w:divBdr>
        </w:div>
        <w:div w:id="569386713">
          <w:marLeft w:val="1800"/>
          <w:marRight w:val="0"/>
          <w:marTop w:val="0"/>
          <w:marBottom w:val="0"/>
          <w:divBdr>
            <w:top w:val="none" w:sz="0" w:space="0" w:color="auto"/>
            <w:left w:val="none" w:sz="0" w:space="0" w:color="auto"/>
            <w:bottom w:val="none" w:sz="0" w:space="0" w:color="auto"/>
            <w:right w:val="none" w:sz="0" w:space="0" w:color="auto"/>
          </w:divBdr>
        </w:div>
        <w:div w:id="2109621285">
          <w:marLeft w:val="1166"/>
          <w:marRight w:val="0"/>
          <w:marTop w:val="0"/>
          <w:marBottom w:val="0"/>
          <w:divBdr>
            <w:top w:val="none" w:sz="0" w:space="0" w:color="auto"/>
            <w:left w:val="none" w:sz="0" w:space="0" w:color="auto"/>
            <w:bottom w:val="none" w:sz="0" w:space="0" w:color="auto"/>
            <w:right w:val="none" w:sz="0" w:space="0" w:color="auto"/>
          </w:divBdr>
        </w:div>
        <w:div w:id="1839953504">
          <w:marLeft w:val="1800"/>
          <w:marRight w:val="0"/>
          <w:marTop w:val="0"/>
          <w:marBottom w:val="0"/>
          <w:divBdr>
            <w:top w:val="none" w:sz="0" w:space="0" w:color="auto"/>
            <w:left w:val="none" w:sz="0" w:space="0" w:color="auto"/>
            <w:bottom w:val="none" w:sz="0" w:space="0" w:color="auto"/>
            <w:right w:val="none" w:sz="0" w:space="0" w:color="auto"/>
          </w:divBdr>
        </w:div>
        <w:div w:id="1430925270">
          <w:marLeft w:val="1166"/>
          <w:marRight w:val="0"/>
          <w:marTop w:val="0"/>
          <w:marBottom w:val="0"/>
          <w:divBdr>
            <w:top w:val="none" w:sz="0" w:space="0" w:color="auto"/>
            <w:left w:val="none" w:sz="0" w:space="0" w:color="auto"/>
            <w:bottom w:val="none" w:sz="0" w:space="0" w:color="auto"/>
            <w:right w:val="none" w:sz="0" w:space="0" w:color="auto"/>
          </w:divBdr>
        </w:div>
        <w:div w:id="618029472">
          <w:marLeft w:val="1166"/>
          <w:marRight w:val="0"/>
          <w:marTop w:val="0"/>
          <w:marBottom w:val="0"/>
          <w:divBdr>
            <w:top w:val="none" w:sz="0" w:space="0" w:color="auto"/>
            <w:left w:val="none" w:sz="0" w:space="0" w:color="auto"/>
            <w:bottom w:val="none" w:sz="0" w:space="0" w:color="auto"/>
            <w:right w:val="none" w:sz="0" w:space="0" w:color="auto"/>
          </w:divBdr>
        </w:div>
        <w:div w:id="1735081882">
          <w:marLeft w:val="1800"/>
          <w:marRight w:val="0"/>
          <w:marTop w:val="0"/>
          <w:marBottom w:val="0"/>
          <w:divBdr>
            <w:top w:val="none" w:sz="0" w:space="0" w:color="auto"/>
            <w:left w:val="none" w:sz="0" w:space="0" w:color="auto"/>
            <w:bottom w:val="none" w:sz="0" w:space="0" w:color="auto"/>
            <w:right w:val="none" w:sz="0" w:space="0" w:color="auto"/>
          </w:divBdr>
        </w:div>
        <w:div w:id="708840261">
          <w:marLeft w:val="1166"/>
          <w:marRight w:val="0"/>
          <w:marTop w:val="0"/>
          <w:marBottom w:val="0"/>
          <w:divBdr>
            <w:top w:val="none" w:sz="0" w:space="0" w:color="auto"/>
            <w:left w:val="none" w:sz="0" w:space="0" w:color="auto"/>
            <w:bottom w:val="none" w:sz="0" w:space="0" w:color="auto"/>
            <w:right w:val="none" w:sz="0" w:space="0" w:color="auto"/>
          </w:divBdr>
        </w:div>
        <w:div w:id="338629069">
          <w:marLeft w:val="1166"/>
          <w:marRight w:val="0"/>
          <w:marTop w:val="0"/>
          <w:marBottom w:val="0"/>
          <w:divBdr>
            <w:top w:val="none" w:sz="0" w:space="0" w:color="auto"/>
            <w:left w:val="none" w:sz="0" w:space="0" w:color="auto"/>
            <w:bottom w:val="none" w:sz="0" w:space="0" w:color="auto"/>
            <w:right w:val="none" w:sz="0" w:space="0" w:color="auto"/>
          </w:divBdr>
        </w:div>
        <w:div w:id="1690254313">
          <w:marLeft w:val="1800"/>
          <w:marRight w:val="0"/>
          <w:marTop w:val="0"/>
          <w:marBottom w:val="0"/>
          <w:divBdr>
            <w:top w:val="none" w:sz="0" w:space="0" w:color="auto"/>
            <w:left w:val="none" w:sz="0" w:space="0" w:color="auto"/>
            <w:bottom w:val="none" w:sz="0" w:space="0" w:color="auto"/>
            <w:right w:val="none" w:sz="0" w:space="0" w:color="auto"/>
          </w:divBdr>
        </w:div>
        <w:div w:id="44524986">
          <w:marLeft w:val="1166"/>
          <w:marRight w:val="0"/>
          <w:marTop w:val="0"/>
          <w:marBottom w:val="0"/>
          <w:divBdr>
            <w:top w:val="none" w:sz="0" w:space="0" w:color="auto"/>
            <w:left w:val="none" w:sz="0" w:space="0" w:color="auto"/>
            <w:bottom w:val="none" w:sz="0" w:space="0" w:color="auto"/>
            <w:right w:val="none" w:sz="0" w:space="0" w:color="auto"/>
          </w:divBdr>
        </w:div>
        <w:div w:id="1636593713">
          <w:marLeft w:val="547"/>
          <w:marRight w:val="0"/>
          <w:marTop w:val="0"/>
          <w:marBottom w:val="0"/>
          <w:divBdr>
            <w:top w:val="none" w:sz="0" w:space="0" w:color="auto"/>
            <w:left w:val="none" w:sz="0" w:space="0" w:color="auto"/>
            <w:bottom w:val="none" w:sz="0" w:space="0" w:color="auto"/>
            <w:right w:val="none" w:sz="0" w:space="0" w:color="auto"/>
          </w:divBdr>
        </w:div>
        <w:div w:id="1402870233">
          <w:marLeft w:val="1166"/>
          <w:marRight w:val="0"/>
          <w:marTop w:val="0"/>
          <w:marBottom w:val="0"/>
          <w:divBdr>
            <w:top w:val="none" w:sz="0" w:space="0" w:color="auto"/>
            <w:left w:val="none" w:sz="0" w:space="0" w:color="auto"/>
            <w:bottom w:val="none" w:sz="0" w:space="0" w:color="auto"/>
            <w:right w:val="none" w:sz="0" w:space="0" w:color="auto"/>
          </w:divBdr>
        </w:div>
        <w:div w:id="1472868123">
          <w:marLeft w:val="1166"/>
          <w:marRight w:val="0"/>
          <w:marTop w:val="0"/>
          <w:marBottom w:val="0"/>
          <w:divBdr>
            <w:top w:val="none" w:sz="0" w:space="0" w:color="auto"/>
            <w:left w:val="none" w:sz="0" w:space="0" w:color="auto"/>
            <w:bottom w:val="none" w:sz="0" w:space="0" w:color="auto"/>
            <w:right w:val="none" w:sz="0" w:space="0" w:color="auto"/>
          </w:divBdr>
        </w:div>
        <w:div w:id="1372345725">
          <w:marLeft w:val="1800"/>
          <w:marRight w:val="0"/>
          <w:marTop w:val="0"/>
          <w:marBottom w:val="0"/>
          <w:divBdr>
            <w:top w:val="none" w:sz="0" w:space="0" w:color="auto"/>
            <w:left w:val="none" w:sz="0" w:space="0" w:color="auto"/>
            <w:bottom w:val="none" w:sz="0" w:space="0" w:color="auto"/>
            <w:right w:val="none" w:sz="0" w:space="0" w:color="auto"/>
          </w:divBdr>
        </w:div>
        <w:div w:id="1004279275">
          <w:marLeft w:val="1166"/>
          <w:marRight w:val="0"/>
          <w:marTop w:val="0"/>
          <w:marBottom w:val="0"/>
          <w:divBdr>
            <w:top w:val="none" w:sz="0" w:space="0" w:color="auto"/>
            <w:left w:val="none" w:sz="0" w:space="0" w:color="auto"/>
            <w:bottom w:val="none" w:sz="0" w:space="0" w:color="auto"/>
            <w:right w:val="none" w:sz="0" w:space="0" w:color="auto"/>
          </w:divBdr>
        </w:div>
        <w:div w:id="1603345174">
          <w:marLeft w:val="1166"/>
          <w:marRight w:val="0"/>
          <w:marTop w:val="0"/>
          <w:marBottom w:val="0"/>
          <w:divBdr>
            <w:top w:val="none" w:sz="0" w:space="0" w:color="auto"/>
            <w:left w:val="none" w:sz="0" w:space="0" w:color="auto"/>
            <w:bottom w:val="none" w:sz="0" w:space="0" w:color="auto"/>
            <w:right w:val="none" w:sz="0" w:space="0" w:color="auto"/>
          </w:divBdr>
        </w:div>
      </w:divsChild>
    </w:div>
    <w:div w:id="1029910825">
      <w:bodyDiv w:val="1"/>
      <w:marLeft w:val="0"/>
      <w:marRight w:val="0"/>
      <w:marTop w:val="0"/>
      <w:marBottom w:val="0"/>
      <w:divBdr>
        <w:top w:val="none" w:sz="0" w:space="0" w:color="auto"/>
        <w:left w:val="none" w:sz="0" w:space="0" w:color="auto"/>
        <w:bottom w:val="none" w:sz="0" w:space="0" w:color="auto"/>
        <w:right w:val="none" w:sz="0" w:space="0" w:color="auto"/>
      </w:divBdr>
      <w:divsChild>
        <w:div w:id="2093698900">
          <w:marLeft w:val="547"/>
          <w:marRight w:val="0"/>
          <w:marTop w:val="0"/>
          <w:marBottom w:val="0"/>
          <w:divBdr>
            <w:top w:val="none" w:sz="0" w:space="0" w:color="auto"/>
            <w:left w:val="none" w:sz="0" w:space="0" w:color="auto"/>
            <w:bottom w:val="none" w:sz="0" w:space="0" w:color="auto"/>
            <w:right w:val="none" w:sz="0" w:space="0" w:color="auto"/>
          </w:divBdr>
        </w:div>
        <w:div w:id="1196238661">
          <w:marLeft w:val="1166"/>
          <w:marRight w:val="0"/>
          <w:marTop w:val="0"/>
          <w:marBottom w:val="0"/>
          <w:divBdr>
            <w:top w:val="none" w:sz="0" w:space="0" w:color="auto"/>
            <w:left w:val="none" w:sz="0" w:space="0" w:color="auto"/>
            <w:bottom w:val="none" w:sz="0" w:space="0" w:color="auto"/>
            <w:right w:val="none" w:sz="0" w:space="0" w:color="auto"/>
          </w:divBdr>
        </w:div>
        <w:div w:id="95564828">
          <w:marLeft w:val="1166"/>
          <w:marRight w:val="0"/>
          <w:marTop w:val="0"/>
          <w:marBottom w:val="0"/>
          <w:divBdr>
            <w:top w:val="none" w:sz="0" w:space="0" w:color="auto"/>
            <w:left w:val="none" w:sz="0" w:space="0" w:color="auto"/>
            <w:bottom w:val="none" w:sz="0" w:space="0" w:color="auto"/>
            <w:right w:val="none" w:sz="0" w:space="0" w:color="auto"/>
          </w:divBdr>
        </w:div>
        <w:div w:id="357662150">
          <w:marLeft w:val="1166"/>
          <w:marRight w:val="0"/>
          <w:marTop w:val="0"/>
          <w:marBottom w:val="0"/>
          <w:divBdr>
            <w:top w:val="none" w:sz="0" w:space="0" w:color="auto"/>
            <w:left w:val="none" w:sz="0" w:space="0" w:color="auto"/>
            <w:bottom w:val="none" w:sz="0" w:space="0" w:color="auto"/>
            <w:right w:val="none" w:sz="0" w:space="0" w:color="auto"/>
          </w:divBdr>
        </w:div>
        <w:div w:id="1445423470">
          <w:marLeft w:val="1166"/>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316">
      <w:bodyDiv w:val="1"/>
      <w:marLeft w:val="0"/>
      <w:marRight w:val="0"/>
      <w:marTop w:val="0"/>
      <w:marBottom w:val="0"/>
      <w:divBdr>
        <w:top w:val="none" w:sz="0" w:space="0" w:color="auto"/>
        <w:left w:val="none" w:sz="0" w:space="0" w:color="auto"/>
        <w:bottom w:val="none" w:sz="0" w:space="0" w:color="auto"/>
        <w:right w:val="none" w:sz="0" w:space="0" w:color="auto"/>
      </w:divBdr>
      <w:divsChild>
        <w:div w:id="57366895">
          <w:marLeft w:val="547"/>
          <w:marRight w:val="0"/>
          <w:marTop w:val="0"/>
          <w:marBottom w:val="0"/>
          <w:divBdr>
            <w:top w:val="none" w:sz="0" w:space="0" w:color="auto"/>
            <w:left w:val="none" w:sz="0" w:space="0" w:color="auto"/>
            <w:bottom w:val="none" w:sz="0" w:space="0" w:color="auto"/>
            <w:right w:val="none" w:sz="0" w:space="0" w:color="auto"/>
          </w:divBdr>
        </w:div>
        <w:div w:id="1794514058">
          <w:marLeft w:val="1166"/>
          <w:marRight w:val="0"/>
          <w:marTop w:val="0"/>
          <w:marBottom w:val="0"/>
          <w:divBdr>
            <w:top w:val="none" w:sz="0" w:space="0" w:color="auto"/>
            <w:left w:val="none" w:sz="0" w:space="0" w:color="auto"/>
            <w:bottom w:val="none" w:sz="0" w:space="0" w:color="auto"/>
            <w:right w:val="none" w:sz="0" w:space="0" w:color="auto"/>
          </w:divBdr>
        </w:div>
        <w:div w:id="203637065">
          <w:marLeft w:val="1800"/>
          <w:marRight w:val="0"/>
          <w:marTop w:val="0"/>
          <w:marBottom w:val="0"/>
          <w:divBdr>
            <w:top w:val="none" w:sz="0" w:space="0" w:color="auto"/>
            <w:left w:val="none" w:sz="0" w:space="0" w:color="auto"/>
            <w:bottom w:val="none" w:sz="0" w:space="0" w:color="auto"/>
            <w:right w:val="none" w:sz="0" w:space="0" w:color="auto"/>
          </w:divBdr>
        </w:div>
        <w:div w:id="1369258894">
          <w:marLeft w:val="1166"/>
          <w:marRight w:val="0"/>
          <w:marTop w:val="0"/>
          <w:marBottom w:val="0"/>
          <w:divBdr>
            <w:top w:val="none" w:sz="0" w:space="0" w:color="auto"/>
            <w:left w:val="none" w:sz="0" w:space="0" w:color="auto"/>
            <w:bottom w:val="none" w:sz="0" w:space="0" w:color="auto"/>
            <w:right w:val="none" w:sz="0" w:space="0" w:color="auto"/>
          </w:divBdr>
        </w:div>
        <w:div w:id="448160657">
          <w:marLeft w:val="1800"/>
          <w:marRight w:val="0"/>
          <w:marTop w:val="0"/>
          <w:marBottom w:val="0"/>
          <w:divBdr>
            <w:top w:val="none" w:sz="0" w:space="0" w:color="auto"/>
            <w:left w:val="none" w:sz="0" w:space="0" w:color="auto"/>
            <w:bottom w:val="none" w:sz="0" w:space="0" w:color="auto"/>
            <w:right w:val="none" w:sz="0" w:space="0" w:color="auto"/>
          </w:divBdr>
        </w:div>
        <w:div w:id="195503737">
          <w:marLeft w:val="1800"/>
          <w:marRight w:val="0"/>
          <w:marTop w:val="0"/>
          <w:marBottom w:val="0"/>
          <w:divBdr>
            <w:top w:val="none" w:sz="0" w:space="0" w:color="auto"/>
            <w:left w:val="none" w:sz="0" w:space="0" w:color="auto"/>
            <w:bottom w:val="none" w:sz="0" w:space="0" w:color="auto"/>
            <w:right w:val="none" w:sz="0" w:space="0" w:color="auto"/>
          </w:divBdr>
        </w:div>
        <w:div w:id="1827627297">
          <w:marLeft w:val="1800"/>
          <w:marRight w:val="0"/>
          <w:marTop w:val="0"/>
          <w:marBottom w:val="0"/>
          <w:divBdr>
            <w:top w:val="none" w:sz="0" w:space="0" w:color="auto"/>
            <w:left w:val="none" w:sz="0" w:space="0" w:color="auto"/>
            <w:bottom w:val="none" w:sz="0" w:space="0" w:color="auto"/>
            <w:right w:val="none" w:sz="0" w:space="0" w:color="auto"/>
          </w:divBdr>
        </w:div>
        <w:div w:id="273100829">
          <w:marLeft w:val="1166"/>
          <w:marRight w:val="0"/>
          <w:marTop w:val="0"/>
          <w:marBottom w:val="0"/>
          <w:divBdr>
            <w:top w:val="none" w:sz="0" w:space="0" w:color="auto"/>
            <w:left w:val="none" w:sz="0" w:space="0" w:color="auto"/>
            <w:bottom w:val="none" w:sz="0" w:space="0" w:color="auto"/>
            <w:right w:val="none" w:sz="0" w:space="0" w:color="auto"/>
          </w:divBdr>
        </w:div>
        <w:div w:id="1980645332">
          <w:marLeft w:val="1800"/>
          <w:marRight w:val="0"/>
          <w:marTop w:val="0"/>
          <w:marBottom w:val="0"/>
          <w:divBdr>
            <w:top w:val="none" w:sz="0" w:space="0" w:color="auto"/>
            <w:left w:val="none" w:sz="0" w:space="0" w:color="auto"/>
            <w:bottom w:val="none" w:sz="0" w:space="0" w:color="auto"/>
            <w:right w:val="none" w:sz="0" w:space="0" w:color="auto"/>
          </w:divBdr>
        </w:div>
        <w:div w:id="1238051989">
          <w:marLeft w:val="1800"/>
          <w:marRight w:val="0"/>
          <w:marTop w:val="0"/>
          <w:marBottom w:val="0"/>
          <w:divBdr>
            <w:top w:val="none" w:sz="0" w:space="0" w:color="auto"/>
            <w:left w:val="none" w:sz="0" w:space="0" w:color="auto"/>
            <w:bottom w:val="none" w:sz="0" w:space="0" w:color="auto"/>
            <w:right w:val="none" w:sz="0" w:space="0" w:color="auto"/>
          </w:divBdr>
        </w:div>
        <w:div w:id="98598731">
          <w:marLeft w:val="1166"/>
          <w:marRight w:val="0"/>
          <w:marTop w:val="0"/>
          <w:marBottom w:val="0"/>
          <w:divBdr>
            <w:top w:val="none" w:sz="0" w:space="0" w:color="auto"/>
            <w:left w:val="none" w:sz="0" w:space="0" w:color="auto"/>
            <w:bottom w:val="none" w:sz="0" w:space="0" w:color="auto"/>
            <w:right w:val="none" w:sz="0" w:space="0" w:color="auto"/>
          </w:divBdr>
        </w:div>
        <w:div w:id="486241001">
          <w:marLeft w:val="1800"/>
          <w:marRight w:val="0"/>
          <w:marTop w:val="0"/>
          <w:marBottom w:val="0"/>
          <w:divBdr>
            <w:top w:val="none" w:sz="0" w:space="0" w:color="auto"/>
            <w:left w:val="none" w:sz="0" w:space="0" w:color="auto"/>
            <w:bottom w:val="none" w:sz="0" w:space="0" w:color="auto"/>
            <w:right w:val="none" w:sz="0" w:space="0" w:color="auto"/>
          </w:divBdr>
        </w:div>
        <w:div w:id="2062317284">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1745672">
      <w:bodyDiv w:val="1"/>
      <w:marLeft w:val="0"/>
      <w:marRight w:val="0"/>
      <w:marTop w:val="0"/>
      <w:marBottom w:val="0"/>
      <w:divBdr>
        <w:top w:val="none" w:sz="0" w:space="0" w:color="auto"/>
        <w:left w:val="none" w:sz="0" w:space="0" w:color="auto"/>
        <w:bottom w:val="none" w:sz="0" w:space="0" w:color="auto"/>
        <w:right w:val="none" w:sz="0" w:space="0" w:color="auto"/>
      </w:divBdr>
      <w:divsChild>
        <w:div w:id="1450933085">
          <w:marLeft w:val="547"/>
          <w:marRight w:val="0"/>
          <w:marTop w:val="0"/>
          <w:marBottom w:val="0"/>
          <w:divBdr>
            <w:top w:val="none" w:sz="0" w:space="0" w:color="auto"/>
            <w:left w:val="none" w:sz="0" w:space="0" w:color="auto"/>
            <w:bottom w:val="none" w:sz="0" w:space="0" w:color="auto"/>
            <w:right w:val="none" w:sz="0" w:space="0" w:color="auto"/>
          </w:divBdr>
        </w:div>
        <w:div w:id="434058768">
          <w:marLeft w:val="547"/>
          <w:marRight w:val="0"/>
          <w:marTop w:val="0"/>
          <w:marBottom w:val="0"/>
          <w:divBdr>
            <w:top w:val="none" w:sz="0" w:space="0" w:color="auto"/>
            <w:left w:val="none" w:sz="0" w:space="0" w:color="auto"/>
            <w:bottom w:val="none" w:sz="0" w:space="0" w:color="auto"/>
            <w:right w:val="none" w:sz="0" w:space="0" w:color="auto"/>
          </w:divBdr>
        </w:div>
        <w:div w:id="1438914360">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2603</Words>
  <Characters>14021</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16591</CharactersWithSpaces>
  <SharedDoc>false</SharedDoc>
  <HLinks>
    <vt:vector size="18" baseType="variant">
      <vt:variant>
        <vt:i4>7012367</vt:i4>
      </vt:variant>
      <vt:variant>
        <vt:i4>6</vt:i4>
      </vt:variant>
      <vt:variant>
        <vt:i4>0</vt:i4>
      </vt:variant>
      <vt:variant>
        <vt:i4>5</vt:i4>
      </vt:variant>
      <vt:variant>
        <vt:lpwstr>mailto:arman.ahmadzadeh@nokia.com</vt:lpwstr>
      </vt:variant>
      <vt:variant>
        <vt:lpwstr/>
      </vt:variant>
      <vt:variant>
        <vt:i4>7012367</vt:i4>
      </vt:variant>
      <vt:variant>
        <vt:i4>3</vt:i4>
      </vt:variant>
      <vt:variant>
        <vt:i4>0</vt:i4>
      </vt:variant>
      <vt:variant>
        <vt:i4>5</vt:i4>
      </vt:variant>
      <vt:variant>
        <vt:lpwstr>mailto:arman.ahmadzadeh@nokia.com</vt:lpwstr>
      </vt:variant>
      <vt:variant>
        <vt:lpwstr/>
      </vt:variant>
      <vt:variant>
        <vt:i4>7012367</vt:i4>
      </vt:variant>
      <vt:variant>
        <vt:i4>0</vt:i4>
      </vt:variant>
      <vt:variant>
        <vt:i4>0</vt:i4>
      </vt:variant>
      <vt:variant>
        <vt:i4>5</vt:i4>
      </vt:variant>
      <vt:variant>
        <vt:lpwstr>mailto:arman.ahmadzadeh@nokia.com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2023-08-11T12:25:00Z</dcterms:created>
  <dcterms:modified xsi:type="dcterms:W3CDTF">2023-08-11T12:25:00Z</dcterms:modified>
</cp:coreProperties>
</file>