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60757CA9" w:rsidR="008D4E3F" w:rsidRPr="000A47FB" w:rsidRDefault="002B12D1" w:rsidP="008D4E3F">
      <w:pPr>
        <w:pStyle w:val="Header"/>
        <w:tabs>
          <w:tab w:val="right" w:pos="9639"/>
        </w:tabs>
        <w:rPr>
          <w:bCs/>
          <w:noProof w:val="0"/>
          <w:sz w:val="24"/>
          <w:szCs w:val="24"/>
          <w:highlight w:val="yellow"/>
        </w:rPr>
      </w:pPr>
      <w:bookmarkStart w:id="0" w:name="_Hlk68690920"/>
      <w:r w:rsidRPr="002B12D1">
        <w:rPr>
          <w:bCs/>
          <w:noProof w:val="0"/>
          <w:sz w:val="24"/>
          <w:szCs w:val="24"/>
        </w:rPr>
        <w:t>3GPP TSG RAN WG1 #113</w:t>
      </w:r>
      <w:r w:rsidR="00452DC7" w:rsidRPr="002A7401">
        <w:rPr>
          <w:bCs/>
          <w:noProof w:val="0"/>
          <w:sz w:val="24"/>
          <w:szCs w:val="24"/>
        </w:rPr>
        <w:t xml:space="preserve"> </w:t>
      </w:r>
      <w:r w:rsidR="00452DC7" w:rsidRPr="002A7401">
        <w:tab/>
      </w:r>
      <w:r w:rsidR="00C24724" w:rsidRPr="00262345">
        <w:rPr>
          <w:sz w:val="24"/>
          <w:szCs w:val="24"/>
        </w:rPr>
        <w:t>R1-</w:t>
      </w:r>
      <w:r w:rsidR="00F546A3" w:rsidRPr="00B97476">
        <w:rPr>
          <w:sz w:val="24"/>
          <w:szCs w:val="24"/>
        </w:rPr>
        <w:t>23</w:t>
      </w:r>
      <w:r w:rsidR="00F546A3">
        <w:rPr>
          <w:sz w:val="24"/>
          <w:szCs w:val="24"/>
        </w:rPr>
        <w:t>06879</w:t>
      </w:r>
    </w:p>
    <w:p w14:paraId="0513CBBD" w14:textId="2AC1AF26" w:rsidR="003407CF" w:rsidRPr="003407CF" w:rsidRDefault="00C8456B" w:rsidP="003407CF">
      <w:pPr>
        <w:tabs>
          <w:tab w:val="center" w:pos="4536"/>
          <w:tab w:val="right" w:pos="9072"/>
        </w:tabs>
        <w:rPr>
          <w:rFonts w:ascii="Arial" w:eastAsia="宋体" w:hAnsi="Arial" w:cs="Arial"/>
          <w:b/>
          <w:bCs/>
          <w:sz w:val="24"/>
          <w:szCs w:val="24"/>
        </w:rPr>
      </w:pPr>
      <w:r w:rsidRPr="00C8456B">
        <w:rPr>
          <w:rFonts w:ascii="Arial" w:eastAsia="宋体" w:hAnsi="Arial" w:cs="Arial"/>
          <w:b/>
          <w:bCs/>
          <w:sz w:val="24"/>
          <w:szCs w:val="24"/>
        </w:rPr>
        <w:t>Toulouse, France, August 21st – August 25th, 2023</w:t>
      </w:r>
    </w:p>
    <w:p w14:paraId="4C654E43" w14:textId="0ED9FDDA"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w:t>
      </w:r>
      <w:r w:rsidR="008463A8">
        <w:rPr>
          <w:rFonts w:cs="Arial"/>
          <w:b/>
          <w:bCs/>
          <w:sz w:val="24"/>
          <w:szCs w:val="24"/>
        </w:rPr>
        <w:t>9</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NB-IoT/</w:t>
      </w:r>
      <w:proofErr w:type="spellStart"/>
      <w:r w:rsidR="0B50ADC5" w:rsidRPr="0B50ADC5">
        <w:rPr>
          <w:rFonts w:ascii="Arial" w:hAnsi="Arial" w:cs="Arial"/>
          <w:b/>
          <w:bCs/>
          <w:sz w:val="24"/>
          <w:szCs w:val="24"/>
          <w:lang w:val="en-GB"/>
        </w:rPr>
        <w:t>eMTC</w:t>
      </w:r>
      <w:proofErr w:type="spellEnd"/>
      <w:r w:rsidR="0B50ADC5" w:rsidRPr="0B50ADC5">
        <w:rPr>
          <w:rFonts w:ascii="Arial" w:hAnsi="Arial" w:cs="Arial"/>
          <w:b/>
          <w:bCs/>
          <w:sz w:val="24"/>
          <w:szCs w:val="24"/>
          <w:lang w:val="en-GB"/>
        </w:rPr>
        <w:t xml:space="preserve">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B03A62">
        <w:tc>
          <w:tcPr>
            <w:tcW w:w="9629" w:type="dxa"/>
            <w:tcMar>
              <w:top w:w="57" w:type="dxa"/>
              <w:bottom w:w="57" w:type="dxa"/>
            </w:tcMar>
            <w:vAlign w:val="center"/>
          </w:tcPr>
          <w:p w14:paraId="3DF1C988" w14:textId="72BB402E"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026EBB18" w14:textId="77777777" w:rsidR="00B03A62" w:rsidRPr="00B03A62" w:rsidRDefault="00B03A62" w:rsidP="00B03A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This work considers Rel-17 IoT-NTN as baseline as well as Rel-17 NR-NTN outcome and the further IoT-NTN performance enhancements objectives are listed below:</w:t>
            </w:r>
          </w:p>
          <w:p w14:paraId="6D0C38CB" w14:textId="77777777"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Disabling of HARQ feedback to mitigate impact of HARQ stalling on UE data rates [RAN</w:t>
            </w:r>
            <w:proofErr w:type="gramStart"/>
            <w:r w:rsidRPr="00B03A62">
              <w:rPr>
                <w:rFonts w:ascii="Times New Roman" w:eastAsia="Times New Roman" w:hAnsi="Times New Roman" w:cs="Times New Roman"/>
                <w:sz w:val="20"/>
                <w:szCs w:val="20"/>
                <w:lang w:val="en-GB"/>
              </w:rPr>
              <w:t>1,RAN</w:t>
            </w:r>
            <w:proofErr w:type="gramEnd"/>
            <w:r w:rsidRPr="00B03A62">
              <w:rPr>
                <w:rFonts w:ascii="Times New Roman" w:eastAsia="Times New Roman" w:hAnsi="Times New Roman" w:cs="Times New Roman"/>
                <w:sz w:val="20"/>
                <w:szCs w:val="20"/>
                <w:lang w:val="en-GB"/>
              </w:rPr>
              <w:t>2]</w:t>
            </w:r>
          </w:p>
          <w:p w14:paraId="08EBC2FB" w14:textId="0BD51B1A"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Study and specify needed improved GNSS operations for a new position fix for UE pre-compensation during long connection times and for reduced power consumption. Simultaneous GNSS and NTN NB-IoT/</w:t>
            </w:r>
            <w:proofErr w:type="spellStart"/>
            <w:r w:rsidRPr="00B03A62">
              <w:rPr>
                <w:rFonts w:ascii="Times New Roman" w:eastAsia="Times New Roman" w:hAnsi="Times New Roman" w:cs="Times New Roman"/>
                <w:sz w:val="20"/>
                <w:szCs w:val="20"/>
                <w:lang w:val="en-GB"/>
              </w:rPr>
              <w:t>eMTC</w:t>
            </w:r>
            <w:proofErr w:type="spellEnd"/>
            <w:r w:rsidRPr="00B03A62">
              <w:rPr>
                <w:rFonts w:ascii="Times New Roman" w:eastAsia="Times New Roman" w:hAnsi="Times New Roman" w:cs="Times New Roman"/>
                <w:sz w:val="20"/>
                <w:szCs w:val="20"/>
                <w:lang w:val="en-GB"/>
              </w:rPr>
              <w:t xml:space="preserve"> operation is not assumed</w:t>
            </w:r>
            <w:r w:rsidRPr="00B03A62">
              <w:rPr>
                <w:rFonts w:ascii="Times New Roman" w:eastAsia="Times New Roman" w:hAnsi="Times New Roman" w:cs="Times New Roman"/>
                <w:lang w:val="en-GB"/>
              </w:rPr>
              <w:t>.</w:t>
            </w:r>
            <w:r w:rsidRPr="00B03A62">
              <w:rPr>
                <w:rFonts w:ascii="Times New Roman" w:eastAsia="Times New Roman" w:hAnsi="Times New Roman" w:cs="Times New Roman"/>
                <w:sz w:val="20"/>
                <w:szCs w:val="20"/>
                <w:lang w:val="en-GB"/>
              </w:rPr>
              <w:t xml:space="preserve"> [RAN1, RAN2]</w:t>
            </w:r>
          </w:p>
          <w:p w14:paraId="7CBFFA8B" w14:textId="14F1BC42" w:rsidR="0080410A" w:rsidRPr="00B03A62" w:rsidRDefault="00B03A62" w:rsidP="00B03A62">
            <w:pPr>
              <w:numPr>
                <w:ilvl w:val="0"/>
                <w:numId w:val="33"/>
              </w:numPr>
              <w:overflowPunct w:val="0"/>
              <w:autoSpaceDE w:val="0"/>
              <w:autoSpaceDN w:val="0"/>
              <w:adjustRightInd w:val="0"/>
              <w:spacing w:after="120" w:line="240" w:lineRule="auto"/>
              <w:ind w:left="1077" w:hanging="357"/>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7BC836EC" w14:textId="77777777" w:rsidR="002D6F23" w:rsidRPr="00247B7B" w:rsidRDefault="002D6F23" w:rsidP="002D6F23">
      <w:pPr>
        <w:spacing w:before="160"/>
        <w:jc w:val="both"/>
        <w:rPr>
          <w:rFonts w:ascii="Times New Roman" w:hAnsi="Times New Roman" w:cs="Times New Roman"/>
          <w:sz w:val="20"/>
          <w:szCs w:val="20"/>
        </w:rPr>
      </w:pPr>
      <w:r>
        <w:t xml:space="preserve">In this contribution, we provide further analysis and discussion on HARQ feedback enabling/disabling signaling mechanism and related issues. </w:t>
      </w:r>
    </w:p>
    <w:p w14:paraId="127D276C" w14:textId="77777777" w:rsidR="008D4E3F" w:rsidRDefault="008D4E3F" w:rsidP="003E5AFA">
      <w:pPr>
        <w:pStyle w:val="Heading1"/>
      </w:pPr>
      <w:r>
        <w:t>Discussion</w:t>
      </w:r>
    </w:p>
    <w:p w14:paraId="6137A5F8" w14:textId="7BF8DBD4" w:rsidR="008D4E3F" w:rsidRPr="00EC7650" w:rsidRDefault="7AEBBA00" w:rsidP="008D4E3F">
      <w:pPr>
        <w:pStyle w:val="Heading2"/>
        <w:rPr>
          <w:lang w:val="en-US"/>
        </w:rPr>
      </w:pPr>
      <w:r w:rsidRPr="494F3B94">
        <w:rPr>
          <w:lang w:val="en-US"/>
        </w:rPr>
        <w:t xml:space="preserve">HARQ feedback enabling/disabling </w:t>
      </w:r>
      <w:r w:rsidR="00B27A16">
        <w:rPr>
          <w:lang w:val="en-US"/>
        </w:rPr>
        <w:t>configuration and indication</w:t>
      </w:r>
    </w:p>
    <w:p w14:paraId="64E8ABBC" w14:textId="422A5799" w:rsidR="00D81ADC" w:rsidRDefault="00D81ADC" w:rsidP="00DC26CC">
      <w:pPr>
        <w:spacing w:line="257" w:lineRule="auto"/>
        <w:jc w:val="both"/>
        <w:rPr>
          <w:rFonts w:ascii="Calibri" w:eastAsia="Calibri" w:hAnsi="Calibri" w:cs="Calibri"/>
          <w:lang w:val="en-GB"/>
        </w:rPr>
      </w:pPr>
      <w:r>
        <w:rPr>
          <w:rFonts w:ascii="Calibri" w:eastAsia="Calibri" w:hAnsi="Calibri" w:cs="Calibri"/>
          <w:lang w:val="en-GB"/>
        </w:rPr>
        <w:t xml:space="preserve">In RAN1#112bis </w:t>
      </w:r>
      <w:r>
        <w:rPr>
          <w:rFonts w:ascii="Calibri" w:eastAsia="Calibri" w:hAnsi="Calibri" w:cs="Calibri"/>
          <w:lang w:val="en-GB"/>
        </w:rPr>
        <w:fldChar w:fldCharType="begin"/>
      </w:r>
      <w:r>
        <w:rPr>
          <w:rFonts w:ascii="Calibri" w:eastAsia="Calibri" w:hAnsi="Calibri" w:cs="Calibri"/>
          <w:lang w:val="en-GB"/>
        </w:rPr>
        <w:instrText xml:space="preserve"> REF _Ref117621126 \r \h </w:instrText>
      </w:r>
      <w:r>
        <w:rPr>
          <w:rFonts w:ascii="Calibri" w:eastAsia="Calibri" w:hAnsi="Calibri" w:cs="Calibri"/>
          <w:lang w:val="en-GB"/>
        </w:rPr>
      </w:r>
      <w:r>
        <w:rPr>
          <w:rFonts w:ascii="Calibri" w:eastAsia="Calibri" w:hAnsi="Calibri" w:cs="Calibri"/>
          <w:lang w:val="en-GB"/>
        </w:rPr>
        <w:fldChar w:fldCharType="separate"/>
      </w:r>
      <w:r>
        <w:rPr>
          <w:rFonts w:ascii="Calibri" w:eastAsia="Calibri" w:hAnsi="Calibri" w:cs="Calibri"/>
          <w:lang w:val="en-GB"/>
        </w:rPr>
        <w:t>[2]</w:t>
      </w:r>
      <w:r>
        <w:rPr>
          <w:rFonts w:ascii="Calibri" w:eastAsia="Calibri" w:hAnsi="Calibri" w:cs="Calibri"/>
          <w:lang w:val="en-GB"/>
        </w:rPr>
        <w:fldChar w:fldCharType="end"/>
      </w:r>
      <w:r>
        <w:rPr>
          <w:rFonts w:ascii="Calibri" w:eastAsia="Calibri" w:hAnsi="Calibri" w:cs="Calibri"/>
          <w:lang w:val="en-GB"/>
        </w:rPr>
        <w:t>, we agreed that DCI-based HARQ feedback enabling/disabling indication (Option 3) can be an overridden mechanism, or a direction indication:</w:t>
      </w:r>
    </w:p>
    <w:tbl>
      <w:tblPr>
        <w:tblStyle w:val="TableGrid"/>
        <w:tblW w:w="9630" w:type="dxa"/>
        <w:tblLayout w:type="fixed"/>
        <w:tblLook w:val="04A0" w:firstRow="1" w:lastRow="0" w:firstColumn="1" w:lastColumn="0" w:noHBand="0" w:noVBand="1"/>
      </w:tblPr>
      <w:tblGrid>
        <w:gridCol w:w="9630"/>
      </w:tblGrid>
      <w:tr w:rsidR="494F3B94" w14:paraId="21DD0AE7" w14:textId="77777777" w:rsidTr="00D35DBC">
        <w:tc>
          <w:tcPr>
            <w:tcW w:w="9630" w:type="dxa"/>
            <w:tcBorders>
              <w:top w:val="single" w:sz="8" w:space="0" w:color="auto"/>
              <w:left w:val="single" w:sz="8" w:space="0" w:color="auto"/>
              <w:bottom w:val="single" w:sz="8" w:space="0" w:color="auto"/>
              <w:right w:val="single" w:sz="8" w:space="0" w:color="auto"/>
            </w:tcBorders>
            <w:tcMar>
              <w:top w:w="57" w:type="dxa"/>
              <w:bottom w:w="57" w:type="dxa"/>
            </w:tcMar>
            <w:vAlign w:val="center"/>
          </w:tcPr>
          <w:p w14:paraId="2AAADC89" w14:textId="77777777" w:rsidR="006B0AE6" w:rsidRPr="006B0AE6" w:rsidRDefault="006B0AE6" w:rsidP="006B0AE6">
            <w:pPr>
              <w:tabs>
                <w:tab w:val="left" w:pos="1064"/>
              </w:tabs>
              <w:spacing w:after="0" w:line="240" w:lineRule="auto"/>
              <w:rPr>
                <w:rFonts w:ascii="Times" w:eastAsia="Batang" w:hAnsi="Times" w:cs="Times New Roman"/>
                <w:b/>
                <w:sz w:val="20"/>
                <w:szCs w:val="24"/>
                <w:highlight w:val="green"/>
                <w:lang w:val="en-GB" w:eastAsia="x-none"/>
              </w:rPr>
            </w:pPr>
            <w:r w:rsidRPr="006B0AE6">
              <w:rPr>
                <w:rFonts w:ascii="Times" w:eastAsia="Batang" w:hAnsi="Times" w:cs="Times New Roman" w:hint="eastAsia"/>
                <w:b/>
                <w:sz w:val="20"/>
                <w:szCs w:val="24"/>
                <w:highlight w:val="green"/>
                <w:lang w:val="en-GB" w:eastAsia="x-none"/>
              </w:rPr>
              <w:t>Agreement</w:t>
            </w:r>
          </w:p>
          <w:p w14:paraId="77DB46A3" w14:textId="77777777" w:rsidR="006B0AE6" w:rsidRPr="006B0AE6" w:rsidRDefault="006B0AE6" w:rsidP="006B0AE6">
            <w:pPr>
              <w:spacing w:after="0" w:line="240" w:lineRule="auto"/>
              <w:rPr>
                <w:rFonts w:ascii="Times" w:eastAsia="Batang" w:hAnsi="Times" w:cs="Times New Roman"/>
                <w:sz w:val="20"/>
                <w:szCs w:val="20"/>
                <w:lang w:val="en-GB" w:eastAsia="en-US"/>
              </w:rPr>
            </w:pPr>
            <w:r w:rsidRPr="006B0AE6">
              <w:rPr>
                <w:rFonts w:ascii="Times" w:eastAsia="Batang" w:hAnsi="Times" w:cs="Times New Roman"/>
                <w:sz w:val="20"/>
                <w:szCs w:val="20"/>
                <w:lang w:val="en-GB" w:eastAsia="en-US"/>
              </w:rPr>
              <w:t>For Option 3 DCI indication:</w:t>
            </w:r>
          </w:p>
          <w:p w14:paraId="3231D75F" w14:textId="77777777" w:rsidR="006B0AE6" w:rsidRPr="006B0AE6" w:rsidRDefault="006B0AE6" w:rsidP="006B0AE6">
            <w:pPr>
              <w:numPr>
                <w:ilvl w:val="0"/>
                <w:numId w:val="25"/>
              </w:numPr>
              <w:snapToGrid w:val="0"/>
              <w:spacing w:after="0" w:line="240" w:lineRule="auto"/>
              <w:ind w:left="720"/>
              <w:rPr>
                <w:rFonts w:ascii="Times" w:eastAsia="Batang" w:hAnsi="Times" w:cs="Times New Roman"/>
                <w:sz w:val="20"/>
                <w:szCs w:val="18"/>
                <w:lang w:eastAsia="en-US"/>
              </w:rPr>
            </w:pPr>
            <w:r w:rsidRPr="006B0AE6">
              <w:rPr>
                <w:rFonts w:ascii="Times" w:eastAsia="Batang" w:hAnsi="Times" w:cs="Times New Roman"/>
                <w:sz w:val="20"/>
                <w:szCs w:val="18"/>
                <w:lang w:eastAsia="en-US"/>
              </w:rPr>
              <w:t>Option A: when both per-HARQ process bitmap and DCI solution enabling/disabling signaling are configured</w:t>
            </w:r>
          </w:p>
          <w:p w14:paraId="3D20309A" w14:textId="77777777" w:rsidR="006B0AE6" w:rsidRPr="006B0AE6" w:rsidRDefault="006B0AE6" w:rsidP="006B0AE6">
            <w:pPr>
              <w:numPr>
                <w:ilvl w:val="1"/>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DCI-based overridden mechanism is DCI signaling to reverse the HARQ feedback enable/disable for the corresponding transmission from per-HARQ process RRC configuration</w:t>
            </w:r>
          </w:p>
          <w:p w14:paraId="16F55CAA" w14:textId="77777777" w:rsidR="006B0AE6" w:rsidRPr="006B0AE6" w:rsidRDefault="006B0AE6" w:rsidP="006B0AE6">
            <w:pPr>
              <w:numPr>
                <w:ilvl w:val="2"/>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 xml:space="preserve">For single TB scheduled by DCI, the DCI based overridden indication is applied to one of the following options (to be </w:t>
            </w:r>
            <w:proofErr w:type="gramStart"/>
            <w:r w:rsidRPr="006B0AE6">
              <w:rPr>
                <w:rFonts w:ascii="Times" w:eastAsia="Batang" w:hAnsi="Times" w:cs="Times New Roman"/>
                <w:sz w:val="20"/>
                <w:szCs w:val="18"/>
                <w:lang w:eastAsia="en-US"/>
              </w:rPr>
              <w:t>down-selected</w:t>
            </w:r>
            <w:proofErr w:type="gramEnd"/>
            <w:r w:rsidRPr="006B0AE6">
              <w:rPr>
                <w:rFonts w:ascii="Times" w:eastAsia="Batang" w:hAnsi="Times" w:cs="Times New Roman"/>
                <w:sz w:val="20"/>
                <w:szCs w:val="18"/>
                <w:lang w:eastAsia="en-US"/>
              </w:rPr>
              <w:t>):</w:t>
            </w:r>
          </w:p>
          <w:p w14:paraId="5DF09BA1" w14:textId="77777777" w:rsidR="006B0AE6" w:rsidRPr="006B0AE6" w:rsidRDefault="006B0AE6" w:rsidP="006B0AE6">
            <w:pPr>
              <w:numPr>
                <w:ilvl w:val="3"/>
                <w:numId w:val="38"/>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Option A-1: only applied to semi-statically HARQ disabled processes</w:t>
            </w:r>
          </w:p>
          <w:p w14:paraId="728F6054" w14:textId="77777777" w:rsidR="006B0AE6" w:rsidRPr="006B0AE6" w:rsidRDefault="006B0AE6" w:rsidP="006B0AE6">
            <w:pPr>
              <w:numPr>
                <w:ilvl w:val="3"/>
                <w:numId w:val="38"/>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Option A-4: applied to both semi-statically HARQ disabled and enabled processes</w:t>
            </w:r>
          </w:p>
          <w:p w14:paraId="016F657D" w14:textId="77777777" w:rsidR="006B0AE6" w:rsidRPr="006B0AE6" w:rsidRDefault="006B0AE6" w:rsidP="006B0AE6">
            <w:pPr>
              <w:numPr>
                <w:ilvl w:val="2"/>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FFS for multiple TBs scheduled by single DCI</w:t>
            </w:r>
          </w:p>
          <w:p w14:paraId="29952056" w14:textId="77777777" w:rsidR="006B0AE6" w:rsidRPr="006B0AE6" w:rsidRDefault="006B0AE6" w:rsidP="006B0AE6">
            <w:pPr>
              <w:numPr>
                <w:ilvl w:val="0"/>
                <w:numId w:val="25"/>
              </w:numPr>
              <w:snapToGrid w:val="0"/>
              <w:spacing w:after="0" w:line="240" w:lineRule="auto"/>
              <w:ind w:left="720"/>
              <w:rPr>
                <w:rFonts w:ascii="Times" w:eastAsia="Batang" w:hAnsi="Times" w:cs="Times New Roman"/>
                <w:bCs/>
                <w:iCs/>
                <w:sz w:val="20"/>
                <w:szCs w:val="24"/>
                <w:lang w:eastAsia="x-none"/>
              </w:rPr>
            </w:pPr>
            <w:r w:rsidRPr="006B0AE6">
              <w:rPr>
                <w:rFonts w:ascii="Times" w:eastAsia="Batang" w:hAnsi="Times" w:cs="Times New Roman"/>
                <w:bCs/>
                <w:iCs/>
                <w:sz w:val="20"/>
                <w:szCs w:val="24"/>
                <w:lang w:eastAsia="x-none"/>
              </w:rPr>
              <w:t>Option B: DCI-based HARQ enabling/disabling direct indication in case DCI solution enabling/disabling signaling is configured and per-HARQ process bitmap signaling is not configured (</w:t>
            </w:r>
            <w:proofErr w:type="gramStart"/>
            <w:r w:rsidRPr="006B0AE6">
              <w:rPr>
                <w:rFonts w:ascii="Times" w:eastAsia="Batang" w:hAnsi="Times" w:cs="Times New Roman"/>
                <w:bCs/>
                <w:iCs/>
                <w:sz w:val="20"/>
                <w:szCs w:val="24"/>
                <w:lang w:eastAsia="x-none"/>
              </w:rPr>
              <w:t>i.e.</w:t>
            </w:r>
            <w:proofErr w:type="gramEnd"/>
            <w:r w:rsidRPr="006B0AE6">
              <w:rPr>
                <w:rFonts w:ascii="Times" w:eastAsia="Batang" w:hAnsi="Times" w:cs="Times New Roman"/>
                <w:bCs/>
                <w:iCs/>
                <w:sz w:val="20"/>
                <w:szCs w:val="24"/>
                <w:lang w:eastAsia="x-none"/>
              </w:rPr>
              <w:t xml:space="preserve"> no bitmap is configured)</w:t>
            </w:r>
          </w:p>
          <w:p w14:paraId="5906585C" w14:textId="77777777" w:rsidR="006B0AE6" w:rsidRPr="006B0AE6" w:rsidRDefault="006B0AE6" w:rsidP="006B0AE6">
            <w:pPr>
              <w:numPr>
                <w:ilvl w:val="1"/>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DCI-based mechanism is DCI signaling to directly indicate the HARQ feedback enable/disable for the corresponding transmission</w:t>
            </w:r>
          </w:p>
          <w:p w14:paraId="6378B3F3" w14:textId="77777777" w:rsidR="006B0AE6" w:rsidRPr="006B0AE6" w:rsidRDefault="006B0AE6" w:rsidP="006B0AE6">
            <w:pPr>
              <w:numPr>
                <w:ilvl w:val="2"/>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lastRenderedPageBreak/>
              <w:t>For single TB scheduled by DCI, DCI-based direct indication is applied to the scheduled TB</w:t>
            </w:r>
          </w:p>
          <w:p w14:paraId="1C60A43F" w14:textId="10775F5A" w:rsidR="002E23F0" w:rsidRPr="006B0AE6" w:rsidRDefault="006B0AE6" w:rsidP="00C83E44">
            <w:pPr>
              <w:numPr>
                <w:ilvl w:val="2"/>
                <w:numId w:val="25"/>
              </w:numPr>
              <w:snapToGrid w:val="0"/>
              <w:spacing w:after="0" w:line="240" w:lineRule="auto"/>
              <w:rPr>
                <w:rFonts w:ascii="Times New Roman" w:eastAsia="Batang" w:hAnsi="Times New Roman" w:cs="Times New Roman"/>
                <w:iCs/>
                <w:sz w:val="20"/>
                <w:szCs w:val="20"/>
              </w:rPr>
            </w:pPr>
            <w:r w:rsidRPr="006B0AE6">
              <w:rPr>
                <w:rFonts w:ascii="Times" w:eastAsia="Batang" w:hAnsi="Times" w:cs="Times New Roman"/>
                <w:sz w:val="20"/>
                <w:szCs w:val="18"/>
                <w:lang w:eastAsia="en-US"/>
              </w:rPr>
              <w:t>FFS for multiple TBs scheduled by single DCI</w:t>
            </w:r>
          </w:p>
        </w:tc>
      </w:tr>
    </w:tbl>
    <w:p w14:paraId="0CCAD12C" w14:textId="1B95CA96" w:rsidR="00F17CDB" w:rsidRDefault="00D81ADC" w:rsidP="00D35DBC">
      <w:pPr>
        <w:spacing w:before="120" w:line="257" w:lineRule="auto"/>
        <w:jc w:val="both"/>
        <w:rPr>
          <w:rFonts w:ascii="Calibri" w:eastAsia="Calibri" w:hAnsi="Calibri" w:cs="Calibri"/>
          <w:lang w:val="en-GB"/>
        </w:rPr>
      </w:pPr>
      <w:r>
        <w:rPr>
          <w:rFonts w:ascii="Calibri" w:eastAsia="Calibri" w:hAnsi="Calibri" w:cs="Calibri"/>
          <w:lang w:val="en-GB"/>
        </w:rPr>
        <w:lastRenderedPageBreak/>
        <w:t>In RAN1#113</w:t>
      </w:r>
      <w:r w:rsidR="00000704">
        <w:rPr>
          <w:rFonts w:ascii="Calibri" w:eastAsia="Calibri" w:hAnsi="Calibri" w:cs="Calibri"/>
          <w:lang w:val="en-GB"/>
        </w:rPr>
        <w:t xml:space="preserve"> </w:t>
      </w:r>
      <w:r w:rsidR="00000704">
        <w:rPr>
          <w:rFonts w:ascii="Calibri" w:eastAsia="Calibri" w:hAnsi="Calibri" w:cs="Calibri"/>
          <w:lang w:val="en-GB"/>
        </w:rPr>
        <w:fldChar w:fldCharType="begin"/>
      </w:r>
      <w:r w:rsidR="00000704">
        <w:rPr>
          <w:rFonts w:ascii="Calibri" w:eastAsia="Calibri" w:hAnsi="Calibri" w:cs="Calibri"/>
          <w:lang w:val="en-GB"/>
        </w:rPr>
        <w:instrText xml:space="preserve"> REF _Ref141200037 \r \h </w:instrText>
      </w:r>
      <w:r w:rsidR="00000704">
        <w:rPr>
          <w:rFonts w:ascii="Calibri" w:eastAsia="Calibri" w:hAnsi="Calibri" w:cs="Calibri"/>
          <w:lang w:val="en-GB"/>
        </w:rPr>
      </w:r>
      <w:r w:rsidR="00000704">
        <w:rPr>
          <w:rFonts w:ascii="Calibri" w:eastAsia="Calibri" w:hAnsi="Calibri" w:cs="Calibri"/>
          <w:lang w:val="en-GB"/>
        </w:rPr>
        <w:fldChar w:fldCharType="separate"/>
      </w:r>
      <w:r w:rsidR="00000704">
        <w:rPr>
          <w:rFonts w:ascii="Calibri" w:eastAsia="Calibri" w:hAnsi="Calibri" w:cs="Calibri"/>
          <w:lang w:val="en-GB"/>
        </w:rPr>
        <w:t>[3]</w:t>
      </w:r>
      <w:r w:rsidR="00000704">
        <w:rPr>
          <w:rFonts w:ascii="Calibri" w:eastAsia="Calibri" w:hAnsi="Calibri" w:cs="Calibri"/>
          <w:lang w:val="en-GB"/>
        </w:rPr>
        <w:fldChar w:fldCharType="end"/>
      </w:r>
      <w:r>
        <w:rPr>
          <w:rFonts w:ascii="Calibri" w:eastAsia="Calibri" w:hAnsi="Calibri" w:cs="Calibri"/>
          <w:lang w:val="en-GB"/>
        </w:rPr>
        <w:t xml:space="preserve">, we </w:t>
      </w:r>
      <w:r w:rsidR="005550EB">
        <w:rPr>
          <w:rFonts w:ascii="Calibri" w:eastAsia="Calibri" w:hAnsi="Calibri" w:cs="Calibri"/>
          <w:lang w:val="en-GB"/>
        </w:rPr>
        <w:t xml:space="preserve">further </w:t>
      </w:r>
      <w:r>
        <w:rPr>
          <w:rFonts w:ascii="Calibri" w:eastAsia="Calibri" w:hAnsi="Calibri" w:cs="Calibri"/>
          <w:lang w:val="en-GB"/>
        </w:rPr>
        <w:t>agreed on the following working assumptions regarding how HARQ</w:t>
      </w:r>
      <w:r w:rsidR="005550EB">
        <w:rPr>
          <w:rFonts w:ascii="Calibri" w:eastAsia="Calibri" w:hAnsi="Calibri" w:cs="Calibri"/>
          <w:lang w:val="en-GB"/>
        </w:rPr>
        <w:t xml:space="preserve"> feedback enabling/disabling is indicated by the DCI when a single TB is scheduled.</w:t>
      </w:r>
    </w:p>
    <w:tbl>
      <w:tblPr>
        <w:tblStyle w:val="TableGrid"/>
        <w:tblW w:w="0" w:type="auto"/>
        <w:tblLook w:val="04A0" w:firstRow="1" w:lastRow="0" w:firstColumn="1" w:lastColumn="0" w:noHBand="0" w:noVBand="1"/>
      </w:tblPr>
      <w:tblGrid>
        <w:gridCol w:w="9629"/>
      </w:tblGrid>
      <w:tr w:rsidR="00F17CDB" w14:paraId="27C33C64" w14:textId="77777777" w:rsidTr="00F17CDB">
        <w:tc>
          <w:tcPr>
            <w:tcW w:w="9629" w:type="dxa"/>
            <w:tcMar>
              <w:top w:w="57" w:type="dxa"/>
              <w:bottom w:w="57" w:type="dxa"/>
            </w:tcMar>
            <w:vAlign w:val="center"/>
          </w:tcPr>
          <w:p w14:paraId="0CFBBFC1" w14:textId="77777777" w:rsidR="00F17CDB" w:rsidRPr="00F17CDB" w:rsidRDefault="00F17CDB" w:rsidP="00F17CDB">
            <w:pPr>
              <w:spacing w:after="0" w:line="240" w:lineRule="auto"/>
              <w:rPr>
                <w:rFonts w:ascii="Times" w:eastAsia="Batang" w:hAnsi="Times" w:cs="Times New Roman"/>
                <w:b/>
                <w:sz w:val="20"/>
                <w:szCs w:val="24"/>
                <w:lang w:val="en-GB" w:eastAsia="x-none"/>
              </w:rPr>
            </w:pPr>
            <w:r w:rsidRPr="00F17CDB">
              <w:rPr>
                <w:rFonts w:ascii="Times" w:eastAsia="Batang" w:hAnsi="Times" w:cs="Times New Roman"/>
                <w:b/>
                <w:sz w:val="20"/>
                <w:szCs w:val="24"/>
                <w:highlight w:val="darkYellow"/>
                <w:lang w:val="en-GB" w:eastAsia="x-none"/>
              </w:rPr>
              <w:t>Working assumption</w:t>
            </w:r>
          </w:p>
          <w:p w14:paraId="30F80CB5" w14:textId="77777777" w:rsidR="00F17CDB" w:rsidRPr="00F17CDB" w:rsidRDefault="00F17CDB" w:rsidP="00F17CDB">
            <w:pPr>
              <w:spacing w:after="0" w:line="240" w:lineRule="auto"/>
              <w:rPr>
                <w:rFonts w:ascii="Times" w:eastAsia="Batang" w:hAnsi="Times" w:cs="Times New Roman"/>
                <w:sz w:val="20"/>
                <w:szCs w:val="16"/>
                <w:lang w:val="en-GB" w:eastAsia="en-US"/>
              </w:rPr>
            </w:pPr>
            <w:r w:rsidRPr="00F17CDB">
              <w:rPr>
                <w:rFonts w:ascii="Times" w:eastAsia="Batang" w:hAnsi="Times" w:cs="Times New Roman"/>
                <w:sz w:val="20"/>
                <w:szCs w:val="16"/>
                <w:lang w:val="en-GB" w:eastAsia="en-US"/>
              </w:rPr>
              <w:t xml:space="preserve">For DCI-based direct indication in single TB scheduled by DCI, </w:t>
            </w:r>
          </w:p>
          <w:p w14:paraId="370C3B12" w14:textId="77777777" w:rsidR="00F17CDB" w:rsidRPr="00F17CDB" w:rsidRDefault="00F17CDB" w:rsidP="00F17CDB">
            <w:pPr>
              <w:numPr>
                <w:ilvl w:val="0"/>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Indication by reusing/reinterpreting HARQ-ACK related field in DCI</w:t>
            </w:r>
          </w:p>
          <w:p w14:paraId="6B42E7AB" w14:textId="77777777" w:rsidR="00F17CDB" w:rsidRPr="00F17CDB" w:rsidRDefault="00F17CDB" w:rsidP="00F17CDB">
            <w:pPr>
              <w:numPr>
                <w:ilvl w:val="2"/>
                <w:numId w:val="39"/>
              </w:numPr>
              <w:overflowPunct w:val="0"/>
              <w:autoSpaceDE w:val="0"/>
              <w:autoSpaceDN w:val="0"/>
              <w:adjustRightInd w:val="0"/>
              <w:spacing w:after="0" w:line="240" w:lineRule="auto"/>
              <w:ind w:left="1800"/>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 xml:space="preserve">For </w:t>
            </w:r>
            <w:proofErr w:type="spellStart"/>
            <w:r w:rsidRPr="00F17CDB">
              <w:rPr>
                <w:rFonts w:ascii="Times New Roman" w:eastAsia="Batang" w:hAnsi="Times New Roman" w:cs="Times New Roman"/>
                <w:sz w:val="20"/>
                <w:szCs w:val="20"/>
                <w:lang w:val="en-GB" w:eastAsia="x-none"/>
              </w:rPr>
              <w:t>eMTC</w:t>
            </w:r>
            <w:proofErr w:type="spellEnd"/>
            <w:r w:rsidRPr="00F17CDB">
              <w:rPr>
                <w:rFonts w:ascii="Times New Roman" w:eastAsia="Batang" w:hAnsi="Times New Roman" w:cs="Times New Roman"/>
                <w:sz w:val="20"/>
                <w:szCs w:val="20"/>
                <w:lang w:val="en-GB" w:eastAsia="x-none"/>
              </w:rPr>
              <w:t xml:space="preserve"> CE mode B, one state of “HARQ-ACK resource offset” field in DCI format 6-1B is used for indication of HARQ feedback disabled, other states are used for indication of HARQ feedback enabled and corresponding HARQ-ACK resource.</w:t>
            </w:r>
          </w:p>
          <w:p w14:paraId="00BE8BED" w14:textId="77777777" w:rsidR="00F17CDB" w:rsidRPr="00F17CDB" w:rsidRDefault="00F17CDB" w:rsidP="00F17CDB">
            <w:pPr>
              <w:numPr>
                <w:ilvl w:val="3"/>
                <w:numId w:val="39"/>
              </w:numPr>
              <w:overflowPunct w:val="0"/>
              <w:autoSpaceDE w:val="0"/>
              <w:autoSpaceDN w:val="0"/>
              <w:adjustRightInd w:val="0"/>
              <w:spacing w:after="0" w:line="240" w:lineRule="auto"/>
              <w:ind w:left="2520"/>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FFS: detailed state, and whether this state is different across different UEs</w:t>
            </w:r>
          </w:p>
          <w:p w14:paraId="290ABFDE" w14:textId="77777777" w:rsidR="00F17CDB" w:rsidRPr="00F17CDB" w:rsidRDefault="00F17CDB" w:rsidP="00F17CDB">
            <w:pPr>
              <w:numPr>
                <w:ilvl w:val="2"/>
                <w:numId w:val="39"/>
              </w:numPr>
              <w:overflowPunct w:val="0"/>
              <w:autoSpaceDE w:val="0"/>
              <w:autoSpaceDN w:val="0"/>
              <w:adjustRightInd w:val="0"/>
              <w:spacing w:after="0" w:line="240" w:lineRule="auto"/>
              <w:ind w:left="1800"/>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 xml:space="preserve">For </w:t>
            </w:r>
            <w:proofErr w:type="spellStart"/>
            <w:r w:rsidRPr="00F17CDB">
              <w:rPr>
                <w:rFonts w:ascii="Times New Roman" w:eastAsia="Batang" w:hAnsi="Times New Roman" w:cs="Times New Roman"/>
                <w:sz w:val="20"/>
                <w:szCs w:val="20"/>
                <w:lang w:val="en-GB" w:eastAsia="x-none"/>
              </w:rPr>
              <w:t>NBIoT</w:t>
            </w:r>
            <w:proofErr w:type="spellEnd"/>
            <w:r w:rsidRPr="00F17CDB">
              <w:rPr>
                <w:rFonts w:ascii="Times New Roman" w:eastAsia="Batang" w:hAnsi="Times New Roman" w:cs="Times New Roman"/>
                <w:sz w:val="20"/>
                <w:szCs w:val="20"/>
                <w:lang w:val="en-GB" w:eastAsia="x-none"/>
              </w:rPr>
              <w:t>, one state of “HARQ-ACK resource” field in DCI format N1 is used for indication of HARQ feedback disabled, other states are used for indication of HARQ feedback enabled and corresponding HARQ-ACK resource.</w:t>
            </w:r>
          </w:p>
          <w:p w14:paraId="1C6F670B" w14:textId="77777777" w:rsidR="00F17CDB" w:rsidRPr="00F17CDB" w:rsidRDefault="00F17CDB" w:rsidP="00F17CDB">
            <w:pPr>
              <w:numPr>
                <w:ilvl w:val="3"/>
                <w:numId w:val="39"/>
              </w:numPr>
              <w:overflowPunct w:val="0"/>
              <w:autoSpaceDE w:val="0"/>
              <w:autoSpaceDN w:val="0"/>
              <w:adjustRightInd w:val="0"/>
              <w:spacing w:after="0" w:line="240" w:lineRule="auto"/>
              <w:ind w:left="2520"/>
              <w:contextualSpacing/>
              <w:textAlignment w:val="baseline"/>
              <w:rPr>
                <w:rFonts w:ascii="Times New Roman" w:eastAsia="Batang" w:hAnsi="Times New Roman" w:cs="Times New Roman"/>
                <w:sz w:val="20"/>
                <w:szCs w:val="20"/>
                <w:lang w:val="en-GB"/>
              </w:rPr>
            </w:pPr>
            <w:r w:rsidRPr="00F17CDB">
              <w:rPr>
                <w:rFonts w:ascii="Times New Roman" w:eastAsia="Batang" w:hAnsi="Times New Roman" w:cs="Times New Roman"/>
                <w:sz w:val="20"/>
                <w:szCs w:val="20"/>
                <w:lang w:val="en-GB"/>
              </w:rPr>
              <w:t>FFS: detailed state</w:t>
            </w:r>
            <w:r w:rsidRPr="00F17CDB">
              <w:rPr>
                <w:rFonts w:ascii="Times New Roman" w:eastAsia="Batang" w:hAnsi="Times New Roman" w:cs="Times New Roman"/>
                <w:sz w:val="20"/>
                <w:szCs w:val="20"/>
                <w:lang w:val="en-GB" w:eastAsia="x-none"/>
              </w:rPr>
              <w:t>, and whether this state is different across different UEs</w:t>
            </w:r>
          </w:p>
          <w:p w14:paraId="78D0C33B" w14:textId="77777777" w:rsidR="00F17CDB" w:rsidRPr="00F17CDB" w:rsidRDefault="00F17CDB" w:rsidP="00F17CDB">
            <w:pPr>
              <w:numPr>
                <w:ilvl w:val="0"/>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F17CDB">
              <w:rPr>
                <w:rFonts w:ascii="Times New Roman" w:eastAsia="等线" w:hAnsi="Times New Roman" w:cs="Times New Roman" w:hint="eastAsia"/>
                <w:sz w:val="20"/>
                <w:szCs w:val="20"/>
                <w:lang w:val="en-GB"/>
              </w:rPr>
              <w:t>I</w:t>
            </w:r>
            <w:r w:rsidRPr="00F17CDB">
              <w:rPr>
                <w:rFonts w:ascii="Times New Roman" w:eastAsia="等线" w:hAnsi="Times New Roman" w:cs="Times New Roman"/>
                <w:sz w:val="20"/>
                <w:szCs w:val="20"/>
                <w:lang w:val="en-GB"/>
              </w:rPr>
              <w:t xml:space="preserve">f </w:t>
            </w:r>
            <w:r w:rsidRPr="00F17CDB">
              <w:rPr>
                <w:rFonts w:ascii="Times New Roman" w:eastAsia="Batang" w:hAnsi="Times New Roman" w:cs="Times New Roman"/>
                <w:sz w:val="20"/>
                <w:szCs w:val="20"/>
                <w:lang w:val="en-GB" w:eastAsia="x-none"/>
              </w:rPr>
              <w:t xml:space="preserve">reusing/reinterpreting HARQ-ACK related field in DCI is also used for DCI overriding scheme, the interpretation of the state can be different than for </w:t>
            </w:r>
            <w:r w:rsidRPr="00F17CDB">
              <w:rPr>
                <w:rFonts w:ascii="Times" w:eastAsia="Batang" w:hAnsi="Times" w:cs="Times New Roman"/>
                <w:sz w:val="20"/>
                <w:szCs w:val="16"/>
                <w:lang w:val="en-GB" w:eastAsia="x-none"/>
              </w:rPr>
              <w:t>DCI-based direct indication.</w:t>
            </w:r>
          </w:p>
          <w:p w14:paraId="00C89967" w14:textId="77777777" w:rsidR="00F17CDB" w:rsidRPr="00F17CDB" w:rsidRDefault="00F17CDB" w:rsidP="0057236C">
            <w:pPr>
              <w:spacing w:before="240" w:after="0" w:line="240" w:lineRule="auto"/>
              <w:rPr>
                <w:rFonts w:ascii="Times" w:eastAsia="Batang" w:hAnsi="Times" w:cs="Times New Roman"/>
                <w:b/>
                <w:bCs/>
                <w:sz w:val="20"/>
                <w:szCs w:val="20"/>
                <w:highlight w:val="green"/>
                <w:lang w:val="en-GB" w:eastAsia="en-US"/>
              </w:rPr>
            </w:pPr>
            <w:bookmarkStart w:id="1" w:name="_Hlk135835537"/>
            <w:r w:rsidRPr="00F17CDB">
              <w:rPr>
                <w:rFonts w:ascii="Times" w:eastAsia="Batang" w:hAnsi="Times" w:cs="Times New Roman"/>
                <w:b/>
                <w:bCs/>
                <w:sz w:val="20"/>
                <w:szCs w:val="20"/>
                <w:highlight w:val="green"/>
                <w:lang w:val="en-GB" w:eastAsia="en-US"/>
              </w:rPr>
              <w:t>Agreement</w:t>
            </w:r>
          </w:p>
          <w:p w14:paraId="2AB1C42F" w14:textId="77777777" w:rsidR="00F17CDB" w:rsidRPr="00F17CDB" w:rsidRDefault="00F17CDB" w:rsidP="00F17CDB">
            <w:pPr>
              <w:spacing w:after="0" w:line="240" w:lineRule="auto"/>
              <w:rPr>
                <w:rFonts w:ascii="Times" w:eastAsia="Batang" w:hAnsi="Times" w:cs="Times New Roman"/>
                <w:sz w:val="20"/>
                <w:szCs w:val="20"/>
                <w:lang w:val="en-GB" w:eastAsia="en-US"/>
              </w:rPr>
            </w:pPr>
            <w:r w:rsidRPr="00F17CDB">
              <w:rPr>
                <w:rFonts w:ascii="Times" w:eastAsia="Batang" w:hAnsi="Times" w:cs="Times New Roman"/>
                <w:sz w:val="20"/>
                <w:szCs w:val="20"/>
                <w:lang w:val="en-GB" w:eastAsia="en-US"/>
              </w:rPr>
              <w:t xml:space="preserve">For single TB scheduled by DCI, </w:t>
            </w:r>
          </w:p>
          <w:p w14:paraId="00C008A9" w14:textId="77777777" w:rsidR="00F17CDB" w:rsidRPr="00F17CDB" w:rsidRDefault="00F17CDB" w:rsidP="00F17CDB">
            <w:pPr>
              <w:numPr>
                <w:ilvl w:val="0"/>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w:eastAsia="Batang" w:hAnsi="Times" w:cs="Times New Roman" w:hint="eastAsia"/>
                <w:sz w:val="20"/>
                <w:szCs w:val="20"/>
                <w:highlight w:val="darkYellow"/>
                <w:lang w:val="en-GB" w:eastAsia="x-none"/>
              </w:rPr>
              <w:t>Work</w:t>
            </w:r>
            <w:r w:rsidRPr="00F17CDB">
              <w:rPr>
                <w:rFonts w:ascii="Times" w:eastAsia="Batang" w:hAnsi="Times" w:cs="Times New Roman"/>
                <w:sz w:val="20"/>
                <w:szCs w:val="20"/>
                <w:highlight w:val="darkYellow"/>
                <w:lang w:val="en-GB" w:eastAsia="x-none"/>
              </w:rPr>
              <w:t>ing assumption 1</w:t>
            </w:r>
            <w:r w:rsidRPr="00F17CDB">
              <w:rPr>
                <w:rFonts w:ascii="Times" w:eastAsia="Batang" w:hAnsi="Times" w:cs="Times New Roman"/>
                <w:sz w:val="20"/>
                <w:szCs w:val="20"/>
                <w:lang w:val="en-GB" w:eastAsia="x-none"/>
              </w:rPr>
              <w:t xml:space="preserve"> </w:t>
            </w:r>
            <w:r w:rsidRPr="00F17CDB">
              <w:rPr>
                <w:rFonts w:ascii="Times New Roman" w:eastAsia="Batang" w:hAnsi="Times New Roman" w:cs="Times New Roman"/>
                <w:sz w:val="20"/>
                <w:szCs w:val="20"/>
                <w:lang w:val="en-GB" w:eastAsia="x-none"/>
              </w:rPr>
              <w:t>DCI based overridden indication is applied to both semi-statically HARQ disabled and enabled processes</w:t>
            </w:r>
          </w:p>
          <w:p w14:paraId="6218E23E" w14:textId="77777777" w:rsidR="00F17CDB" w:rsidRPr="00F17CDB" w:rsidRDefault="00F17CDB" w:rsidP="00F17CDB">
            <w:pPr>
              <w:numPr>
                <w:ilvl w:val="1"/>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 xml:space="preserve">For DCI based overridden indication, adopt </w:t>
            </w:r>
            <w:r w:rsidRPr="00F17CDB">
              <w:rPr>
                <w:rFonts w:ascii="Times New Roman" w:eastAsia="Batang" w:hAnsi="Times New Roman" w:cs="Times New Roman"/>
                <w:sz w:val="20"/>
                <w:szCs w:val="20"/>
                <w:lang w:val="en-GB"/>
              </w:rPr>
              <w:t>i</w:t>
            </w:r>
            <w:r w:rsidRPr="00F17CDB">
              <w:rPr>
                <w:rFonts w:ascii="Times New Roman" w:eastAsia="Batang" w:hAnsi="Times New Roman" w:cs="Times New Roman"/>
                <w:sz w:val="20"/>
                <w:szCs w:val="20"/>
                <w:lang w:val="en-GB" w:eastAsia="x-none"/>
              </w:rPr>
              <w:t>ndication by reusing/reinterpreting HARQ-ACK related field in DCI</w:t>
            </w:r>
          </w:p>
          <w:p w14:paraId="6FAC5879" w14:textId="77777777" w:rsidR="00F17CDB" w:rsidRPr="00F17CDB" w:rsidRDefault="00F17CDB" w:rsidP="00F17CDB">
            <w:pPr>
              <w:numPr>
                <w:ilvl w:val="2"/>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 xml:space="preserve">For </w:t>
            </w:r>
            <w:proofErr w:type="spellStart"/>
            <w:r w:rsidRPr="00F17CDB">
              <w:rPr>
                <w:rFonts w:ascii="Times New Roman" w:eastAsia="Batang" w:hAnsi="Times New Roman" w:cs="Times New Roman"/>
                <w:sz w:val="20"/>
                <w:szCs w:val="20"/>
                <w:lang w:val="en-GB" w:eastAsia="x-none"/>
              </w:rPr>
              <w:t>eMTC</w:t>
            </w:r>
            <w:proofErr w:type="spellEnd"/>
            <w:r w:rsidRPr="00F17CDB">
              <w:rPr>
                <w:rFonts w:ascii="Times New Roman" w:eastAsia="Batang" w:hAnsi="Times New Roman" w:cs="Times New Roman"/>
                <w:sz w:val="20"/>
                <w:szCs w:val="20"/>
                <w:lang w:val="en-GB" w:eastAsia="x-none"/>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1CB15E3" w14:textId="77777777" w:rsidR="00F17CDB" w:rsidRPr="00F17CDB" w:rsidRDefault="00F17CDB" w:rsidP="00F17CDB">
            <w:pPr>
              <w:numPr>
                <w:ilvl w:val="3"/>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HARQ feedback disabled is reversed to enabled in case of any states other than state A in “HARQ-ACK resource offset”, otherwise is maintained as disabled.</w:t>
            </w:r>
          </w:p>
          <w:p w14:paraId="27139017" w14:textId="77777777" w:rsidR="00F17CDB" w:rsidRPr="00F17CDB" w:rsidRDefault="00F17CDB" w:rsidP="00F17CDB">
            <w:pPr>
              <w:numPr>
                <w:ilvl w:val="3"/>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HARQ feedback enabled is maintained in case of any states other than state A in “HARQ-ACK resource offset”, otherwise is reversed to disabled.</w:t>
            </w:r>
          </w:p>
          <w:p w14:paraId="348B880A" w14:textId="77777777" w:rsidR="00F17CDB" w:rsidRPr="00F17CDB" w:rsidRDefault="00F17CDB" w:rsidP="00F17CDB">
            <w:pPr>
              <w:numPr>
                <w:ilvl w:val="4"/>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F17CDB">
              <w:rPr>
                <w:rFonts w:ascii="Times New Roman" w:eastAsia="Batang" w:hAnsi="Times New Roman" w:cs="Times New Roman"/>
                <w:sz w:val="20"/>
                <w:szCs w:val="20"/>
                <w:lang w:val="en-GB"/>
              </w:rPr>
              <w:t>FFS: detailed state A</w:t>
            </w:r>
            <w:r w:rsidRPr="00F17CDB">
              <w:rPr>
                <w:rFonts w:ascii="Times New Roman" w:eastAsia="Batang" w:hAnsi="Times New Roman" w:cs="Times New Roman"/>
                <w:sz w:val="20"/>
                <w:szCs w:val="20"/>
                <w:lang w:val="en-GB" w:eastAsia="x-none"/>
              </w:rPr>
              <w:t>, and whether this state A is different across different UEs</w:t>
            </w:r>
          </w:p>
          <w:p w14:paraId="67EEBE9F" w14:textId="77777777" w:rsidR="00F17CDB" w:rsidRPr="00F17CDB" w:rsidRDefault="00F17CDB" w:rsidP="00F17CDB">
            <w:pPr>
              <w:numPr>
                <w:ilvl w:val="2"/>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eastAsia="x-none"/>
              </w:rPr>
            </w:pPr>
            <w:r w:rsidRPr="00F17CDB">
              <w:rPr>
                <w:rFonts w:ascii="Times New Roman" w:eastAsia="Batang" w:hAnsi="Times New Roman" w:cs="Times New Roman"/>
                <w:sz w:val="20"/>
                <w:szCs w:val="20"/>
                <w:lang w:val="en-GB" w:eastAsia="x-none"/>
              </w:rPr>
              <w:t xml:space="preserve">For </w:t>
            </w:r>
            <w:proofErr w:type="spellStart"/>
            <w:r w:rsidRPr="00F17CDB">
              <w:rPr>
                <w:rFonts w:ascii="Times New Roman" w:eastAsia="Batang" w:hAnsi="Times New Roman" w:cs="Times New Roman"/>
                <w:sz w:val="20"/>
                <w:szCs w:val="20"/>
                <w:lang w:val="en-GB" w:eastAsia="x-none"/>
              </w:rPr>
              <w:t>NBIoT</w:t>
            </w:r>
            <w:proofErr w:type="spellEnd"/>
            <w:r w:rsidRPr="00F17CDB">
              <w:rPr>
                <w:rFonts w:ascii="Times New Roman" w:eastAsia="Batang" w:hAnsi="Times New Roman" w:cs="Times New Roman"/>
                <w:sz w:val="20"/>
                <w:szCs w:val="20"/>
                <w:lang w:val="en-GB" w:eastAsia="x-none"/>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D13D58B" w14:textId="77777777" w:rsidR="00F17CDB" w:rsidRPr="00F17CDB" w:rsidRDefault="00F17CDB" w:rsidP="00F17CDB">
            <w:pPr>
              <w:numPr>
                <w:ilvl w:val="3"/>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 w:val="20"/>
                <w:szCs w:val="20"/>
                <w:lang w:val="en-GB"/>
              </w:rPr>
            </w:pPr>
            <w:r w:rsidRPr="00F17CDB">
              <w:rPr>
                <w:rFonts w:ascii="Times New Roman" w:eastAsia="Batang" w:hAnsi="Times New Roman" w:cs="Times New Roman"/>
                <w:sz w:val="20"/>
                <w:szCs w:val="20"/>
                <w:lang w:val="en-GB"/>
              </w:rPr>
              <w:t xml:space="preserve">The same DCI indication functionality as </w:t>
            </w:r>
            <w:proofErr w:type="spellStart"/>
            <w:r w:rsidRPr="00F17CDB">
              <w:rPr>
                <w:rFonts w:ascii="Times New Roman" w:eastAsia="Batang" w:hAnsi="Times New Roman" w:cs="Times New Roman"/>
                <w:sz w:val="20"/>
                <w:szCs w:val="20"/>
                <w:lang w:val="en-GB"/>
              </w:rPr>
              <w:t>eMTC</w:t>
            </w:r>
            <w:proofErr w:type="spellEnd"/>
            <w:r w:rsidRPr="00F17CDB">
              <w:rPr>
                <w:rFonts w:ascii="Times New Roman" w:eastAsia="Batang" w:hAnsi="Times New Roman" w:cs="Times New Roman"/>
                <w:sz w:val="20"/>
                <w:szCs w:val="20"/>
                <w:lang w:val="en-GB"/>
              </w:rPr>
              <w:t xml:space="preserve"> is adopted.</w:t>
            </w:r>
          </w:p>
          <w:p w14:paraId="0CF41209" w14:textId="77777777" w:rsidR="00F17CDB" w:rsidRPr="00F17CDB" w:rsidRDefault="00F17CDB" w:rsidP="00F17CDB">
            <w:pPr>
              <w:numPr>
                <w:ilvl w:val="0"/>
                <w:numId w:val="39"/>
              </w:num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x-none"/>
              </w:rPr>
            </w:pPr>
            <w:r w:rsidRPr="00F17CDB">
              <w:rPr>
                <w:rFonts w:ascii="Times New Roman" w:eastAsia="Batang" w:hAnsi="Times New Roman" w:cs="Times New Roman"/>
                <w:sz w:val="20"/>
                <w:szCs w:val="20"/>
                <w:highlight w:val="darkYellow"/>
                <w:lang w:val="en-GB"/>
              </w:rPr>
              <w:t>Working assumption 2</w:t>
            </w:r>
            <w:r w:rsidRPr="00F17CDB">
              <w:rPr>
                <w:rFonts w:ascii="Times New Roman" w:eastAsia="Batang" w:hAnsi="Times New Roman" w:cs="Times New Roman"/>
                <w:sz w:val="20"/>
                <w:szCs w:val="20"/>
                <w:lang w:val="en-GB"/>
              </w:rPr>
              <w:t xml:space="preserve"> For Option 1 + Option 3 DCI based overridden mechanism, for a HARQ process configured as HARQ feedback disabled by per-HARQ process bitmap </w:t>
            </w:r>
            <w:proofErr w:type="spellStart"/>
            <w:r w:rsidRPr="00F17CDB">
              <w:rPr>
                <w:rFonts w:ascii="Times New Roman" w:eastAsia="Batang" w:hAnsi="Times New Roman" w:cs="Times New Roman"/>
                <w:sz w:val="20"/>
                <w:szCs w:val="20"/>
                <w:lang w:val="en-GB"/>
              </w:rPr>
              <w:t>signaling</w:t>
            </w:r>
            <w:proofErr w:type="spellEnd"/>
            <w:r w:rsidRPr="00F17CDB">
              <w:rPr>
                <w:rFonts w:ascii="Times New Roman" w:eastAsia="Batang" w:hAnsi="Times New Roman" w:cs="Times New Roman"/>
                <w:sz w:val="20"/>
                <w:szCs w:val="20"/>
                <w:lang w:val="en-GB"/>
              </w:rPr>
              <w:t xml:space="preserve"> and</w:t>
            </w:r>
            <w:r w:rsidRPr="00F17CDB">
              <w:rPr>
                <w:rFonts w:ascii="Times New Roman" w:eastAsia="Batang" w:hAnsi="Times New Roman" w:cs="Times New Roman"/>
                <w:sz w:val="20"/>
                <w:szCs w:val="20"/>
                <w:lang w:val="en-GB" w:eastAsia="x-none"/>
              </w:rPr>
              <w:t xml:space="preserve"> further </w:t>
            </w:r>
            <w:r w:rsidRPr="00F17CDB">
              <w:rPr>
                <w:rFonts w:ascii="Times New Roman" w:eastAsia="Batang" w:hAnsi="Times New Roman" w:cs="Times New Roman"/>
                <w:sz w:val="20"/>
                <w:szCs w:val="20"/>
                <w:lang w:val="en-GB"/>
              </w:rPr>
              <w:t xml:space="preserve">reversed to HARQ feedback enabled </w:t>
            </w:r>
            <w:r w:rsidRPr="00F17CDB">
              <w:rPr>
                <w:rFonts w:ascii="Times New Roman" w:eastAsia="Batang" w:hAnsi="Times New Roman" w:cs="Times New Roman"/>
                <w:sz w:val="20"/>
                <w:szCs w:val="20"/>
                <w:lang w:val="en-GB" w:eastAsia="x-none"/>
              </w:rPr>
              <w:t>by DCI</w:t>
            </w:r>
            <w:r w:rsidRPr="00F17CDB">
              <w:rPr>
                <w:rFonts w:ascii="Times New Roman" w:eastAsia="Batang" w:hAnsi="Times New Roman" w:cs="Times New Roman"/>
                <w:sz w:val="20"/>
                <w:szCs w:val="20"/>
                <w:lang w:val="en-GB"/>
              </w:rPr>
              <w:t xml:space="preserve">, the </w:t>
            </w:r>
            <w:proofErr w:type="spellStart"/>
            <w:r w:rsidRPr="00F17CDB">
              <w:rPr>
                <w:rFonts w:ascii="Times New Roman" w:eastAsia="Batang" w:hAnsi="Times New Roman" w:cs="Times New Roman"/>
                <w:sz w:val="20"/>
                <w:szCs w:val="20"/>
                <w:lang w:val="en-GB"/>
              </w:rPr>
              <w:t>NBIoT</w:t>
            </w:r>
            <w:proofErr w:type="spellEnd"/>
            <w:r w:rsidRPr="00F17CDB">
              <w:rPr>
                <w:rFonts w:ascii="Times New Roman" w:eastAsia="Batang" w:hAnsi="Times New Roman" w:cs="Times New Roman"/>
                <w:sz w:val="20"/>
                <w:szCs w:val="20"/>
                <w:lang w:val="en-GB"/>
              </w:rPr>
              <w:t xml:space="preserve"> UE does not wait for an RTT+3ms (</w:t>
            </w:r>
            <w:r w:rsidRPr="00F17CDB">
              <w:rPr>
                <w:rFonts w:ascii="Times New Roman" w:eastAsia="Batang" w:hAnsi="Times New Roman" w:cs="Times New Roman" w:hint="eastAsia"/>
                <w:sz w:val="20"/>
                <w:szCs w:val="20"/>
                <w:lang w:val="en-GB"/>
              </w:rPr>
              <w:t>i.</w:t>
            </w:r>
            <w:r w:rsidRPr="00F17CDB">
              <w:rPr>
                <w:rFonts w:ascii="Times New Roman" w:eastAsia="Batang" w:hAnsi="Times New Roman" w:cs="Times New Roman"/>
                <w:sz w:val="20"/>
                <w:szCs w:val="20"/>
                <w:lang w:val="en-GB"/>
              </w:rPr>
              <w:t xml:space="preserve">e., till subframe </w:t>
            </w:r>
            <w:r w:rsidRPr="00F17CDB">
              <w:rPr>
                <w:rFonts w:ascii="Times New Roman" w:eastAsia="Batang" w:hAnsi="Times New Roman" w:cs="Times New Roman"/>
                <w:i/>
                <w:iCs/>
                <w:sz w:val="20"/>
                <w:szCs w:val="20"/>
                <w:lang w:val="en-GB"/>
              </w:rPr>
              <w:t>n+Kmac+3</w:t>
            </w:r>
            <w:r w:rsidRPr="00F17CDB">
              <w:rPr>
                <w:rFonts w:ascii="Times New Roman" w:eastAsia="Batang" w:hAnsi="Times New Roman" w:cs="Times New Roman"/>
                <w:sz w:val="20"/>
                <w:szCs w:val="20"/>
                <w:lang w:val="en-GB"/>
              </w:rPr>
              <w:t xml:space="preserve"> in TS36.213 section 16.6) before monitoring NPDCCH for the same HARQ process (or monitoring any NPDCCH for the case of single HARQ process configuration). </w:t>
            </w:r>
          </w:p>
          <w:p w14:paraId="0A64A343" w14:textId="77777777" w:rsidR="00F17CDB" w:rsidRPr="00F17CDB" w:rsidRDefault="00F17CDB" w:rsidP="00F17CDB">
            <w:pPr>
              <w:numPr>
                <w:ilvl w:val="0"/>
                <w:numId w:val="39"/>
              </w:numPr>
              <w:overflowPunct w:val="0"/>
              <w:autoSpaceDE w:val="0"/>
              <w:autoSpaceDN w:val="0"/>
              <w:adjustRightInd w:val="0"/>
              <w:spacing w:after="0" w:line="240" w:lineRule="auto"/>
              <w:contextualSpacing/>
              <w:textAlignment w:val="baseline"/>
              <w:rPr>
                <w:rFonts w:ascii="Times" w:eastAsia="Batang" w:hAnsi="Times" w:cs="Times New Roman"/>
                <w:sz w:val="20"/>
                <w:szCs w:val="20"/>
                <w:lang w:val="en-GB" w:eastAsia="ko-KR"/>
              </w:rPr>
            </w:pPr>
            <w:r w:rsidRPr="00F17CDB">
              <w:rPr>
                <w:rFonts w:ascii="Times" w:eastAsia="Batang" w:hAnsi="Times" w:cs="Times New Roman"/>
                <w:sz w:val="20"/>
                <w:szCs w:val="20"/>
                <w:lang w:val="en-GB" w:eastAsia="ko-KR"/>
              </w:rPr>
              <w:t>Send an LS to RAN2 with the following contents:</w:t>
            </w:r>
          </w:p>
          <w:p w14:paraId="7982BE16" w14:textId="26C198F4" w:rsidR="00F17CDB" w:rsidRPr="00F17CDB" w:rsidRDefault="00F17CDB" w:rsidP="00F17CDB">
            <w:pPr>
              <w:numPr>
                <w:ilvl w:val="1"/>
                <w:numId w:val="39"/>
              </w:numPr>
              <w:overflowPunct w:val="0"/>
              <w:autoSpaceDE w:val="0"/>
              <w:autoSpaceDN w:val="0"/>
              <w:adjustRightInd w:val="0"/>
              <w:spacing w:after="0" w:line="240" w:lineRule="auto"/>
              <w:contextualSpacing/>
              <w:textAlignment w:val="baseline"/>
              <w:rPr>
                <w:rFonts w:ascii="Times" w:eastAsia="Batang" w:hAnsi="Times" w:cs="Times New Roman"/>
                <w:sz w:val="20"/>
                <w:szCs w:val="20"/>
                <w:lang w:val="en-GB" w:eastAsia="ko-KR"/>
              </w:rPr>
            </w:pPr>
            <w:r w:rsidRPr="00F17CDB">
              <w:rPr>
                <w:rFonts w:ascii="Times" w:eastAsia="Batang" w:hAnsi="Times" w:cs="Times New Roman"/>
                <w:sz w:val="20"/>
                <w:szCs w:val="20"/>
                <w:lang w:val="en-GB" w:eastAsia="ko-KR"/>
              </w:rPr>
              <w:t>RAN1 respectfully ask RAN2 for the feasibility of Working assumption 2 (</w:t>
            </w:r>
            <w:proofErr w:type="gramStart"/>
            <w:r w:rsidRPr="00F17CDB">
              <w:rPr>
                <w:rFonts w:ascii="Times" w:eastAsia="Batang" w:hAnsi="Times" w:cs="Times New Roman"/>
                <w:sz w:val="20"/>
                <w:szCs w:val="20"/>
                <w:lang w:val="en-GB" w:eastAsia="ko-KR"/>
              </w:rPr>
              <w:t>taking into account</w:t>
            </w:r>
            <w:proofErr w:type="gramEnd"/>
            <w:r w:rsidRPr="00F17CDB">
              <w:rPr>
                <w:rFonts w:ascii="Times" w:eastAsia="Batang" w:hAnsi="Times" w:cs="Times New Roman"/>
                <w:sz w:val="20"/>
                <w:szCs w:val="20"/>
                <w:lang w:val="en-GB" w:eastAsia="ko-KR"/>
              </w:rPr>
              <w:t xml:space="preserve"> potential RAN2 spec impact).</w:t>
            </w:r>
            <w:bookmarkEnd w:id="1"/>
          </w:p>
        </w:tc>
      </w:tr>
    </w:tbl>
    <w:p w14:paraId="14E688A5" w14:textId="77777777" w:rsidR="003E7085" w:rsidRDefault="003E7085" w:rsidP="003E7085">
      <w:pPr>
        <w:spacing w:before="120" w:line="257" w:lineRule="auto"/>
        <w:jc w:val="both"/>
        <w:rPr>
          <w:rFonts w:ascii="Calibri" w:eastAsia="Calibri" w:hAnsi="Calibri" w:cs="Calibri"/>
          <w:lang w:val="en-GB"/>
        </w:rPr>
      </w:pPr>
      <w:bookmarkStart w:id="2" w:name="_Hlk87092729"/>
      <w:r>
        <w:rPr>
          <w:rFonts w:ascii="Calibri" w:eastAsia="Calibri" w:hAnsi="Calibri" w:cs="Calibri"/>
          <w:lang w:val="en-GB"/>
        </w:rPr>
        <w:t xml:space="preserve">In RAN1#112bis, we agreed to support DCI-based HARQ feedback enabling/disabling in two configurations when a single TB is scheduled. Option A: Both per-HARQ process bitmap for HARQ feedback enable/disable and DCI-based HARQ feedback indication are configured. The DCI indication is used to override the HARQ feedback enable/disable status of the scheduled TB. Option B: Only DCI-based HARQ feedback indication is configured, but not the per-HARQ process bitmap. In this option, the DCI directly indicates the HARQ feedback enable/disable status of the scheduled TB. </w:t>
      </w:r>
    </w:p>
    <w:p w14:paraId="6B14DFC1" w14:textId="77777777" w:rsidR="003E7085" w:rsidRDefault="003E7085" w:rsidP="003E7085">
      <w:pPr>
        <w:spacing w:before="120" w:line="257" w:lineRule="auto"/>
        <w:jc w:val="both"/>
        <w:rPr>
          <w:rFonts w:ascii="Calibri" w:eastAsia="Calibri" w:hAnsi="Calibri" w:cs="Calibri"/>
          <w:lang w:val="en-GB"/>
        </w:rPr>
      </w:pPr>
      <w:r>
        <w:rPr>
          <w:rFonts w:ascii="Calibri" w:eastAsia="Calibri" w:hAnsi="Calibri" w:cs="Calibri"/>
          <w:lang w:val="en-GB"/>
        </w:rPr>
        <w:lastRenderedPageBreak/>
        <w:t xml:space="preserve">In RAN1#113, we made working assumptions on DCI </w:t>
      </w:r>
      <w:proofErr w:type="spellStart"/>
      <w:r>
        <w:rPr>
          <w:rFonts w:ascii="Calibri" w:eastAsia="Calibri" w:hAnsi="Calibri" w:cs="Calibri"/>
          <w:lang w:val="en-GB"/>
        </w:rPr>
        <w:t>signaling</w:t>
      </w:r>
      <w:proofErr w:type="spellEnd"/>
      <w:r>
        <w:rPr>
          <w:rFonts w:ascii="Calibri" w:eastAsia="Calibri" w:hAnsi="Calibri" w:cs="Calibri"/>
          <w:lang w:val="en-GB"/>
        </w:rPr>
        <w:t xml:space="preserve"> design for Option A (DCI-based overridden mechanism) and Option B (DCI-based direct indication). For both Option A and Option B, “HARQ-ACK resource” field in DCI format N1 and “HARQ-ACK resource offset” field in DCI format 6-1B are used to indicate the HARQ feedback status of the scheduled TB for NB-IoT and </w:t>
      </w:r>
      <w:proofErr w:type="spellStart"/>
      <w:r>
        <w:rPr>
          <w:rFonts w:ascii="Calibri" w:eastAsia="Calibri" w:hAnsi="Calibri" w:cs="Calibri"/>
          <w:lang w:val="en-GB"/>
        </w:rPr>
        <w:t>eMTC</w:t>
      </w:r>
      <w:proofErr w:type="spellEnd"/>
      <w:r>
        <w:rPr>
          <w:rFonts w:ascii="Calibri" w:eastAsia="Calibri" w:hAnsi="Calibri" w:cs="Calibri"/>
          <w:lang w:val="en-GB"/>
        </w:rPr>
        <w:t xml:space="preserve"> CE mode B respectively. One state of the field is designated for HARQ feedback “disabled” indication, and other states are used to indicate HARQ feedback “enabled” while also indicate the corresponding HARQ-ACK resource. </w:t>
      </w:r>
    </w:p>
    <w:p w14:paraId="1AD8E9B3" w14:textId="77777777" w:rsidR="003E7085" w:rsidRDefault="003E7085" w:rsidP="003E7085">
      <w:pPr>
        <w:spacing w:before="120" w:line="257" w:lineRule="auto"/>
        <w:jc w:val="both"/>
        <w:rPr>
          <w:rFonts w:ascii="Calibri" w:eastAsia="Calibri" w:hAnsi="Calibri" w:cs="Calibri"/>
          <w:lang w:val="en-GB"/>
        </w:rPr>
      </w:pPr>
      <w:r>
        <w:rPr>
          <w:rFonts w:ascii="Calibri" w:eastAsia="Calibri" w:hAnsi="Calibri" w:cs="Calibri"/>
          <w:lang w:val="en-GB"/>
        </w:rPr>
        <w:t>DCI indication of the HARQ feedback status for the scheduled TB is essentially the same for Option A and Option B. For Option A, whether HARQ feedback status is maintained or reversed depends on if the bitmap status and the DCI indication is same or different. But the end effect is determined by the DCI indication. And the same DCI indication method is used in Option A and Option B.</w:t>
      </w:r>
    </w:p>
    <w:p w14:paraId="0E8A31CD" w14:textId="77777777" w:rsidR="003E7085" w:rsidRPr="007C6951" w:rsidRDefault="003E7085" w:rsidP="003E7085">
      <w:pPr>
        <w:spacing w:before="120" w:line="257" w:lineRule="auto"/>
        <w:jc w:val="both"/>
        <w:rPr>
          <w:rFonts w:ascii="Calibri" w:eastAsia="Calibri" w:hAnsi="Calibri" w:cs="Calibri"/>
          <w:b/>
          <w:bCs/>
          <w:lang w:val="en-GB"/>
        </w:rPr>
      </w:pPr>
      <w:r w:rsidRPr="007C6951">
        <w:rPr>
          <w:rFonts w:ascii="Calibri" w:eastAsia="Calibri" w:hAnsi="Calibri" w:cs="Calibri"/>
          <w:b/>
          <w:bCs/>
          <w:lang w:val="en-GB"/>
        </w:rPr>
        <w:t>Observation 1: The same DCI indication for HARQ feedback enable/disable status of the scheduled TB is used for Option A (per-HARQ bitmap with DCI overridden mechanism) and Option B (DCI direct indication).</w:t>
      </w:r>
    </w:p>
    <w:p w14:paraId="6BC8B0F9" w14:textId="39EAB719" w:rsidR="003E7085" w:rsidRDefault="003E7085" w:rsidP="003E7085">
      <w:pPr>
        <w:spacing w:before="120" w:line="257" w:lineRule="auto"/>
        <w:jc w:val="both"/>
        <w:rPr>
          <w:rFonts w:ascii="Calibri" w:eastAsia="Calibri" w:hAnsi="Calibri" w:cs="Calibri"/>
          <w:lang w:val="en-GB"/>
        </w:rPr>
      </w:pPr>
      <w:r>
        <w:rPr>
          <w:rFonts w:ascii="Calibri" w:eastAsia="Calibri" w:hAnsi="Calibri" w:cs="Calibri"/>
          <w:lang w:val="en-GB"/>
        </w:rPr>
        <w:t>There needs to be a</w:t>
      </w:r>
      <w:r w:rsidRPr="009C0A60">
        <w:rPr>
          <w:rFonts w:ascii="Calibri" w:eastAsia="Calibri" w:hAnsi="Calibri" w:cs="Calibri"/>
          <w:lang w:val="en-GB"/>
        </w:rPr>
        <w:t xml:space="preserve"> </w:t>
      </w:r>
      <w:r>
        <w:rPr>
          <w:rFonts w:ascii="Calibri" w:eastAsia="Calibri" w:hAnsi="Calibri" w:cs="Calibri"/>
          <w:lang w:val="en-GB"/>
        </w:rPr>
        <w:t>designated state in the (4-bit) “HARQ-ACK resource” field of DCI format N1 or in the (2-bit) “HARQ-ACK resource offset” field of DCI format 6-1B for indication of HARQ feedback “disable” when the DCI based solution is configured. This means the HARQ-ACK resource is indicated by one less state when HARQ feedback is enabled. For NB-IoT, it is a reduction from 16 states to 15 states. For CE mode B, it is a reduction from 4 states to 3 states. If the state for “HARQ feedback disable” is fixed, the unavailability of this state will impact HARQ-ACK scheduling capacity</w:t>
      </w:r>
      <w:r w:rsidR="00507639">
        <w:rPr>
          <w:rFonts w:ascii="Calibri" w:eastAsia="Calibri" w:hAnsi="Calibri" w:cs="Calibri"/>
          <w:lang w:val="en-GB"/>
        </w:rPr>
        <w:t>, as shown in Table 1 below</w:t>
      </w:r>
      <w:r>
        <w:rPr>
          <w:rFonts w:ascii="Calibri" w:eastAsia="Calibri" w:hAnsi="Calibri" w:cs="Calibri"/>
          <w:lang w:val="en-GB"/>
        </w:rPr>
        <w:t xml:space="preserve">. </w:t>
      </w:r>
      <w:r w:rsidR="003D0650" w:rsidRPr="003D0650">
        <w:rPr>
          <w:rFonts w:ascii="Calibri" w:eastAsia="Calibri" w:hAnsi="Calibri" w:cs="Calibri"/>
          <w:lang w:val="en-GB"/>
        </w:rPr>
        <w:t xml:space="preserve">This will reduce the HARQ-ACK resource </w:t>
      </w:r>
      <w:r w:rsidR="003D0650" w:rsidRPr="003D0650">
        <w:rPr>
          <w:rFonts w:ascii="Calibri" w:eastAsia="Calibri" w:hAnsi="Calibri" w:cs="Calibri"/>
          <w:lang w:val="en-GB"/>
        </w:rPr>
        <w:t>efficiency</w:t>
      </w:r>
      <w:r w:rsidR="00D617F4">
        <w:rPr>
          <w:rFonts w:ascii="Calibri" w:eastAsia="Calibri" w:hAnsi="Calibri" w:cs="Calibri"/>
          <w:lang w:val="en-GB"/>
        </w:rPr>
        <w:t xml:space="preserve">, especially for case 1) when all TBs are scheduled with feedback enabled but the fixed state for “HARQ feedback disable” </w:t>
      </w:r>
      <w:proofErr w:type="spellStart"/>
      <w:r w:rsidR="00D617F4">
        <w:rPr>
          <w:rFonts w:ascii="Calibri" w:eastAsia="Calibri" w:hAnsi="Calibri" w:cs="Calibri"/>
          <w:lang w:val="en-GB"/>
        </w:rPr>
        <w:t>can not</w:t>
      </w:r>
      <w:proofErr w:type="spellEnd"/>
      <w:r w:rsidR="00D617F4">
        <w:rPr>
          <w:rFonts w:ascii="Calibri" w:eastAsia="Calibri" w:hAnsi="Calibri" w:cs="Calibri"/>
          <w:lang w:val="en-GB"/>
        </w:rPr>
        <w:t xml:space="preserve"> be used and case 2) when there are multiple UEs</w:t>
      </w:r>
      <w:r w:rsidR="00041459">
        <w:rPr>
          <w:rFonts w:ascii="Calibri" w:eastAsia="Calibri" w:hAnsi="Calibri" w:cs="Calibri"/>
          <w:lang w:val="en-GB"/>
        </w:rPr>
        <w:t xml:space="preserve"> </w:t>
      </w:r>
      <w:proofErr w:type="gramStart"/>
      <w:r w:rsidR="00041459">
        <w:rPr>
          <w:rFonts w:ascii="Calibri" w:eastAsia="Calibri" w:hAnsi="Calibri" w:cs="Calibri"/>
          <w:lang w:val="en-GB"/>
        </w:rPr>
        <w:t>s</w:t>
      </w:r>
      <w:r w:rsidR="00D617F4">
        <w:rPr>
          <w:rFonts w:ascii="Calibri" w:eastAsia="Calibri" w:hAnsi="Calibri" w:cs="Calibri"/>
          <w:lang w:val="en-GB"/>
        </w:rPr>
        <w:t>cheduled</w:t>
      </w:r>
      <w:proofErr w:type="gramEnd"/>
      <w:r w:rsidR="00D617F4">
        <w:rPr>
          <w:rFonts w:ascii="Calibri" w:eastAsia="Calibri" w:hAnsi="Calibri" w:cs="Calibri"/>
          <w:lang w:val="en-GB"/>
        </w:rPr>
        <w:t xml:space="preserve"> </w:t>
      </w:r>
      <w:r w:rsidR="00041459">
        <w:rPr>
          <w:rFonts w:ascii="Calibri" w:eastAsia="Calibri" w:hAnsi="Calibri" w:cs="Calibri"/>
          <w:lang w:val="en-GB"/>
        </w:rPr>
        <w:t xml:space="preserve">and </w:t>
      </w:r>
      <w:r w:rsidR="00D617F4">
        <w:rPr>
          <w:rFonts w:ascii="Calibri" w:eastAsia="Calibri" w:hAnsi="Calibri" w:cs="Calibri"/>
          <w:lang w:val="en-GB"/>
        </w:rPr>
        <w:t xml:space="preserve">the fixed state </w:t>
      </w:r>
      <w:proofErr w:type="spellStart"/>
      <w:r w:rsidR="00D617F4">
        <w:rPr>
          <w:rFonts w:ascii="Calibri" w:eastAsia="Calibri" w:hAnsi="Calibri" w:cs="Calibri"/>
          <w:lang w:val="en-GB"/>
        </w:rPr>
        <w:t>can not</w:t>
      </w:r>
      <w:proofErr w:type="spellEnd"/>
      <w:r w:rsidR="00D617F4">
        <w:rPr>
          <w:rFonts w:ascii="Calibri" w:eastAsia="Calibri" w:hAnsi="Calibri" w:cs="Calibri"/>
          <w:lang w:val="en-GB"/>
        </w:rPr>
        <w:t xml:space="preserve"> be used for HARQ feedback. </w:t>
      </w:r>
      <w:r w:rsidR="003D0650">
        <w:rPr>
          <w:rFonts w:ascii="Calibri" w:eastAsia="Calibri" w:hAnsi="Calibri" w:cs="Calibri"/>
          <w:lang w:val="en-GB"/>
        </w:rPr>
        <w:t>To</w:t>
      </w:r>
      <w:r>
        <w:rPr>
          <w:rFonts w:ascii="Calibri" w:eastAsia="Calibri" w:hAnsi="Calibri" w:cs="Calibri"/>
          <w:lang w:val="en-GB"/>
        </w:rPr>
        <w:t xml:space="preserve"> avoid this problem, we think the special state should be configured differently for different UEs, so that network can utilize all the states of the HARQ-ACK field.</w:t>
      </w:r>
    </w:p>
    <w:p w14:paraId="6F1B9079" w14:textId="77777777" w:rsidR="00283A81" w:rsidRPr="0067370B" w:rsidRDefault="00283A81" w:rsidP="00283A81">
      <w:pPr>
        <w:pStyle w:val="Caption"/>
        <w:spacing w:after="80"/>
        <w:jc w:val="center"/>
        <w:rPr>
          <w:b w:val="0"/>
          <w:bCs/>
        </w:rPr>
      </w:pPr>
      <w:r w:rsidRPr="0067370B">
        <w:rPr>
          <w:b w:val="0"/>
          <w:bCs/>
        </w:rPr>
        <w:t>Table 1</w:t>
      </w:r>
      <w:r>
        <w:rPr>
          <w:b w:val="0"/>
          <w:bCs/>
        </w:rPr>
        <w:t>. Potential loss of HARQ-ACK capacity due to a fixed state for HARQ feedback disable indication</w:t>
      </w:r>
    </w:p>
    <w:tbl>
      <w:tblPr>
        <w:tblStyle w:val="TableGrid"/>
        <w:tblW w:w="0" w:type="auto"/>
        <w:jc w:val="center"/>
        <w:tblLook w:val="04A0" w:firstRow="1" w:lastRow="0" w:firstColumn="1" w:lastColumn="0" w:noHBand="0" w:noVBand="1"/>
      </w:tblPr>
      <w:tblGrid>
        <w:gridCol w:w="2835"/>
        <w:gridCol w:w="2835"/>
        <w:gridCol w:w="2835"/>
      </w:tblGrid>
      <w:tr w:rsidR="00283A81" w14:paraId="316A4492" w14:textId="77777777" w:rsidTr="00B5253F">
        <w:trPr>
          <w:jc w:val="center"/>
        </w:trPr>
        <w:tc>
          <w:tcPr>
            <w:tcW w:w="2835" w:type="dxa"/>
            <w:tcMar>
              <w:top w:w="28" w:type="dxa"/>
              <w:bottom w:w="28" w:type="dxa"/>
            </w:tcMar>
            <w:vAlign w:val="center"/>
          </w:tcPr>
          <w:p w14:paraId="0F825923" w14:textId="77777777"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DCI format</w:t>
            </w:r>
          </w:p>
        </w:tc>
        <w:tc>
          <w:tcPr>
            <w:tcW w:w="2835" w:type="dxa"/>
            <w:tcMar>
              <w:top w:w="28" w:type="dxa"/>
              <w:bottom w:w="28" w:type="dxa"/>
            </w:tcMar>
            <w:vAlign w:val="center"/>
          </w:tcPr>
          <w:p w14:paraId="16A24BD7" w14:textId="77777777"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6-1B</w:t>
            </w:r>
          </w:p>
        </w:tc>
        <w:tc>
          <w:tcPr>
            <w:tcW w:w="2835" w:type="dxa"/>
            <w:tcMar>
              <w:top w:w="28" w:type="dxa"/>
              <w:bottom w:w="28" w:type="dxa"/>
            </w:tcMar>
            <w:vAlign w:val="center"/>
          </w:tcPr>
          <w:p w14:paraId="6B442C74" w14:textId="77777777"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N1</w:t>
            </w:r>
          </w:p>
        </w:tc>
      </w:tr>
      <w:tr w:rsidR="00283A81" w14:paraId="164BA5D0" w14:textId="77777777" w:rsidTr="00B5253F">
        <w:trPr>
          <w:jc w:val="center"/>
        </w:trPr>
        <w:tc>
          <w:tcPr>
            <w:tcW w:w="2835" w:type="dxa"/>
            <w:tcMar>
              <w:top w:w="28" w:type="dxa"/>
              <w:bottom w:w="28" w:type="dxa"/>
            </w:tcMar>
            <w:vAlign w:val="center"/>
          </w:tcPr>
          <w:p w14:paraId="54D55434" w14:textId="77777777"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DCI field</w:t>
            </w:r>
          </w:p>
        </w:tc>
        <w:tc>
          <w:tcPr>
            <w:tcW w:w="2835" w:type="dxa"/>
            <w:tcMar>
              <w:top w:w="28" w:type="dxa"/>
              <w:bottom w:w="28" w:type="dxa"/>
            </w:tcMar>
            <w:vAlign w:val="center"/>
          </w:tcPr>
          <w:p w14:paraId="170C2D74" w14:textId="5162066A"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HARQ-ACK resource</w:t>
            </w:r>
            <w:r w:rsidR="00442896">
              <w:rPr>
                <w:rFonts w:ascii="Calibri" w:eastAsia="Calibri" w:hAnsi="Calibri" w:cs="Calibri"/>
                <w:lang w:val="en-GB"/>
              </w:rPr>
              <w:t xml:space="preserve"> offset</w:t>
            </w:r>
          </w:p>
        </w:tc>
        <w:tc>
          <w:tcPr>
            <w:tcW w:w="2835" w:type="dxa"/>
            <w:tcMar>
              <w:top w:w="28" w:type="dxa"/>
              <w:bottom w:w="28" w:type="dxa"/>
            </w:tcMar>
            <w:vAlign w:val="center"/>
          </w:tcPr>
          <w:p w14:paraId="49387775" w14:textId="4C6F9D32"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HARQ-ACK resource</w:t>
            </w:r>
          </w:p>
        </w:tc>
      </w:tr>
      <w:tr w:rsidR="00283A81" w14:paraId="4462FC0E" w14:textId="77777777" w:rsidTr="00B5253F">
        <w:trPr>
          <w:jc w:val="center"/>
        </w:trPr>
        <w:tc>
          <w:tcPr>
            <w:tcW w:w="2835" w:type="dxa"/>
            <w:tcMar>
              <w:top w:w="28" w:type="dxa"/>
              <w:bottom w:w="28" w:type="dxa"/>
            </w:tcMar>
            <w:vAlign w:val="center"/>
          </w:tcPr>
          <w:p w14:paraId="6F24DC06" w14:textId="77777777"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Number of bits</w:t>
            </w:r>
          </w:p>
        </w:tc>
        <w:tc>
          <w:tcPr>
            <w:tcW w:w="2835" w:type="dxa"/>
            <w:tcMar>
              <w:top w:w="28" w:type="dxa"/>
              <w:bottom w:w="28" w:type="dxa"/>
            </w:tcMar>
            <w:vAlign w:val="center"/>
          </w:tcPr>
          <w:p w14:paraId="7419CC9C" w14:textId="78191B84" w:rsidR="00283A81" w:rsidRDefault="00442896" w:rsidP="00B5253F">
            <w:pPr>
              <w:spacing w:after="0" w:line="240" w:lineRule="auto"/>
              <w:jc w:val="both"/>
              <w:rPr>
                <w:rFonts w:ascii="Calibri" w:eastAsia="Calibri" w:hAnsi="Calibri" w:cs="Calibri"/>
                <w:lang w:val="en-GB"/>
              </w:rPr>
            </w:pPr>
            <w:r>
              <w:rPr>
                <w:rFonts w:ascii="Calibri" w:eastAsia="Calibri" w:hAnsi="Calibri" w:cs="Calibri"/>
                <w:lang w:val="en-GB"/>
              </w:rPr>
              <w:t>2</w:t>
            </w:r>
          </w:p>
        </w:tc>
        <w:tc>
          <w:tcPr>
            <w:tcW w:w="2835" w:type="dxa"/>
            <w:tcMar>
              <w:top w:w="28" w:type="dxa"/>
              <w:bottom w:w="28" w:type="dxa"/>
            </w:tcMar>
            <w:vAlign w:val="center"/>
          </w:tcPr>
          <w:p w14:paraId="1CCB7562" w14:textId="26068876" w:rsidR="00283A81" w:rsidRDefault="00442896" w:rsidP="00B5253F">
            <w:pPr>
              <w:spacing w:after="0" w:line="240" w:lineRule="auto"/>
              <w:jc w:val="both"/>
              <w:rPr>
                <w:rFonts w:ascii="Calibri" w:eastAsia="Calibri" w:hAnsi="Calibri" w:cs="Calibri"/>
                <w:lang w:val="en-GB"/>
              </w:rPr>
            </w:pPr>
            <w:r>
              <w:rPr>
                <w:rFonts w:ascii="Calibri" w:eastAsia="Calibri" w:hAnsi="Calibri" w:cs="Calibri"/>
                <w:lang w:val="en-GB"/>
              </w:rPr>
              <w:t>4</w:t>
            </w:r>
          </w:p>
        </w:tc>
      </w:tr>
      <w:tr w:rsidR="00283A81" w14:paraId="7461C51A" w14:textId="77777777" w:rsidTr="00B5253F">
        <w:trPr>
          <w:jc w:val="center"/>
        </w:trPr>
        <w:tc>
          <w:tcPr>
            <w:tcW w:w="2835" w:type="dxa"/>
            <w:tcMar>
              <w:top w:w="28" w:type="dxa"/>
              <w:bottom w:w="28" w:type="dxa"/>
            </w:tcMar>
            <w:vAlign w:val="center"/>
          </w:tcPr>
          <w:p w14:paraId="246C7B8E" w14:textId="77777777" w:rsidR="00283A81" w:rsidRDefault="00283A81" w:rsidP="00B5253F">
            <w:pPr>
              <w:spacing w:after="0" w:line="240" w:lineRule="auto"/>
              <w:jc w:val="both"/>
              <w:rPr>
                <w:rFonts w:ascii="Calibri" w:eastAsia="Calibri" w:hAnsi="Calibri" w:cs="Calibri"/>
                <w:lang w:val="en-GB"/>
              </w:rPr>
            </w:pPr>
            <w:r>
              <w:rPr>
                <w:rFonts w:ascii="Calibri" w:eastAsia="Calibri" w:hAnsi="Calibri" w:cs="Calibri"/>
                <w:lang w:val="en-GB"/>
              </w:rPr>
              <w:t>Number of states</w:t>
            </w:r>
          </w:p>
        </w:tc>
        <w:tc>
          <w:tcPr>
            <w:tcW w:w="2835" w:type="dxa"/>
            <w:tcMar>
              <w:top w:w="28" w:type="dxa"/>
              <w:bottom w:w="28" w:type="dxa"/>
            </w:tcMar>
            <w:vAlign w:val="center"/>
          </w:tcPr>
          <w:p w14:paraId="70CCC196" w14:textId="214EB491" w:rsidR="00283A81" w:rsidRDefault="00442896" w:rsidP="00B5253F">
            <w:pPr>
              <w:spacing w:after="0" w:line="240" w:lineRule="auto"/>
              <w:jc w:val="both"/>
              <w:rPr>
                <w:rFonts w:ascii="Calibri" w:eastAsia="Calibri" w:hAnsi="Calibri" w:cs="Calibri"/>
                <w:lang w:val="en-GB"/>
              </w:rPr>
            </w:pPr>
            <w:r>
              <w:rPr>
                <w:rFonts w:ascii="Calibri" w:eastAsia="Calibri" w:hAnsi="Calibri" w:cs="Calibri"/>
                <w:lang w:val="en-GB"/>
              </w:rPr>
              <w:t>4</w:t>
            </w:r>
          </w:p>
        </w:tc>
        <w:tc>
          <w:tcPr>
            <w:tcW w:w="2835" w:type="dxa"/>
            <w:tcMar>
              <w:top w:w="28" w:type="dxa"/>
              <w:bottom w:w="28" w:type="dxa"/>
            </w:tcMar>
            <w:vAlign w:val="center"/>
          </w:tcPr>
          <w:p w14:paraId="7A2B90DF" w14:textId="15B7010B" w:rsidR="00283A81" w:rsidRDefault="00442896" w:rsidP="00B5253F">
            <w:pPr>
              <w:spacing w:after="0" w:line="240" w:lineRule="auto"/>
              <w:jc w:val="both"/>
              <w:rPr>
                <w:rFonts w:ascii="Calibri" w:eastAsia="Calibri" w:hAnsi="Calibri" w:cs="Calibri"/>
                <w:lang w:val="en-GB"/>
              </w:rPr>
            </w:pPr>
            <w:r>
              <w:rPr>
                <w:rFonts w:ascii="Calibri" w:eastAsia="Calibri" w:hAnsi="Calibri" w:cs="Calibri"/>
                <w:lang w:val="en-GB"/>
              </w:rPr>
              <w:t>16</w:t>
            </w:r>
          </w:p>
        </w:tc>
      </w:tr>
      <w:tr w:rsidR="00283A81" w14:paraId="7D530E8C" w14:textId="77777777" w:rsidTr="00B5253F">
        <w:trPr>
          <w:jc w:val="center"/>
        </w:trPr>
        <w:tc>
          <w:tcPr>
            <w:tcW w:w="2835" w:type="dxa"/>
            <w:tcMar>
              <w:top w:w="28" w:type="dxa"/>
              <w:bottom w:w="28" w:type="dxa"/>
            </w:tcMar>
            <w:vAlign w:val="center"/>
          </w:tcPr>
          <w:p w14:paraId="65D36DA7" w14:textId="77777777" w:rsidR="00283A81" w:rsidRDefault="00283A81" w:rsidP="00B5253F">
            <w:pPr>
              <w:spacing w:after="0" w:line="240" w:lineRule="auto"/>
              <w:rPr>
                <w:rFonts w:ascii="Calibri" w:eastAsia="Calibri" w:hAnsi="Calibri" w:cs="Calibri"/>
                <w:lang w:val="en-GB"/>
              </w:rPr>
            </w:pPr>
            <w:r>
              <w:rPr>
                <w:rFonts w:ascii="Calibri" w:eastAsia="Calibri" w:hAnsi="Calibri" w:cs="Calibri"/>
                <w:lang w:val="en-GB"/>
              </w:rPr>
              <w:t>Potential capacity loss due to HARQ feedback indication</w:t>
            </w:r>
          </w:p>
        </w:tc>
        <w:tc>
          <w:tcPr>
            <w:tcW w:w="2835" w:type="dxa"/>
            <w:tcMar>
              <w:top w:w="28" w:type="dxa"/>
              <w:bottom w:w="28" w:type="dxa"/>
            </w:tcMar>
            <w:vAlign w:val="center"/>
          </w:tcPr>
          <w:p w14:paraId="7B229F91" w14:textId="6FD07470" w:rsidR="00283A81" w:rsidRDefault="00E04CA6" w:rsidP="00B5253F">
            <w:pPr>
              <w:spacing w:after="0" w:line="240" w:lineRule="auto"/>
              <w:jc w:val="both"/>
              <w:rPr>
                <w:rFonts w:ascii="Calibri" w:eastAsia="Calibri" w:hAnsi="Calibri" w:cs="Calibri"/>
                <w:lang w:val="en-GB"/>
              </w:rPr>
            </w:pPr>
            <w:r>
              <w:rPr>
                <w:rFonts w:ascii="Calibri" w:eastAsia="Calibri" w:hAnsi="Calibri" w:cs="Calibri"/>
                <w:lang w:val="en-GB"/>
              </w:rPr>
              <w:t>25%</w:t>
            </w:r>
          </w:p>
        </w:tc>
        <w:tc>
          <w:tcPr>
            <w:tcW w:w="2835" w:type="dxa"/>
            <w:tcMar>
              <w:top w:w="28" w:type="dxa"/>
              <w:bottom w:w="28" w:type="dxa"/>
            </w:tcMar>
            <w:vAlign w:val="center"/>
          </w:tcPr>
          <w:p w14:paraId="7A508033" w14:textId="12AB64D0" w:rsidR="00283A81" w:rsidRDefault="00E6702F" w:rsidP="00B5253F">
            <w:pPr>
              <w:spacing w:after="0" w:line="240" w:lineRule="auto"/>
              <w:jc w:val="both"/>
              <w:rPr>
                <w:rFonts w:ascii="Calibri" w:eastAsia="Calibri" w:hAnsi="Calibri" w:cs="Calibri"/>
                <w:lang w:val="en-GB"/>
              </w:rPr>
            </w:pPr>
            <w:r>
              <w:rPr>
                <w:rFonts w:ascii="Calibri" w:eastAsia="Calibri" w:hAnsi="Calibri" w:cs="Calibri"/>
                <w:lang w:val="en-GB"/>
              </w:rPr>
              <w:t>6.</w:t>
            </w:r>
            <w:r w:rsidR="006B2C3D">
              <w:rPr>
                <w:rFonts w:ascii="Calibri" w:eastAsia="Calibri" w:hAnsi="Calibri" w:cs="Calibri"/>
                <w:lang w:val="en-GB"/>
              </w:rPr>
              <w:t>25</w:t>
            </w:r>
            <w:r w:rsidR="006B2C3D">
              <w:rPr>
                <w:rFonts w:ascii="Calibri" w:eastAsia="Calibri" w:hAnsi="Calibri" w:cs="Calibri"/>
                <w:lang w:val="en-GB"/>
              </w:rPr>
              <w:t>%</w:t>
            </w:r>
          </w:p>
        </w:tc>
      </w:tr>
    </w:tbl>
    <w:p w14:paraId="0D3A2E28" w14:textId="77777777" w:rsidR="003E7085" w:rsidRPr="009D5529" w:rsidRDefault="003E7085" w:rsidP="003E7085">
      <w:pPr>
        <w:spacing w:before="120" w:line="257" w:lineRule="auto"/>
        <w:jc w:val="both"/>
        <w:rPr>
          <w:rFonts w:ascii="Calibri" w:eastAsia="Calibri" w:hAnsi="Calibri" w:cs="Calibri"/>
          <w:b/>
          <w:bCs/>
          <w:lang w:val="en-GB"/>
        </w:rPr>
      </w:pPr>
      <w:r w:rsidRPr="009D5529">
        <w:rPr>
          <w:rFonts w:ascii="Calibri" w:eastAsia="Calibri" w:hAnsi="Calibri" w:cs="Calibri"/>
          <w:b/>
          <w:bCs/>
          <w:lang w:val="en-GB"/>
        </w:rPr>
        <w:t xml:space="preserve">Observation 2: Using a fixed state of DCI “HARQ-ACK resource” </w:t>
      </w:r>
      <w:r>
        <w:rPr>
          <w:rFonts w:ascii="Calibri" w:eastAsia="Calibri" w:hAnsi="Calibri" w:cs="Calibri"/>
          <w:b/>
          <w:bCs/>
          <w:lang w:val="en-GB"/>
        </w:rPr>
        <w:t>and</w:t>
      </w:r>
      <w:r w:rsidRPr="009D5529">
        <w:rPr>
          <w:rFonts w:ascii="Calibri" w:eastAsia="Calibri" w:hAnsi="Calibri" w:cs="Calibri"/>
          <w:b/>
          <w:bCs/>
          <w:lang w:val="en-GB"/>
        </w:rPr>
        <w:t xml:space="preserve"> “HARQ-ACK resource offset” field</w:t>
      </w:r>
      <w:r>
        <w:rPr>
          <w:rFonts w:ascii="Calibri" w:eastAsia="Calibri" w:hAnsi="Calibri" w:cs="Calibri"/>
          <w:b/>
          <w:bCs/>
          <w:lang w:val="en-GB"/>
        </w:rPr>
        <w:t>s</w:t>
      </w:r>
      <w:r w:rsidRPr="009D5529">
        <w:rPr>
          <w:rFonts w:ascii="Calibri" w:eastAsia="Calibri" w:hAnsi="Calibri" w:cs="Calibri"/>
          <w:b/>
          <w:bCs/>
          <w:lang w:val="en-GB"/>
        </w:rPr>
        <w:t xml:space="preserve"> to indicate HARQ feedback disable will reduce the network’s HARQ-ACK scheduling capacity.</w:t>
      </w:r>
    </w:p>
    <w:p w14:paraId="0C096503" w14:textId="77777777" w:rsidR="003E7085" w:rsidRDefault="003E7085" w:rsidP="003E7085">
      <w:pPr>
        <w:spacing w:before="120" w:line="257" w:lineRule="auto"/>
        <w:jc w:val="both"/>
        <w:rPr>
          <w:rFonts w:ascii="Calibri" w:eastAsia="Calibri" w:hAnsi="Calibri" w:cs="Calibri"/>
          <w:b/>
          <w:bCs/>
          <w:lang w:val="en-GB"/>
        </w:rPr>
      </w:pPr>
      <w:r w:rsidRPr="00C22D0F">
        <w:rPr>
          <w:rFonts w:ascii="Calibri" w:eastAsia="Calibri" w:hAnsi="Calibri" w:cs="Calibri"/>
          <w:b/>
          <w:bCs/>
          <w:lang w:val="en-GB"/>
        </w:rPr>
        <w:t>Proposal 1: The special state of DCI “HARQ-ACK resource” and “HARQ-ACK resource offset” fields for HARQ feedback disable indication should be configured as UE specific.</w:t>
      </w:r>
      <w:r>
        <w:rPr>
          <w:rFonts w:ascii="Calibri" w:eastAsia="Calibri" w:hAnsi="Calibri" w:cs="Calibri"/>
          <w:b/>
          <w:bCs/>
          <w:lang w:val="en-GB"/>
        </w:rPr>
        <w:t xml:space="preserve"> </w:t>
      </w:r>
    </w:p>
    <w:p w14:paraId="3F5937FC" w14:textId="77777777" w:rsidR="00B40767" w:rsidRDefault="00B40767" w:rsidP="00B40767">
      <w:pPr>
        <w:jc w:val="both"/>
        <w:rPr>
          <w:lang w:val="en-GB"/>
        </w:rPr>
      </w:pPr>
      <w:r>
        <w:rPr>
          <w:lang w:val="en-GB"/>
        </w:rPr>
        <w:t>In principle, we see no issue with the working assumption of using the DCI field “HARQ-ACK resource” or “HARQ-ACK resource offset” to indicate HARQ feedback enable/disable. We propose to confirm the working assumptions related to DCI indication for HARQ feedback enable/disable.</w:t>
      </w:r>
    </w:p>
    <w:p w14:paraId="5CC58A4C" w14:textId="77777777" w:rsidR="00B40767" w:rsidRPr="008D16CA" w:rsidRDefault="00B40767" w:rsidP="00B40767">
      <w:pPr>
        <w:jc w:val="both"/>
        <w:rPr>
          <w:b/>
          <w:bCs/>
          <w:lang w:val="en-GB"/>
        </w:rPr>
      </w:pPr>
      <w:r w:rsidRPr="008D16CA">
        <w:rPr>
          <w:b/>
          <w:bCs/>
          <w:lang w:val="en-GB"/>
        </w:rPr>
        <w:t>Proposal 2: Confirm RAN1#113 working assumptions related to DCI indication method for HARQ feedback enable/disable.</w:t>
      </w:r>
    </w:p>
    <w:p w14:paraId="70484160" w14:textId="5352DCF0" w:rsidR="00A120E1" w:rsidRPr="00B40767" w:rsidRDefault="00B40767" w:rsidP="003E7085">
      <w:pPr>
        <w:jc w:val="both"/>
        <w:rPr>
          <w:lang w:val="en-GB"/>
        </w:rPr>
      </w:pPr>
      <w:r>
        <w:rPr>
          <w:lang w:val="en-GB"/>
        </w:rPr>
        <w:t xml:space="preserve">Regarding working assumption 2 for the DCI overridden mechanism, we have questions about UE </w:t>
      </w:r>
      <w:proofErr w:type="spellStart"/>
      <w:r>
        <w:rPr>
          <w:lang w:val="en-GB"/>
        </w:rPr>
        <w:t>behavior</w:t>
      </w:r>
      <w:proofErr w:type="spellEnd"/>
      <w:r>
        <w:rPr>
          <w:lang w:val="en-GB"/>
        </w:rPr>
        <w:t xml:space="preserve"> in PDCCH monitoring. Further discussion is presented in Section 2.3.</w:t>
      </w:r>
    </w:p>
    <w:p w14:paraId="0208AD4E" w14:textId="3F97F522" w:rsidR="00134B0D" w:rsidRDefault="648F882E" w:rsidP="00EA50BA">
      <w:pPr>
        <w:pStyle w:val="Heading2"/>
      </w:pPr>
      <w:r>
        <w:t>HARQ feedback disabling</w:t>
      </w:r>
      <w:r w:rsidR="000350E7">
        <w:t xml:space="preserve"> for multi-TB scheduling</w:t>
      </w:r>
    </w:p>
    <w:p w14:paraId="44EDD4EF" w14:textId="186A3FE9" w:rsidR="0036332A" w:rsidRDefault="0036332A" w:rsidP="0027576E">
      <w:pPr>
        <w:spacing w:after="120"/>
        <w:jc w:val="both"/>
      </w:pPr>
      <w:r>
        <w:t xml:space="preserve">In RAN1#113, the following agreement is reached </w:t>
      </w:r>
      <w:r>
        <w:fldChar w:fldCharType="begin"/>
      </w:r>
      <w:r>
        <w:instrText xml:space="preserve"> REF _Ref141200037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36332A" w14:paraId="02C09917" w14:textId="77777777" w:rsidTr="0036332A">
        <w:tc>
          <w:tcPr>
            <w:tcW w:w="9629" w:type="dxa"/>
            <w:tcMar>
              <w:top w:w="57" w:type="dxa"/>
              <w:bottom w:w="57" w:type="dxa"/>
            </w:tcMar>
            <w:vAlign w:val="center"/>
          </w:tcPr>
          <w:p w14:paraId="4FF1CAFE" w14:textId="77777777" w:rsidR="0036332A" w:rsidRPr="0036332A" w:rsidRDefault="0036332A" w:rsidP="0036332A">
            <w:pPr>
              <w:spacing w:after="0" w:line="240" w:lineRule="auto"/>
              <w:rPr>
                <w:rFonts w:ascii="Times" w:eastAsia="Batang" w:hAnsi="Times" w:cs="Times New Roman"/>
                <w:b/>
                <w:bCs/>
                <w:iCs/>
                <w:sz w:val="20"/>
                <w:szCs w:val="20"/>
                <w:highlight w:val="green"/>
                <w:lang w:val="en-GB"/>
              </w:rPr>
            </w:pPr>
            <w:r w:rsidRPr="0036332A">
              <w:rPr>
                <w:rFonts w:ascii="Times" w:eastAsia="Batang" w:hAnsi="Times" w:cs="Times New Roman"/>
                <w:b/>
                <w:bCs/>
                <w:iCs/>
                <w:sz w:val="20"/>
                <w:szCs w:val="20"/>
                <w:highlight w:val="green"/>
                <w:lang w:val="en-GB"/>
              </w:rPr>
              <w:lastRenderedPageBreak/>
              <w:t>Agreement</w:t>
            </w:r>
          </w:p>
          <w:p w14:paraId="79B3D35D" w14:textId="151BA058" w:rsidR="0036332A" w:rsidRPr="0036332A" w:rsidRDefault="0036332A" w:rsidP="0036332A">
            <w:pPr>
              <w:spacing w:after="0" w:line="240" w:lineRule="auto"/>
              <w:rPr>
                <w:rFonts w:ascii="Times" w:eastAsia="等线" w:hAnsi="Times" w:cs="Times New Roman"/>
                <w:sz w:val="20"/>
                <w:szCs w:val="20"/>
                <w:lang w:val="en-GB"/>
              </w:rPr>
            </w:pPr>
            <w:r w:rsidRPr="0036332A">
              <w:rPr>
                <w:rFonts w:ascii="Times" w:eastAsia="Batang" w:hAnsi="Times" w:cs="Times New Roman"/>
                <w:sz w:val="20"/>
                <w:szCs w:val="20"/>
                <w:lang w:val="en-GB"/>
              </w:rPr>
              <w:t>for NB-IoT and LTE-MTC in CE Mode B</w:t>
            </w:r>
            <w:r w:rsidRPr="0036332A">
              <w:rPr>
                <w:rFonts w:ascii="Times" w:eastAsia="等线" w:hAnsi="Times" w:cs="Times New Roman"/>
                <w:sz w:val="20"/>
                <w:szCs w:val="20"/>
                <w:lang w:val="en-GB"/>
              </w:rPr>
              <w:t xml:space="preserve">, if multiple TBs is configured, for DCI-based </w:t>
            </w:r>
            <w:r w:rsidRPr="0036332A">
              <w:rPr>
                <w:rFonts w:ascii="Times" w:eastAsia="Batang" w:hAnsi="Times" w:cs="Times New Roman"/>
                <w:iCs/>
                <w:sz w:val="20"/>
                <w:szCs w:val="20"/>
                <w:lang w:val="en-GB"/>
              </w:rPr>
              <w:t>HARQ enabling/disabling direct indication</w:t>
            </w:r>
            <w:r w:rsidRPr="0036332A">
              <w:rPr>
                <w:rFonts w:ascii="Times" w:eastAsia="等线" w:hAnsi="Times" w:cs="Times New Roman"/>
                <w:sz w:val="20"/>
                <w:szCs w:val="20"/>
                <w:lang w:val="en-GB"/>
              </w:rPr>
              <w:t xml:space="preserve"> in multiple TBs scheduled by single DCI, the </w:t>
            </w:r>
            <w:r w:rsidRPr="0036332A">
              <w:rPr>
                <w:rFonts w:ascii="Times" w:eastAsia="Batang" w:hAnsi="Times" w:cs="Times New Roman"/>
                <w:iCs/>
                <w:sz w:val="20"/>
                <w:szCs w:val="20"/>
                <w:lang w:val="en-GB"/>
              </w:rPr>
              <w:t xml:space="preserve">same indication is applied to </w:t>
            </w:r>
            <w:r w:rsidRPr="0036332A">
              <w:rPr>
                <w:rFonts w:ascii="Times" w:eastAsia="等线" w:hAnsi="Times" w:cs="Times New Roman"/>
                <w:sz w:val="20"/>
                <w:szCs w:val="20"/>
                <w:lang w:val="en-GB"/>
              </w:rPr>
              <w:t xml:space="preserve">all scheduled TBs, </w:t>
            </w:r>
            <w:proofErr w:type="gramStart"/>
            <w:r w:rsidRPr="0036332A">
              <w:rPr>
                <w:rFonts w:ascii="Times" w:eastAsia="等线" w:hAnsi="Times" w:cs="Times New Roman"/>
                <w:sz w:val="20"/>
                <w:szCs w:val="20"/>
                <w:lang w:val="en-GB"/>
              </w:rPr>
              <w:t>i.e.</w:t>
            </w:r>
            <w:proofErr w:type="gramEnd"/>
            <w:r w:rsidRPr="0036332A">
              <w:rPr>
                <w:rFonts w:ascii="Times" w:eastAsia="等线" w:hAnsi="Times" w:cs="Times New Roman"/>
                <w:sz w:val="20"/>
                <w:szCs w:val="20"/>
                <w:lang w:val="en-GB"/>
              </w:rPr>
              <w:t xml:space="preserve"> HARQ is enabled or disabled for all </w:t>
            </w:r>
            <w:proofErr w:type="spellStart"/>
            <w:r w:rsidRPr="0036332A">
              <w:rPr>
                <w:rFonts w:ascii="Times" w:eastAsia="等线" w:hAnsi="Times" w:cs="Times New Roman"/>
                <w:sz w:val="20"/>
                <w:szCs w:val="20"/>
                <w:lang w:val="en-GB"/>
              </w:rPr>
              <w:t>TBs.</w:t>
            </w:r>
            <w:proofErr w:type="spellEnd"/>
          </w:p>
        </w:tc>
      </w:tr>
    </w:tbl>
    <w:p w14:paraId="699541DE" w14:textId="7C7F1DE2" w:rsidR="00D2508A" w:rsidRDefault="00D2508A" w:rsidP="00D2508A">
      <w:pPr>
        <w:spacing w:before="120" w:after="120"/>
        <w:jc w:val="both"/>
      </w:pPr>
      <w:r>
        <w:t xml:space="preserve">In this agreement from RAN1#113, DCI-based direct indication of HARQ feedback enable/disable applies to all the TBs scheduled by that DCI. The UE either reports HARQ feedback </w:t>
      </w:r>
      <w:r w:rsidR="00590BF4">
        <w:t>for</w:t>
      </w:r>
      <w:r>
        <w:t xml:space="preserve"> all scheduled TBs (as in legacy) or does not report any HARQ feedback. When reporting HARQ feedback, the UE follows existing HARQ-ACK timing and HARQ-ACK bundling procedure if HARQ-ACK bundling is configured. When HARQ feedback is disabled, the UE returns to PDCCH monitoring after the processing delay for data decoding (as agreed in RAN1#110b and RAN1#112). No additional specification efforts are required for the DCI direct indication in multi-TB scheduling.</w:t>
      </w:r>
    </w:p>
    <w:p w14:paraId="1E0CD378" w14:textId="5A88D649" w:rsidR="00D2508A" w:rsidRPr="00B437A8" w:rsidRDefault="00D2508A" w:rsidP="00D2508A">
      <w:pPr>
        <w:spacing w:after="120"/>
        <w:jc w:val="both"/>
        <w:rPr>
          <w:b/>
          <w:bCs/>
        </w:rPr>
      </w:pPr>
      <w:r w:rsidRPr="00B437A8">
        <w:rPr>
          <w:b/>
          <w:bCs/>
        </w:rPr>
        <w:t xml:space="preserve">Observation </w:t>
      </w:r>
      <w:r w:rsidR="0053525C">
        <w:rPr>
          <w:b/>
          <w:bCs/>
        </w:rPr>
        <w:t>3</w:t>
      </w:r>
      <w:r w:rsidRPr="00B437A8">
        <w:rPr>
          <w:b/>
          <w:bCs/>
        </w:rPr>
        <w:t xml:space="preserve">: Existing specifications and agreements are sufficient for DCI direct indication of HARQ feedback enable/disable in multi-TB scheduling. </w:t>
      </w:r>
    </w:p>
    <w:p w14:paraId="6D1952B2" w14:textId="77777777" w:rsidR="00D2508A" w:rsidRDefault="00D2508A" w:rsidP="00D2508A">
      <w:pPr>
        <w:spacing w:after="120"/>
        <w:jc w:val="both"/>
      </w:pPr>
      <w:r>
        <w:t xml:space="preserve">One state of the “HARQ-ACK resource” field in DCI format N1 and one state of the “HARQ-ACK resource offset” field in DCI format 6-1B are used for HARQ feedback disable indication when a single TB is scheduled by the DCI. The same way of indication can be adopted for multi-TB scheduling as a common solution. </w:t>
      </w:r>
    </w:p>
    <w:p w14:paraId="7F866807" w14:textId="42F4C2E4" w:rsidR="00D2508A" w:rsidRDefault="00D2508A" w:rsidP="00D2508A">
      <w:pPr>
        <w:spacing w:after="120"/>
        <w:jc w:val="both"/>
      </w:pPr>
      <w:r w:rsidRPr="008A3329">
        <w:rPr>
          <w:b/>
          <w:bCs/>
        </w:rPr>
        <w:t xml:space="preserve">Proposal </w:t>
      </w:r>
      <w:r w:rsidR="0053525C">
        <w:rPr>
          <w:b/>
          <w:bCs/>
        </w:rPr>
        <w:t>3</w:t>
      </w:r>
      <w:r w:rsidRPr="008A3329">
        <w:rPr>
          <w:b/>
          <w:bCs/>
        </w:rPr>
        <w:t>:</w:t>
      </w:r>
      <w:r>
        <w:t xml:space="preserve"> </w:t>
      </w:r>
      <w:r>
        <w:rPr>
          <w:b/>
          <w:bCs/>
          <w:lang w:eastAsia="en-US"/>
        </w:rPr>
        <w:t>The same DCI indication for HARQ feedback enable/disable in single-TB scheduling is used for HARQ feedback enable/disable in multi-TB scheduling.</w:t>
      </w:r>
    </w:p>
    <w:p w14:paraId="1ABA13F8" w14:textId="3E658A0C" w:rsidR="00A60F6D" w:rsidRDefault="00D2508A" w:rsidP="0009382B">
      <w:pPr>
        <w:spacing w:after="120"/>
        <w:jc w:val="both"/>
      </w:pPr>
      <w:r>
        <w:t xml:space="preserve">The same DCI indication can also be used for the HARQ feedback enable/disable overridden mechanism in multi-TB scheduling, just as in single-TB scheduling case. The open issue is whether the DCI indication applies to all scheduled TBs or a subset of scheduled </w:t>
      </w:r>
      <w:proofErr w:type="spellStart"/>
      <w:r>
        <w:t>TBs.</w:t>
      </w:r>
      <w:proofErr w:type="spellEnd"/>
      <w:r>
        <w:t xml:space="preserve"> </w:t>
      </w:r>
      <w:r w:rsidR="0009382B">
        <w:t xml:space="preserve">Applying the same DCI indication to all scheduled TBs is a simple option with least specification impact and consistent with the agreed behavior of DCI-based direct indication. </w:t>
      </w:r>
    </w:p>
    <w:p w14:paraId="59D7E860" w14:textId="78B8882A" w:rsidR="0009382B" w:rsidRDefault="0009382B" w:rsidP="0009382B">
      <w:pPr>
        <w:spacing w:after="120"/>
        <w:jc w:val="both"/>
      </w:pPr>
      <w:r>
        <w:t xml:space="preserve">For example, when the DCI indicates “HARQ feedback enable”, the HARQ processes corresponding to all the scheduled TBs should be considered HARQ feedback enabled. If some of these processes are configured as HARQ feedback disabled by the bitmap, they are reversed by the DCI. When the DCI indicates “HARQ feedback disable”, the HARQ processes corresponding to all scheduled TBs should be considered HARQ feedback disabled. In this way, the DCI overridden mechanism will cause HARQ feedback </w:t>
      </w:r>
      <w:r w:rsidR="007A6425">
        <w:t>to be</w:t>
      </w:r>
      <w:r>
        <w:t xml:space="preserve"> reported for all scheduled TBs or no HARQ feedback reported at all</w:t>
      </w:r>
      <w:r w:rsidR="0051302B">
        <w:t xml:space="preserve">, just as </w:t>
      </w:r>
      <w:r w:rsidR="007E2AEE">
        <w:t>DCI direct indication</w:t>
      </w:r>
      <w:r w:rsidR="003C7287">
        <w:t xml:space="preserve"> will do</w:t>
      </w:r>
      <w:r>
        <w:t>. The complication from a mix of HARQ enabled and disabled processes in HARQ-ACK bundling, HARQ-ACK timing, and HARQ RTT timers for DRX in multi-TB scheduling can be avoided.</w:t>
      </w:r>
    </w:p>
    <w:p w14:paraId="4034D942" w14:textId="4AF80E57" w:rsidR="00D2508A" w:rsidRDefault="00332346" w:rsidP="00D2508A">
      <w:pPr>
        <w:spacing w:after="120"/>
        <w:jc w:val="both"/>
      </w:pPr>
      <w:r w:rsidRPr="009057B0">
        <w:rPr>
          <w:b/>
          <w:bCs/>
        </w:rPr>
        <w:t xml:space="preserve">Proposal 4: For the DCI-based overridden mechanism in multi-TB scheduling, the DCI indication of HARQ feedback enable/disable applies to all the DCI scheduled </w:t>
      </w:r>
      <w:proofErr w:type="spellStart"/>
      <w:r w:rsidRPr="009057B0">
        <w:rPr>
          <w:b/>
          <w:bCs/>
        </w:rPr>
        <w:t>TBs.</w:t>
      </w:r>
      <w:proofErr w:type="spellEnd"/>
      <w:r w:rsidRPr="009057B0">
        <w:rPr>
          <w:b/>
          <w:bCs/>
        </w:rPr>
        <w:t xml:space="preserve"> </w:t>
      </w:r>
      <w:r w:rsidR="00D2508A">
        <w:t xml:space="preserve"> </w:t>
      </w:r>
    </w:p>
    <w:p w14:paraId="3E3EB886" w14:textId="77777777" w:rsidR="00D2508A" w:rsidRDefault="00684E04" w:rsidP="00D2508A">
      <w:pPr>
        <w:spacing w:after="120"/>
        <w:jc w:val="both"/>
      </w:pPr>
      <w:r>
        <w:t xml:space="preserve">We also need to consider the case of Option 1 (only semi-static per-HARQ bitmap is configured, but DCI-based indication is not) in multi-TB scheduling, because extensive specification changes are required if some HARQ processes of the scheduled TBs are feedback enabled and some are feedback disabled. A simple solution is to have HARQ feedback enabled or disabled for all the DCI scheduled TBs, following the same behavior of the DCI-based solutions. </w:t>
      </w:r>
      <w:r w:rsidR="00CC648E">
        <w:t>In this case, the HARQ feedback enable/disable decision can be based on the RRC (per-HARQ bitmap) configured HARQ feedback state of a scheduled TB, e.g., the bitmap state of the HARQ process corresponding to the first scheduled TB.</w:t>
      </w:r>
    </w:p>
    <w:p w14:paraId="745B2DD4" w14:textId="702AA8EB" w:rsidR="002706D7" w:rsidRPr="00CC648E" w:rsidRDefault="0081585C" w:rsidP="00D2508A">
      <w:pPr>
        <w:spacing w:after="120"/>
        <w:jc w:val="both"/>
        <w:rPr>
          <w:b/>
        </w:rPr>
      </w:pPr>
      <w:r w:rsidRPr="004715B0">
        <w:rPr>
          <w:b/>
          <w:bCs/>
        </w:rPr>
        <w:t xml:space="preserve">Proposal </w:t>
      </w:r>
      <w:r>
        <w:rPr>
          <w:b/>
          <w:bCs/>
        </w:rPr>
        <w:t>5</w:t>
      </w:r>
      <w:r w:rsidRPr="004715B0">
        <w:rPr>
          <w:b/>
          <w:bCs/>
        </w:rPr>
        <w:t xml:space="preserve">: </w:t>
      </w:r>
      <w:r>
        <w:rPr>
          <w:b/>
          <w:bCs/>
        </w:rPr>
        <w:t xml:space="preserve">When configured with per-HARQ bitmap for feedback enable/disable (Option 1) but not DCI-based override, HARQ feedback enable/disable for all the TBs scheduled by a single DCI is based on the bitmap indication for one of the scheduled </w:t>
      </w:r>
      <w:proofErr w:type="spellStart"/>
      <w:r>
        <w:rPr>
          <w:b/>
          <w:bCs/>
        </w:rPr>
        <w:t>TBs.</w:t>
      </w:r>
      <w:proofErr w:type="spellEnd"/>
    </w:p>
    <w:p w14:paraId="02ACF2B8" w14:textId="7C3F972B" w:rsidR="00AA19F3" w:rsidRDefault="00AA19F3" w:rsidP="00AA19F3">
      <w:pPr>
        <w:pStyle w:val="Heading2"/>
      </w:pPr>
      <w:r>
        <w:lastRenderedPageBreak/>
        <w:t>PDCCH monitoring</w:t>
      </w:r>
    </w:p>
    <w:p w14:paraId="5586636D" w14:textId="77777777" w:rsidR="00E44D68" w:rsidRDefault="00E44D68" w:rsidP="00E44D68">
      <w:pPr>
        <w:spacing w:after="80"/>
        <w:rPr>
          <w:lang w:val="en-GB" w:eastAsia="en-US"/>
        </w:rPr>
      </w:pPr>
      <w:r>
        <w:rPr>
          <w:lang w:val="en-GB" w:eastAsia="en-US"/>
        </w:rPr>
        <w:t xml:space="preserve">For DCI-based overridden mechanism, we have a working assumption regarding NB-IoT UE’s NPDCCH monitoring </w:t>
      </w:r>
      <w:proofErr w:type="spellStart"/>
      <w:r>
        <w:rPr>
          <w:lang w:val="en-GB" w:eastAsia="en-US"/>
        </w:rPr>
        <w:t>behavior</w:t>
      </w:r>
      <w:proofErr w:type="spellEnd"/>
      <w:r>
        <w:rPr>
          <w:lang w:val="en-GB" w:eastAsia="en-US"/>
        </w:rPr>
        <w:t>:</w:t>
      </w:r>
    </w:p>
    <w:tbl>
      <w:tblPr>
        <w:tblStyle w:val="TableGrid"/>
        <w:tblW w:w="0" w:type="auto"/>
        <w:tblLook w:val="04A0" w:firstRow="1" w:lastRow="0" w:firstColumn="1" w:lastColumn="0" w:noHBand="0" w:noVBand="1"/>
      </w:tblPr>
      <w:tblGrid>
        <w:gridCol w:w="9629"/>
      </w:tblGrid>
      <w:tr w:rsidR="00E44D68" w14:paraId="06323282" w14:textId="77777777">
        <w:tc>
          <w:tcPr>
            <w:tcW w:w="9629" w:type="dxa"/>
          </w:tcPr>
          <w:p w14:paraId="1FA1331A" w14:textId="77777777" w:rsidR="00E44D68" w:rsidRDefault="00E44D68">
            <w:pPr>
              <w:spacing w:before="80" w:after="80"/>
              <w:rPr>
                <w:lang w:val="en-GB" w:eastAsia="en-US"/>
              </w:rPr>
            </w:pPr>
            <w:r w:rsidRPr="00F17CDB">
              <w:rPr>
                <w:rFonts w:ascii="Times New Roman" w:eastAsia="Batang" w:hAnsi="Times New Roman" w:cs="Times New Roman"/>
                <w:sz w:val="20"/>
                <w:szCs w:val="20"/>
                <w:highlight w:val="darkYellow"/>
                <w:lang w:val="en-GB"/>
              </w:rPr>
              <w:t>Working assumption 2</w:t>
            </w:r>
            <w:r w:rsidRPr="00F17CDB">
              <w:rPr>
                <w:rFonts w:ascii="Times New Roman" w:eastAsia="Batang" w:hAnsi="Times New Roman" w:cs="Times New Roman"/>
                <w:sz w:val="20"/>
                <w:szCs w:val="20"/>
                <w:lang w:val="en-GB"/>
              </w:rPr>
              <w:t xml:space="preserve"> For Option 1 + Option 3 DCI based overridden mechanism, for a HARQ process configured as HARQ feedback disabled by per-HARQ process bitmap </w:t>
            </w:r>
            <w:proofErr w:type="spellStart"/>
            <w:r w:rsidRPr="00F17CDB">
              <w:rPr>
                <w:rFonts w:ascii="Times New Roman" w:eastAsia="Batang" w:hAnsi="Times New Roman" w:cs="Times New Roman"/>
                <w:sz w:val="20"/>
                <w:szCs w:val="20"/>
                <w:lang w:val="en-GB"/>
              </w:rPr>
              <w:t>signaling</w:t>
            </w:r>
            <w:proofErr w:type="spellEnd"/>
            <w:r w:rsidRPr="00F17CDB">
              <w:rPr>
                <w:rFonts w:ascii="Times New Roman" w:eastAsia="Batang" w:hAnsi="Times New Roman" w:cs="Times New Roman"/>
                <w:sz w:val="20"/>
                <w:szCs w:val="20"/>
                <w:lang w:val="en-GB"/>
              </w:rPr>
              <w:t xml:space="preserve"> and</w:t>
            </w:r>
            <w:r w:rsidRPr="00F17CDB">
              <w:rPr>
                <w:rFonts w:ascii="Times New Roman" w:eastAsia="Batang" w:hAnsi="Times New Roman" w:cs="Times New Roman"/>
                <w:sz w:val="20"/>
                <w:szCs w:val="20"/>
                <w:lang w:val="en-GB" w:eastAsia="x-none"/>
              </w:rPr>
              <w:t xml:space="preserve"> further </w:t>
            </w:r>
            <w:r w:rsidRPr="00F17CDB">
              <w:rPr>
                <w:rFonts w:ascii="Times New Roman" w:eastAsia="Batang" w:hAnsi="Times New Roman" w:cs="Times New Roman"/>
                <w:sz w:val="20"/>
                <w:szCs w:val="20"/>
                <w:lang w:val="en-GB"/>
              </w:rPr>
              <w:t xml:space="preserve">reversed to HARQ feedback enabled </w:t>
            </w:r>
            <w:r w:rsidRPr="00F17CDB">
              <w:rPr>
                <w:rFonts w:ascii="Times New Roman" w:eastAsia="Batang" w:hAnsi="Times New Roman" w:cs="Times New Roman"/>
                <w:sz w:val="20"/>
                <w:szCs w:val="20"/>
                <w:lang w:val="en-GB" w:eastAsia="x-none"/>
              </w:rPr>
              <w:t>by DCI</w:t>
            </w:r>
            <w:r w:rsidRPr="00F17CDB">
              <w:rPr>
                <w:rFonts w:ascii="Times New Roman" w:eastAsia="Batang" w:hAnsi="Times New Roman" w:cs="Times New Roman"/>
                <w:sz w:val="20"/>
                <w:szCs w:val="20"/>
                <w:lang w:val="en-GB"/>
              </w:rPr>
              <w:t xml:space="preserve">, the </w:t>
            </w:r>
            <w:proofErr w:type="spellStart"/>
            <w:r w:rsidRPr="00F17CDB">
              <w:rPr>
                <w:rFonts w:ascii="Times New Roman" w:eastAsia="Batang" w:hAnsi="Times New Roman" w:cs="Times New Roman"/>
                <w:sz w:val="20"/>
                <w:szCs w:val="20"/>
                <w:lang w:val="en-GB"/>
              </w:rPr>
              <w:t>NBIoT</w:t>
            </w:r>
            <w:proofErr w:type="spellEnd"/>
            <w:r w:rsidRPr="00F17CDB">
              <w:rPr>
                <w:rFonts w:ascii="Times New Roman" w:eastAsia="Batang" w:hAnsi="Times New Roman" w:cs="Times New Roman"/>
                <w:sz w:val="20"/>
                <w:szCs w:val="20"/>
                <w:lang w:val="en-GB"/>
              </w:rPr>
              <w:t xml:space="preserve"> UE does not wait for an RTT+3ms (</w:t>
            </w:r>
            <w:r w:rsidRPr="00F17CDB">
              <w:rPr>
                <w:rFonts w:ascii="Times New Roman" w:eastAsia="Batang" w:hAnsi="Times New Roman" w:cs="Times New Roman" w:hint="eastAsia"/>
                <w:sz w:val="20"/>
                <w:szCs w:val="20"/>
                <w:lang w:val="en-GB"/>
              </w:rPr>
              <w:t>i.</w:t>
            </w:r>
            <w:r w:rsidRPr="00F17CDB">
              <w:rPr>
                <w:rFonts w:ascii="Times New Roman" w:eastAsia="Batang" w:hAnsi="Times New Roman" w:cs="Times New Roman"/>
                <w:sz w:val="20"/>
                <w:szCs w:val="20"/>
                <w:lang w:val="en-GB"/>
              </w:rPr>
              <w:t xml:space="preserve">e., till subframe </w:t>
            </w:r>
            <w:r w:rsidRPr="00F17CDB">
              <w:rPr>
                <w:rFonts w:ascii="Times New Roman" w:eastAsia="Batang" w:hAnsi="Times New Roman" w:cs="Times New Roman"/>
                <w:i/>
                <w:iCs/>
                <w:sz w:val="20"/>
                <w:szCs w:val="20"/>
                <w:lang w:val="en-GB"/>
              </w:rPr>
              <w:t>n+Kmac+3</w:t>
            </w:r>
            <w:r w:rsidRPr="00F17CDB">
              <w:rPr>
                <w:rFonts w:ascii="Times New Roman" w:eastAsia="Batang" w:hAnsi="Times New Roman" w:cs="Times New Roman"/>
                <w:sz w:val="20"/>
                <w:szCs w:val="20"/>
                <w:lang w:val="en-GB"/>
              </w:rPr>
              <w:t xml:space="preserve"> in TS36.213 section 16.6) before monitoring NPDCCH for the same HARQ process (or monitoring any NPDCCH for the case of single HARQ process configuration).</w:t>
            </w:r>
          </w:p>
        </w:tc>
      </w:tr>
    </w:tbl>
    <w:p w14:paraId="4EC85255" w14:textId="5D045C5A" w:rsidR="00E44D68" w:rsidRDefault="00E44D68" w:rsidP="00E44D68">
      <w:pPr>
        <w:spacing w:before="120"/>
        <w:jc w:val="both"/>
        <w:rPr>
          <w:lang w:val="en-GB" w:eastAsia="en-US"/>
        </w:rPr>
      </w:pPr>
      <w:r>
        <w:rPr>
          <w:lang w:val="en-GB" w:eastAsia="en-US"/>
        </w:rPr>
        <w:t xml:space="preserve">The UE </w:t>
      </w:r>
      <w:proofErr w:type="spellStart"/>
      <w:r>
        <w:rPr>
          <w:lang w:val="en-GB" w:eastAsia="en-US"/>
        </w:rPr>
        <w:t>behavior</w:t>
      </w:r>
      <w:proofErr w:type="spellEnd"/>
      <w:r>
        <w:rPr>
          <w:lang w:val="en-GB" w:eastAsia="en-US"/>
        </w:rPr>
        <w:t xml:space="preserve"> in this case, when a RRC configured HARQ feedback disabled process is reversed to feedback enabled, is not the same as either HARQ feedback enabled or HARQ feedback disabled. The assumption suggests the UE should start NPDCCH monitoring after HARQ-ACK transmission and 1ms UL-to-DL switch time. This NPDCCH monitoring timing is different from HARQ-feedback enabled case (RTT+3ms after sending HARQ-ACK) and from HARQ-feedback disabled case (12ms after receiving NPDSCH). The </w:t>
      </w:r>
      <w:r w:rsidR="007F069C">
        <w:rPr>
          <w:lang w:val="en-GB" w:eastAsia="en-US"/>
        </w:rPr>
        <w:t>working</w:t>
      </w:r>
      <w:r>
        <w:rPr>
          <w:lang w:val="en-GB" w:eastAsia="en-US"/>
        </w:rPr>
        <w:t xml:space="preserve"> assumption would create more scheduling opportunities for the UE when </w:t>
      </w:r>
      <w:proofErr w:type="gramStart"/>
      <w:r>
        <w:rPr>
          <w:lang w:val="en-GB" w:eastAsia="en-US"/>
        </w:rPr>
        <w:t>a feedback</w:t>
      </w:r>
      <w:proofErr w:type="gramEnd"/>
      <w:r>
        <w:rPr>
          <w:lang w:val="en-GB" w:eastAsia="en-US"/>
        </w:rPr>
        <w:t xml:space="preserve"> disabled HARQ process is dynamically enabled, but the network has to avoid scheduling in the time during HARQ-ACK transmission. The benefit of the UE’s “exceptional </w:t>
      </w:r>
      <w:proofErr w:type="spellStart"/>
      <w:r>
        <w:rPr>
          <w:lang w:val="en-GB" w:eastAsia="en-US"/>
        </w:rPr>
        <w:t>behavior</w:t>
      </w:r>
      <w:proofErr w:type="spellEnd"/>
      <w:r>
        <w:rPr>
          <w:lang w:val="en-GB" w:eastAsia="en-US"/>
        </w:rPr>
        <w:t>” in WA2 is not clear.</w:t>
      </w:r>
    </w:p>
    <w:p w14:paraId="760B6E0D" w14:textId="232D2856" w:rsidR="00E44D68" w:rsidRPr="000133B8" w:rsidRDefault="00E44D68" w:rsidP="00E44D68">
      <w:pPr>
        <w:spacing w:before="120"/>
        <w:jc w:val="both"/>
        <w:rPr>
          <w:b/>
          <w:bCs/>
          <w:lang w:val="en-GB" w:eastAsia="en-US"/>
        </w:rPr>
      </w:pPr>
      <w:r w:rsidRPr="000133B8">
        <w:rPr>
          <w:b/>
          <w:bCs/>
          <w:lang w:val="en-GB" w:eastAsia="en-US"/>
        </w:rPr>
        <w:t xml:space="preserve">Observation 4: NB-IoT UE’s NPDCCH monitoring </w:t>
      </w:r>
      <w:proofErr w:type="spellStart"/>
      <w:r w:rsidRPr="000133B8">
        <w:rPr>
          <w:b/>
          <w:bCs/>
          <w:lang w:val="en-GB" w:eastAsia="en-US"/>
        </w:rPr>
        <w:t>behavior</w:t>
      </w:r>
      <w:proofErr w:type="spellEnd"/>
      <w:r w:rsidRPr="000133B8">
        <w:rPr>
          <w:b/>
          <w:bCs/>
          <w:lang w:val="en-GB" w:eastAsia="en-US"/>
        </w:rPr>
        <w:t xml:space="preserve"> in WA2 is different f</w:t>
      </w:r>
      <w:r w:rsidR="00CA527F">
        <w:rPr>
          <w:b/>
          <w:bCs/>
          <w:lang w:val="en-GB" w:eastAsia="en-US"/>
        </w:rPr>
        <w:t>r</w:t>
      </w:r>
      <w:r w:rsidRPr="000133B8">
        <w:rPr>
          <w:b/>
          <w:bCs/>
          <w:lang w:val="en-GB" w:eastAsia="en-US"/>
        </w:rPr>
        <w:t>om the HARQ feedback enabled case and from the HARQ feedback disabled case. Benefit of this exception in NPDCCH monitoring is not clear.</w:t>
      </w:r>
    </w:p>
    <w:p w14:paraId="3A8366B5" w14:textId="4C35A513" w:rsidR="001B06F3" w:rsidRPr="000133B8" w:rsidRDefault="00730E39" w:rsidP="00E44D68">
      <w:pPr>
        <w:spacing w:before="120"/>
        <w:jc w:val="both"/>
        <w:rPr>
          <w:b/>
          <w:bCs/>
          <w:lang w:val="en-GB" w:eastAsia="en-US"/>
        </w:rPr>
      </w:pPr>
      <w:r>
        <w:rPr>
          <w:b/>
          <w:bCs/>
          <w:lang w:val="en-GB" w:eastAsia="en-US"/>
        </w:rPr>
        <w:t xml:space="preserve">Proposal 6: Clarify the motivation and benefit of WA2 in the DCI-based overridden mechanism. </w:t>
      </w:r>
    </w:p>
    <w:p w14:paraId="2F89ED7F" w14:textId="77777777" w:rsidR="00E44D68" w:rsidRDefault="00E44D68" w:rsidP="00E44D68">
      <w:pPr>
        <w:spacing w:before="120"/>
        <w:jc w:val="both"/>
        <w:rPr>
          <w:lang w:val="en-GB" w:eastAsia="en-US"/>
        </w:rPr>
      </w:pPr>
      <w:r>
        <w:rPr>
          <w:lang w:val="en-GB" w:eastAsia="en-US"/>
        </w:rPr>
        <w:t>We also think RAN1 should clarify about NPDCCH monitoring when a semi-statically HARQ feedback enabled process is reversed to feedback disabled. Should the UE wait for additional RTT+3ms after a 12ms delay for data decoding before monitoring NPDCCH for the same HARQ process? In our opinion, it makes little sense for waiting an additional RTT+3ms in this case since the purpose of disabling HARQ feedback is to overcome HARQ stalling and increase UE throughput.</w:t>
      </w:r>
    </w:p>
    <w:p w14:paraId="5968F5E1" w14:textId="5E1ADF82" w:rsidR="00E44D68" w:rsidRPr="00AC535C" w:rsidRDefault="00E44D68" w:rsidP="00E44D68">
      <w:pPr>
        <w:spacing w:before="120"/>
        <w:jc w:val="both"/>
        <w:rPr>
          <w:b/>
          <w:bCs/>
          <w:lang w:val="en-GB" w:eastAsia="en-US"/>
        </w:rPr>
      </w:pPr>
      <w:r w:rsidRPr="00AC535C">
        <w:rPr>
          <w:b/>
          <w:bCs/>
          <w:lang w:val="en-GB" w:eastAsia="en-US"/>
        </w:rPr>
        <w:t xml:space="preserve">Proposal </w:t>
      </w:r>
      <w:r w:rsidR="00E6456C">
        <w:rPr>
          <w:b/>
          <w:bCs/>
          <w:lang w:val="en-GB" w:eastAsia="en-US"/>
        </w:rPr>
        <w:t>7</w:t>
      </w:r>
      <w:r w:rsidRPr="00AC535C">
        <w:rPr>
          <w:b/>
          <w:bCs/>
          <w:lang w:val="en-GB" w:eastAsia="en-US"/>
        </w:rPr>
        <w:t xml:space="preserve">: Clarify </w:t>
      </w:r>
      <w:r>
        <w:rPr>
          <w:b/>
          <w:bCs/>
          <w:lang w:val="en-GB" w:eastAsia="en-US"/>
        </w:rPr>
        <w:t xml:space="preserve">that WA2 does NOT imply that </w:t>
      </w:r>
      <w:r w:rsidRPr="00AC535C">
        <w:rPr>
          <w:b/>
          <w:bCs/>
          <w:lang w:val="en-GB" w:eastAsia="en-US"/>
        </w:rPr>
        <w:t>when a HARQ feedback enabled process indicated by the per-HARQ bitmap is reversed to HARQ feedback disabled by the DCI-based overridden mechanism, the NB-IoT UE wait</w:t>
      </w:r>
      <w:r>
        <w:rPr>
          <w:b/>
          <w:bCs/>
          <w:lang w:val="en-GB" w:eastAsia="en-US"/>
        </w:rPr>
        <w:t>s</w:t>
      </w:r>
      <w:r w:rsidRPr="00AC535C">
        <w:rPr>
          <w:b/>
          <w:bCs/>
          <w:lang w:val="en-GB" w:eastAsia="en-US"/>
        </w:rPr>
        <w:t xml:space="preserve"> for an additional RTT+3ms period before monitoring NPDCCH for the same process (other than the 12ms delay after receiving NPDCCH).</w:t>
      </w:r>
    </w:p>
    <w:p w14:paraId="58172975" w14:textId="5A68D47F" w:rsidR="00AA19F3" w:rsidRDefault="00AA19F3" w:rsidP="00AA19F3">
      <w:pPr>
        <w:pStyle w:val="Heading2"/>
      </w:pPr>
      <w:r>
        <w:t xml:space="preserve">NDI out of sync </w:t>
      </w:r>
      <w:r w:rsidRPr="00AA19F3">
        <w:t>problem</w:t>
      </w:r>
    </w:p>
    <w:p w14:paraId="521E0CE6" w14:textId="2EF533B2" w:rsidR="00AA19F3" w:rsidRDefault="00AA19F3" w:rsidP="00AA19F3">
      <w:pPr>
        <w:jc w:val="both"/>
        <w:rPr>
          <w:lang w:val="en-GB" w:eastAsia="en-US"/>
        </w:rPr>
      </w:pPr>
      <w:r w:rsidRPr="004B3E8C">
        <w:rPr>
          <w:lang w:val="en-GB" w:eastAsia="en-US"/>
        </w:rPr>
        <w:t xml:space="preserve">When HARQ feedback is disabled in the DL, </w:t>
      </w:r>
      <w:r>
        <w:rPr>
          <w:lang w:val="en-GB" w:eastAsia="en-US"/>
        </w:rPr>
        <w:t xml:space="preserve">the </w:t>
      </w:r>
      <w:proofErr w:type="spellStart"/>
      <w:r w:rsidRPr="004B3E8C">
        <w:rPr>
          <w:lang w:val="en-GB" w:eastAsia="en-US"/>
        </w:rPr>
        <w:t>eNB</w:t>
      </w:r>
      <w:proofErr w:type="spellEnd"/>
      <w:r w:rsidRPr="004B3E8C">
        <w:rPr>
          <w:lang w:val="en-GB" w:eastAsia="en-US"/>
        </w:rPr>
        <w:t xml:space="preserve"> has no knowledge of TB decoding outcome, not sure even if the DCI scheduling the TB has been decoded</w:t>
      </w:r>
      <w:r>
        <w:rPr>
          <w:lang w:val="en-GB" w:eastAsia="en-US"/>
        </w:rPr>
        <w:t xml:space="preserve"> or not</w:t>
      </w:r>
      <w:r w:rsidRPr="004B3E8C">
        <w:rPr>
          <w:lang w:val="en-GB" w:eastAsia="en-US"/>
        </w:rPr>
        <w:t>. In legacy HARQ operation where HARQ</w:t>
      </w:r>
      <w:r>
        <w:rPr>
          <w:lang w:val="en-GB" w:eastAsia="en-US"/>
        </w:rPr>
        <w:t>-ACK</w:t>
      </w:r>
      <w:r w:rsidRPr="004B3E8C">
        <w:rPr>
          <w:lang w:val="en-GB" w:eastAsia="en-US"/>
        </w:rPr>
        <w:t xml:space="preserve"> is always reported by the UE, the </w:t>
      </w:r>
      <w:proofErr w:type="spellStart"/>
      <w:r w:rsidRPr="004B3E8C">
        <w:rPr>
          <w:lang w:val="en-GB" w:eastAsia="en-US"/>
        </w:rPr>
        <w:t>eNB</w:t>
      </w:r>
      <w:proofErr w:type="spellEnd"/>
      <w:r w:rsidRPr="004B3E8C">
        <w:rPr>
          <w:lang w:val="en-GB" w:eastAsia="en-US"/>
        </w:rPr>
        <w:t xml:space="preserve"> would know DCI may not have been detected if HARQ</w:t>
      </w:r>
      <w:r>
        <w:rPr>
          <w:lang w:val="en-GB" w:eastAsia="en-US"/>
        </w:rPr>
        <w:t>-ACK</w:t>
      </w:r>
      <w:r w:rsidRPr="004B3E8C">
        <w:rPr>
          <w:lang w:val="en-GB" w:eastAsia="en-US"/>
        </w:rPr>
        <w:t xml:space="preserve"> is not received. In that case, the </w:t>
      </w:r>
      <w:proofErr w:type="spellStart"/>
      <w:r>
        <w:rPr>
          <w:lang w:val="en-GB" w:eastAsia="en-US"/>
        </w:rPr>
        <w:t>eNB</w:t>
      </w:r>
      <w:proofErr w:type="spellEnd"/>
      <w:r w:rsidRPr="004B3E8C">
        <w:rPr>
          <w:lang w:val="en-GB" w:eastAsia="en-US"/>
        </w:rPr>
        <w:t xml:space="preserve"> would resend the TB with the same DCI </w:t>
      </w:r>
      <w:r>
        <w:rPr>
          <w:lang w:val="en-GB" w:eastAsia="en-US"/>
        </w:rPr>
        <w:t>(</w:t>
      </w:r>
      <w:r w:rsidRPr="004B3E8C">
        <w:rPr>
          <w:lang w:val="en-GB" w:eastAsia="en-US"/>
        </w:rPr>
        <w:t>NDI, RV, HARQ process ID, MCS, etc</w:t>
      </w:r>
      <w:r>
        <w:rPr>
          <w:lang w:val="en-GB" w:eastAsia="en-US"/>
        </w:rPr>
        <w:t>)</w:t>
      </w:r>
      <w:r w:rsidRPr="004B3E8C">
        <w:rPr>
          <w:lang w:val="en-GB" w:eastAsia="en-US"/>
        </w:rPr>
        <w:t xml:space="preserve">. </w:t>
      </w:r>
    </w:p>
    <w:p w14:paraId="65E1B52F" w14:textId="77777777" w:rsidR="00AA19F3" w:rsidRDefault="00AA19F3" w:rsidP="00AA19F3">
      <w:pPr>
        <w:jc w:val="both"/>
        <w:rPr>
          <w:lang w:val="en-GB" w:eastAsia="en-US"/>
        </w:rPr>
      </w:pPr>
      <w:r>
        <w:rPr>
          <w:lang w:val="en-GB" w:eastAsia="en-US"/>
        </w:rPr>
        <w:t>However, w</w:t>
      </w:r>
      <w:r w:rsidRPr="004B3E8C">
        <w:rPr>
          <w:lang w:val="en-GB" w:eastAsia="en-US"/>
        </w:rPr>
        <w:t xml:space="preserve">hen HARQ feedback is disabled, </w:t>
      </w:r>
      <w:r>
        <w:rPr>
          <w:lang w:val="en-GB" w:eastAsia="en-US"/>
        </w:rPr>
        <w:t xml:space="preserve">the </w:t>
      </w:r>
      <w:proofErr w:type="spellStart"/>
      <w:r w:rsidRPr="004B3E8C">
        <w:rPr>
          <w:lang w:val="en-GB" w:eastAsia="en-US"/>
        </w:rPr>
        <w:t>eNB</w:t>
      </w:r>
      <w:proofErr w:type="spellEnd"/>
      <w:r w:rsidRPr="004B3E8C">
        <w:rPr>
          <w:lang w:val="en-GB" w:eastAsia="en-US"/>
        </w:rPr>
        <w:t xml:space="preserve"> has no way of knowing DCI </w:t>
      </w:r>
      <w:r>
        <w:rPr>
          <w:lang w:val="en-GB" w:eastAsia="en-US"/>
        </w:rPr>
        <w:t>has not been</w:t>
      </w:r>
      <w:r w:rsidRPr="004B3E8C">
        <w:rPr>
          <w:lang w:val="en-GB" w:eastAsia="en-US"/>
        </w:rPr>
        <w:t xml:space="preserve"> detected by the UE. This could lead to NDI state out of sync between the </w:t>
      </w:r>
      <w:proofErr w:type="spellStart"/>
      <w:r w:rsidRPr="004B3E8C">
        <w:rPr>
          <w:lang w:val="en-GB" w:eastAsia="en-US"/>
        </w:rPr>
        <w:t>eNB</w:t>
      </w:r>
      <w:proofErr w:type="spellEnd"/>
      <w:r w:rsidRPr="004B3E8C">
        <w:rPr>
          <w:lang w:val="en-GB" w:eastAsia="en-US"/>
        </w:rPr>
        <w:t xml:space="preserve"> and </w:t>
      </w:r>
      <w:r>
        <w:rPr>
          <w:lang w:val="en-GB" w:eastAsia="en-US"/>
        </w:rPr>
        <w:t>UE</w:t>
      </w:r>
      <w:r w:rsidRPr="004B3E8C">
        <w:rPr>
          <w:lang w:val="en-GB" w:eastAsia="en-US"/>
        </w:rPr>
        <w:t xml:space="preserve"> and result in decoding failure of subsequent transmissions.</w:t>
      </w:r>
      <w:r>
        <w:rPr>
          <w:lang w:val="en-GB" w:eastAsia="en-US"/>
        </w:rPr>
        <w:t xml:space="preserve"> An example is illustrated in Figure 1. The NDI states at UE and </w:t>
      </w:r>
      <w:proofErr w:type="spellStart"/>
      <w:r>
        <w:rPr>
          <w:lang w:val="en-GB" w:eastAsia="en-US"/>
        </w:rPr>
        <w:t>eNB</w:t>
      </w:r>
      <w:proofErr w:type="spellEnd"/>
      <w:r>
        <w:rPr>
          <w:lang w:val="en-GB" w:eastAsia="en-US"/>
        </w:rPr>
        <w:t xml:space="preserve"> become out of sync after the UE missed a DCI with a toggled NDI at time t2. In the next transmission at time t3, the UE sees the DCI with an untoggled NDI and processes the PDSCH with TB3 as a retransmission of TB1. This will result in decoding failure of both TB1 and TB3.</w:t>
      </w:r>
    </w:p>
    <w:p w14:paraId="695C3EF6" w14:textId="77777777" w:rsidR="007F40CE" w:rsidRDefault="007F40CE" w:rsidP="007F40CE">
      <w:pPr>
        <w:spacing w:after="0"/>
        <w:jc w:val="center"/>
        <w:rPr>
          <w:lang w:val="en-GB" w:eastAsia="en-US"/>
        </w:rPr>
      </w:pPr>
      <w:r>
        <w:rPr>
          <w:noProof/>
          <w:lang w:val="en-GB" w:eastAsia="en-US"/>
        </w:rPr>
        <w:lastRenderedPageBreak/>
        <w:drawing>
          <wp:inline distT="0" distB="0" distL="0" distR="0" wp14:anchorId="73E55BE3" wp14:editId="410306EE">
            <wp:extent cx="4035600" cy="3355200"/>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035600" cy="3355200"/>
                    </a:xfrm>
                    <a:prstGeom prst="rect">
                      <a:avLst/>
                    </a:prstGeom>
                  </pic:spPr>
                </pic:pic>
              </a:graphicData>
            </a:graphic>
          </wp:inline>
        </w:drawing>
      </w:r>
    </w:p>
    <w:p w14:paraId="521B0E01" w14:textId="3BA5388F" w:rsidR="007F40CE" w:rsidRDefault="007F40CE" w:rsidP="00420794">
      <w:pPr>
        <w:pStyle w:val="Caption"/>
        <w:spacing w:before="0" w:after="240"/>
        <w:jc w:val="center"/>
        <w:rPr>
          <w:lang w:val="en-GB" w:eastAsia="en-US"/>
        </w:rPr>
      </w:pPr>
      <w:r>
        <w:rPr>
          <w:lang w:val="en-GB" w:eastAsia="en-US"/>
        </w:rPr>
        <w:t xml:space="preserve">Figure 1. </w:t>
      </w:r>
      <w:r w:rsidRPr="008D6D3D">
        <w:rPr>
          <w:lang w:val="en-GB" w:eastAsia="en-US"/>
        </w:rPr>
        <w:t>NDI out of sync due to DCI detection failure when HARQ feedback is disabled</w:t>
      </w:r>
    </w:p>
    <w:p w14:paraId="1EF0BFEA" w14:textId="4C778EDB" w:rsidR="00AA19F3" w:rsidRPr="00473468" w:rsidRDefault="00AA19F3" w:rsidP="00AA19F3">
      <w:pPr>
        <w:jc w:val="both"/>
        <w:rPr>
          <w:b/>
          <w:bCs/>
          <w:lang w:val="en-GB" w:eastAsia="en-US"/>
        </w:rPr>
      </w:pPr>
      <w:r w:rsidRPr="00473468">
        <w:rPr>
          <w:b/>
          <w:bCs/>
          <w:lang w:val="en-GB" w:eastAsia="en-US"/>
        </w:rPr>
        <w:t xml:space="preserve">Observation </w:t>
      </w:r>
      <w:r w:rsidR="00590AF9">
        <w:rPr>
          <w:b/>
          <w:bCs/>
          <w:lang w:val="en-GB" w:eastAsia="en-US"/>
        </w:rPr>
        <w:t>5</w:t>
      </w:r>
      <w:r w:rsidRPr="00473468">
        <w:rPr>
          <w:b/>
          <w:bCs/>
          <w:lang w:val="en-GB" w:eastAsia="en-US"/>
        </w:rPr>
        <w:t>: When the UE fails to detect a DCI with a toggled NDI, the UE’s NDI state becomes out of sync with the network and results in subsequent TB decoding errors.</w:t>
      </w:r>
    </w:p>
    <w:p w14:paraId="4DBE8C58" w14:textId="2C9A4A08" w:rsidR="001A0005" w:rsidRDefault="0043162F" w:rsidP="00AA19F3">
      <w:pPr>
        <w:jc w:val="both"/>
        <w:rPr>
          <w:lang w:val="en-GB" w:eastAsia="en-US"/>
        </w:rPr>
      </w:pPr>
      <w:r>
        <w:rPr>
          <w:lang w:val="en-GB" w:eastAsia="en-US"/>
        </w:rPr>
        <w:t>I</w:t>
      </w:r>
      <w:r w:rsidR="00587717">
        <w:rPr>
          <w:lang w:val="en-GB" w:eastAsia="en-US"/>
        </w:rPr>
        <w:t xml:space="preserve">mpact of </w:t>
      </w:r>
      <w:r w:rsidR="00500485">
        <w:rPr>
          <w:lang w:val="en-GB" w:eastAsia="en-US"/>
        </w:rPr>
        <w:t xml:space="preserve">this problem is more significant when </w:t>
      </w:r>
      <w:r w:rsidR="00C506C3">
        <w:rPr>
          <w:lang w:val="en-GB" w:eastAsia="en-US"/>
        </w:rPr>
        <w:t>the channel condition</w:t>
      </w:r>
      <w:r w:rsidR="00B64FDE">
        <w:rPr>
          <w:lang w:val="en-GB" w:eastAsia="en-US"/>
        </w:rPr>
        <w:t xml:space="preserve"> is poor</w:t>
      </w:r>
      <w:r w:rsidR="004021F6">
        <w:rPr>
          <w:lang w:val="en-GB" w:eastAsia="en-US"/>
        </w:rPr>
        <w:t xml:space="preserve"> since </w:t>
      </w:r>
      <w:r w:rsidR="00AE16EC">
        <w:rPr>
          <w:lang w:val="en-GB" w:eastAsia="en-US"/>
        </w:rPr>
        <w:t xml:space="preserve">it is caused by </w:t>
      </w:r>
      <w:r w:rsidR="007908CA">
        <w:rPr>
          <w:lang w:val="en-GB" w:eastAsia="en-US"/>
        </w:rPr>
        <w:t xml:space="preserve">the </w:t>
      </w:r>
      <w:r w:rsidR="00FE443B">
        <w:rPr>
          <w:lang w:val="en-GB" w:eastAsia="en-US"/>
        </w:rPr>
        <w:t xml:space="preserve">UE </w:t>
      </w:r>
      <w:r w:rsidR="00AD1809">
        <w:rPr>
          <w:lang w:val="en-GB" w:eastAsia="en-US"/>
        </w:rPr>
        <w:t xml:space="preserve">missing a PDCCH detection. </w:t>
      </w:r>
      <w:r w:rsidR="00164B56">
        <w:rPr>
          <w:lang w:val="en-GB" w:eastAsia="en-US"/>
        </w:rPr>
        <w:t xml:space="preserve">In </w:t>
      </w:r>
      <w:r w:rsidR="00ED28E7">
        <w:rPr>
          <w:lang w:val="en-GB" w:eastAsia="en-US"/>
        </w:rPr>
        <w:t xml:space="preserve">the </w:t>
      </w:r>
      <w:r w:rsidR="00164B56">
        <w:rPr>
          <w:lang w:val="en-GB" w:eastAsia="en-US"/>
        </w:rPr>
        <w:t xml:space="preserve">NTN </w:t>
      </w:r>
      <w:r w:rsidR="00ED28E7">
        <w:rPr>
          <w:lang w:val="en-GB" w:eastAsia="en-US"/>
        </w:rPr>
        <w:t xml:space="preserve">operating scenario, </w:t>
      </w:r>
      <w:r w:rsidR="009408FD">
        <w:rPr>
          <w:lang w:val="en-GB" w:eastAsia="en-US"/>
        </w:rPr>
        <w:t xml:space="preserve">a sudden </w:t>
      </w:r>
      <w:r w:rsidR="003C12DB">
        <w:rPr>
          <w:lang w:val="en-GB" w:eastAsia="en-US"/>
        </w:rPr>
        <w:t xml:space="preserve">signal </w:t>
      </w:r>
      <w:r w:rsidR="00971E66">
        <w:rPr>
          <w:lang w:val="en-GB" w:eastAsia="en-US"/>
        </w:rPr>
        <w:t xml:space="preserve">quality </w:t>
      </w:r>
      <w:r w:rsidR="008E4DDB">
        <w:rPr>
          <w:lang w:val="en-GB" w:eastAsia="en-US"/>
        </w:rPr>
        <w:t>degradation</w:t>
      </w:r>
      <w:r w:rsidR="003C12DB">
        <w:rPr>
          <w:lang w:val="en-GB" w:eastAsia="en-US"/>
        </w:rPr>
        <w:t xml:space="preserve"> </w:t>
      </w:r>
      <w:r w:rsidR="00A86E18">
        <w:rPr>
          <w:lang w:val="en-GB" w:eastAsia="en-US"/>
        </w:rPr>
        <w:t xml:space="preserve">may </w:t>
      </w:r>
      <w:r w:rsidR="00302C73">
        <w:rPr>
          <w:lang w:val="en-GB" w:eastAsia="en-US"/>
        </w:rPr>
        <w:t xml:space="preserve">occur when the </w:t>
      </w:r>
      <w:r w:rsidR="001079CE">
        <w:rPr>
          <w:lang w:val="en-GB" w:eastAsia="en-US"/>
        </w:rPr>
        <w:t xml:space="preserve">satellite is blocked by </w:t>
      </w:r>
      <w:r w:rsidR="00664D80">
        <w:rPr>
          <w:lang w:val="en-GB" w:eastAsia="en-US"/>
        </w:rPr>
        <w:t xml:space="preserve">buildings or </w:t>
      </w:r>
      <w:r w:rsidR="007A4F82">
        <w:rPr>
          <w:lang w:val="en-GB" w:eastAsia="en-US"/>
        </w:rPr>
        <w:t>trees</w:t>
      </w:r>
      <w:r w:rsidR="00225F65">
        <w:rPr>
          <w:lang w:val="en-GB" w:eastAsia="en-US"/>
        </w:rPr>
        <w:t xml:space="preserve">. </w:t>
      </w:r>
      <w:r w:rsidR="00D76895">
        <w:rPr>
          <w:lang w:val="en-GB" w:eastAsia="en-US"/>
        </w:rPr>
        <w:t>In that case</w:t>
      </w:r>
      <w:r w:rsidR="00C23589">
        <w:rPr>
          <w:lang w:val="en-GB" w:eastAsia="en-US"/>
        </w:rPr>
        <w:t xml:space="preserve">, </w:t>
      </w:r>
      <w:r w:rsidR="00EC156D">
        <w:rPr>
          <w:lang w:val="en-GB" w:eastAsia="en-US"/>
        </w:rPr>
        <w:t xml:space="preserve">the out-of-sync </w:t>
      </w:r>
      <w:r w:rsidR="00F01EA7">
        <w:rPr>
          <w:lang w:val="en-GB" w:eastAsia="en-US"/>
        </w:rPr>
        <w:t xml:space="preserve">NDI </w:t>
      </w:r>
      <w:r w:rsidR="00EC156D">
        <w:rPr>
          <w:lang w:val="en-GB" w:eastAsia="en-US"/>
        </w:rPr>
        <w:t xml:space="preserve">may </w:t>
      </w:r>
      <w:r w:rsidR="00820A75">
        <w:rPr>
          <w:lang w:val="en-GB" w:eastAsia="en-US"/>
        </w:rPr>
        <w:t xml:space="preserve">lead to a cluster of </w:t>
      </w:r>
      <w:r w:rsidR="00380325">
        <w:rPr>
          <w:lang w:val="en-GB" w:eastAsia="en-US"/>
        </w:rPr>
        <w:t xml:space="preserve">consecutive TB decoding failures. </w:t>
      </w:r>
      <w:r w:rsidR="003B4493">
        <w:rPr>
          <w:rStyle w:val="ui-provider"/>
        </w:rPr>
        <w:t>Given the</w:t>
      </w:r>
      <w:r w:rsidR="005D0639">
        <w:rPr>
          <w:rStyle w:val="ui-provider"/>
        </w:rPr>
        <w:t xml:space="preserve"> sparse PDCCH </w:t>
      </w:r>
      <w:r w:rsidR="009C145D">
        <w:rPr>
          <w:rStyle w:val="ui-provider"/>
        </w:rPr>
        <w:t>monitoring</w:t>
      </w:r>
      <w:r w:rsidR="005D0639">
        <w:rPr>
          <w:rStyle w:val="ui-provider"/>
        </w:rPr>
        <w:t xml:space="preserve"> for IoT NTN with power saving, </w:t>
      </w:r>
      <w:proofErr w:type="gramStart"/>
      <w:r w:rsidR="005D0639">
        <w:rPr>
          <w:rStyle w:val="ui-provider"/>
        </w:rPr>
        <w:t>a</w:t>
      </w:r>
      <w:proofErr w:type="gramEnd"/>
      <w:r w:rsidR="005D0639">
        <w:rPr>
          <w:rStyle w:val="ui-provider"/>
        </w:rPr>
        <w:t xml:space="preserve"> NDI based PDCCH error </w:t>
      </w:r>
      <w:r w:rsidR="00E215B9">
        <w:t>may have more impacts, within the short DRX on duration.</w:t>
      </w:r>
    </w:p>
    <w:p w14:paraId="204C1BAA" w14:textId="0CA9422C" w:rsidR="00AA19F3" w:rsidRPr="005437CE" w:rsidRDefault="00D45BCC" w:rsidP="00AA19F3">
      <w:pPr>
        <w:jc w:val="both"/>
        <w:rPr>
          <w:b/>
          <w:bCs/>
          <w:lang w:val="en-GB" w:eastAsia="en-US"/>
        </w:rPr>
      </w:pPr>
      <w:r w:rsidRPr="00420794">
        <w:rPr>
          <w:b/>
          <w:lang w:val="en-GB" w:eastAsia="en-US"/>
        </w:rPr>
        <w:t xml:space="preserve">Observation </w:t>
      </w:r>
      <w:r w:rsidR="00590AF9" w:rsidRPr="00420794">
        <w:rPr>
          <w:b/>
          <w:bCs/>
          <w:lang w:val="en-GB" w:eastAsia="en-US"/>
        </w:rPr>
        <w:t>6</w:t>
      </w:r>
      <w:r w:rsidR="00AA19F3" w:rsidRPr="005437CE">
        <w:rPr>
          <w:b/>
          <w:bCs/>
          <w:lang w:val="en-GB" w:eastAsia="en-US"/>
        </w:rPr>
        <w:t xml:space="preserve">: </w:t>
      </w:r>
      <w:r w:rsidR="007918DB">
        <w:rPr>
          <w:b/>
          <w:bCs/>
          <w:lang w:val="en-GB" w:eastAsia="en-US"/>
        </w:rPr>
        <w:t>If not mit</w:t>
      </w:r>
      <w:r w:rsidR="00C64218">
        <w:rPr>
          <w:b/>
          <w:bCs/>
          <w:lang w:val="en-GB" w:eastAsia="en-US"/>
        </w:rPr>
        <w:t xml:space="preserve">igated, </w:t>
      </w:r>
      <w:r w:rsidR="00813963">
        <w:rPr>
          <w:b/>
          <w:bCs/>
          <w:lang w:val="en-GB" w:eastAsia="en-US"/>
        </w:rPr>
        <w:t xml:space="preserve">the </w:t>
      </w:r>
      <w:r w:rsidR="000B569A">
        <w:rPr>
          <w:b/>
          <w:bCs/>
          <w:lang w:val="en-GB" w:eastAsia="en-US"/>
        </w:rPr>
        <w:t xml:space="preserve">out-of-sync NDI may lead to a cluster of </w:t>
      </w:r>
      <w:r w:rsidR="003C2026">
        <w:rPr>
          <w:b/>
          <w:bCs/>
          <w:lang w:val="en-GB" w:eastAsia="en-US"/>
        </w:rPr>
        <w:t xml:space="preserve">consecutive </w:t>
      </w:r>
      <w:r w:rsidR="00D74E0C">
        <w:rPr>
          <w:b/>
          <w:bCs/>
          <w:lang w:val="en-GB" w:eastAsia="en-US"/>
        </w:rPr>
        <w:t>TB</w:t>
      </w:r>
      <w:r w:rsidR="002C225C">
        <w:rPr>
          <w:b/>
          <w:bCs/>
          <w:lang w:val="en-GB" w:eastAsia="en-US"/>
        </w:rPr>
        <w:t xml:space="preserve"> decoding </w:t>
      </w:r>
      <w:proofErr w:type="spellStart"/>
      <w:r w:rsidR="002C225C">
        <w:rPr>
          <w:b/>
          <w:bCs/>
          <w:lang w:val="en-GB" w:eastAsia="en-US"/>
        </w:rPr>
        <w:t>failtures</w:t>
      </w:r>
      <w:proofErr w:type="spellEnd"/>
      <w:r w:rsidR="002C225C">
        <w:rPr>
          <w:b/>
          <w:bCs/>
          <w:lang w:val="en-GB" w:eastAsia="en-US"/>
        </w:rPr>
        <w:t xml:space="preserve"> if the channel quality is suddenly degraded</w:t>
      </w:r>
      <w:r w:rsidR="00FB04FD">
        <w:rPr>
          <w:b/>
          <w:bCs/>
          <w:lang w:val="en-GB" w:eastAsia="en-US"/>
        </w:rPr>
        <w:t xml:space="preserve">, especially </w:t>
      </w:r>
      <w:r w:rsidR="005411A2">
        <w:rPr>
          <w:b/>
          <w:bCs/>
          <w:lang w:val="en-GB" w:eastAsia="en-US"/>
        </w:rPr>
        <w:t>in</w:t>
      </w:r>
      <w:r w:rsidR="00FB04FD">
        <w:rPr>
          <w:b/>
          <w:bCs/>
          <w:lang w:val="en-GB" w:eastAsia="en-US"/>
        </w:rPr>
        <w:t xml:space="preserve"> case</w:t>
      </w:r>
      <w:r w:rsidR="00A32016">
        <w:rPr>
          <w:b/>
          <w:bCs/>
          <w:lang w:val="en-GB" w:eastAsia="en-US"/>
        </w:rPr>
        <w:t xml:space="preserve"> with a large DRX period but a short DRX on duration</w:t>
      </w:r>
      <w:r w:rsidR="00C315B2">
        <w:rPr>
          <w:b/>
          <w:bCs/>
          <w:lang w:val="en-GB" w:eastAsia="en-US"/>
        </w:rPr>
        <w:t xml:space="preserve"> for power saving.</w:t>
      </w:r>
    </w:p>
    <w:p w14:paraId="0DA6172D" w14:textId="472F405E" w:rsidR="00AA19F3" w:rsidRDefault="00AA19F3" w:rsidP="00AA19F3">
      <w:pPr>
        <w:jc w:val="both"/>
        <w:rPr>
          <w:lang w:val="en-GB" w:eastAsia="en-US"/>
        </w:rPr>
      </w:pPr>
      <w:r>
        <w:rPr>
          <w:lang w:val="en-GB" w:eastAsia="en-US"/>
        </w:rPr>
        <w:t xml:space="preserve">One simple solution is to prohibit </w:t>
      </w:r>
      <w:proofErr w:type="spellStart"/>
      <w:r>
        <w:rPr>
          <w:lang w:val="en-GB" w:eastAsia="en-US"/>
        </w:rPr>
        <w:t>retranmission</w:t>
      </w:r>
      <w:proofErr w:type="spellEnd"/>
      <w:r>
        <w:rPr>
          <w:lang w:val="en-GB" w:eastAsia="en-US"/>
        </w:rPr>
        <w:t xml:space="preserve"> when HARQ feedback is disabled. In that case, UE simply processes every transmission of TB as new data. This, however, will restrict network’s scheduling flexibility and may impact link performance if network does not have up-to-date knowledge of channel condition</w:t>
      </w:r>
      <w:r w:rsidR="00C7773A">
        <w:rPr>
          <w:lang w:val="en-GB" w:eastAsia="en-US"/>
        </w:rPr>
        <w:t xml:space="preserve"> for </w:t>
      </w:r>
      <w:r w:rsidR="005F4038">
        <w:rPr>
          <w:lang w:val="en-GB" w:eastAsia="en-US"/>
        </w:rPr>
        <w:t>MCS</w:t>
      </w:r>
      <w:r w:rsidR="00EB0C0F">
        <w:rPr>
          <w:lang w:val="en-GB" w:eastAsia="en-US"/>
        </w:rPr>
        <w:t xml:space="preserve"> selection</w:t>
      </w:r>
      <w:r>
        <w:rPr>
          <w:lang w:val="en-GB" w:eastAsia="en-US"/>
        </w:rPr>
        <w:t>.</w:t>
      </w:r>
    </w:p>
    <w:p w14:paraId="37D3D1B2" w14:textId="138CA68F" w:rsidR="00AA19F3" w:rsidRDefault="00AA19F3" w:rsidP="00AA19F3">
      <w:pPr>
        <w:jc w:val="both"/>
        <w:rPr>
          <w:lang w:val="en-GB" w:eastAsia="en-US"/>
        </w:rPr>
      </w:pPr>
      <w:r>
        <w:rPr>
          <w:lang w:val="en-GB" w:eastAsia="en-US"/>
        </w:rPr>
        <w:t xml:space="preserve">Another possible solution is to indicate an identifier of the scheduled TB. (In fact, the NDI bit can be seen as </w:t>
      </w:r>
      <w:proofErr w:type="gramStart"/>
      <w:r>
        <w:rPr>
          <w:lang w:val="en-GB" w:eastAsia="en-US"/>
        </w:rPr>
        <w:t>an</w:t>
      </w:r>
      <w:proofErr w:type="gramEnd"/>
      <w:r>
        <w:rPr>
          <w:lang w:val="en-GB" w:eastAsia="en-US"/>
        </w:rPr>
        <w:t xml:space="preserve"> two-state identifier with its toggled and untoggled states.) The TB identifier should be extended beyond one bit (two states) to provide more protection against the loss of DCI. With a n-bit TB identifier, a scheduled TB can be associated with an ID in the set </w:t>
      </w:r>
      <m:oMath>
        <m:d>
          <m:dPr>
            <m:begChr m:val="{"/>
            <m:endChr m:val="}"/>
            <m:ctrlPr>
              <w:rPr>
                <w:rFonts w:ascii="Cambria Math" w:hAnsi="Cambria Math"/>
                <w:i/>
                <w:lang w:val="en-GB" w:eastAsia="en-US"/>
              </w:rPr>
            </m:ctrlPr>
          </m:dPr>
          <m:e>
            <m:r>
              <w:rPr>
                <w:rFonts w:ascii="Cambria Math" w:hAnsi="Cambria Math"/>
                <w:lang w:val="en-GB" w:eastAsia="en-US"/>
              </w:rPr>
              <m:t xml:space="preserve">0, 1,⋯, </m:t>
            </m:r>
            <m:sSup>
              <m:sSupPr>
                <m:ctrlPr>
                  <w:rPr>
                    <w:rFonts w:ascii="Cambria Math" w:hAnsi="Cambria Math"/>
                    <w:i/>
                    <w:lang w:val="en-GB" w:eastAsia="en-US"/>
                  </w:rPr>
                </m:ctrlPr>
              </m:sSupPr>
              <m:e>
                <m:r>
                  <w:rPr>
                    <w:rFonts w:ascii="Cambria Math" w:hAnsi="Cambria Math"/>
                    <w:lang w:val="en-GB" w:eastAsia="en-US"/>
                  </w:rPr>
                  <m:t>2</m:t>
                </m:r>
              </m:e>
              <m:sup>
                <m:r>
                  <w:rPr>
                    <w:rFonts w:ascii="Cambria Math" w:hAnsi="Cambria Math"/>
                    <w:lang w:val="en-GB" w:eastAsia="en-US"/>
                  </w:rPr>
                  <m:t>n</m:t>
                </m:r>
              </m:sup>
            </m:sSup>
            <m:r>
              <w:rPr>
                <w:rFonts w:ascii="Cambria Math" w:hAnsi="Cambria Math"/>
                <w:lang w:val="en-GB" w:eastAsia="en-US"/>
              </w:rPr>
              <m:t>-1</m:t>
            </m:r>
          </m:e>
        </m:d>
      </m:oMath>
      <w:r>
        <w:rPr>
          <w:lang w:val="en-GB" w:eastAsia="en-US"/>
        </w:rPr>
        <w:t xml:space="preserve">. </w:t>
      </w:r>
      <w:r w:rsidR="00C71A15">
        <w:rPr>
          <w:lang w:val="en-GB" w:eastAsia="en-US"/>
        </w:rPr>
        <w:t>This</w:t>
      </w:r>
      <w:r>
        <w:rPr>
          <w:lang w:val="en-GB" w:eastAsia="en-US"/>
        </w:rPr>
        <w:t xml:space="preserve"> ID is only incremented at initial transmission. The UE can distinguish between initial transmission and retransmission based on whether the ID has changed in the corresponding HARQ process. </w:t>
      </w:r>
    </w:p>
    <w:p w14:paraId="542063EB" w14:textId="77777777" w:rsidR="00AA19F3" w:rsidRDefault="00AA19F3" w:rsidP="00AA19F3">
      <w:pPr>
        <w:jc w:val="both"/>
        <w:rPr>
          <w:lang w:val="en-GB" w:eastAsia="en-US"/>
        </w:rPr>
      </w:pPr>
      <w:r>
        <w:rPr>
          <w:lang w:val="en-GB" w:eastAsia="en-US"/>
        </w:rPr>
        <w:t xml:space="preserve">More protection can be provided by using more bits to indicate the TB identifier. To mitigate the NDI out of sync problem, then at least one more bit in addition to NDI is needed for TB identification. Since the problem arises only when HARQ feedback is disabled, the existing HARQ-ACK resource field is the natural choice for TB identifier indication. </w:t>
      </w:r>
    </w:p>
    <w:p w14:paraId="43B176F1" w14:textId="15DE6AA2" w:rsidR="0077437D" w:rsidRPr="000D6F27" w:rsidRDefault="00AA19F3" w:rsidP="0077437D">
      <w:pPr>
        <w:jc w:val="both"/>
        <w:rPr>
          <w:lang w:val="en-GB" w:eastAsia="en-US"/>
        </w:rPr>
      </w:pPr>
      <w:r w:rsidRPr="00340D6D">
        <w:rPr>
          <w:b/>
          <w:bCs/>
          <w:lang w:val="en-GB" w:eastAsia="en-US"/>
        </w:rPr>
        <w:lastRenderedPageBreak/>
        <w:t xml:space="preserve">Proposal </w:t>
      </w:r>
      <w:r w:rsidR="003015C4">
        <w:rPr>
          <w:b/>
          <w:bCs/>
          <w:lang w:val="en-GB" w:eastAsia="en-US"/>
        </w:rPr>
        <w:t>8</w:t>
      </w:r>
      <w:r w:rsidRPr="00340D6D">
        <w:rPr>
          <w:b/>
          <w:bCs/>
          <w:lang w:val="en-GB" w:eastAsia="en-US"/>
        </w:rPr>
        <w:t xml:space="preserve">: Consider using HARQ-ACK resource field </w:t>
      </w:r>
      <w:r>
        <w:rPr>
          <w:b/>
          <w:bCs/>
          <w:lang w:val="en-GB" w:eastAsia="en-US"/>
        </w:rPr>
        <w:t xml:space="preserve">for </w:t>
      </w:r>
      <w:r w:rsidRPr="00340D6D">
        <w:rPr>
          <w:b/>
          <w:bCs/>
          <w:lang w:val="en-GB" w:eastAsia="en-US"/>
        </w:rPr>
        <w:t xml:space="preserve">TB identifier </w:t>
      </w:r>
      <w:r>
        <w:rPr>
          <w:b/>
          <w:bCs/>
          <w:lang w:val="en-GB" w:eastAsia="en-US"/>
        </w:rPr>
        <w:t xml:space="preserve">indication </w:t>
      </w:r>
      <w:r w:rsidRPr="00340D6D">
        <w:rPr>
          <w:b/>
          <w:bCs/>
          <w:lang w:val="en-GB" w:eastAsia="en-US"/>
        </w:rPr>
        <w:t xml:space="preserve">to </w:t>
      </w:r>
      <w:r>
        <w:rPr>
          <w:b/>
          <w:bCs/>
          <w:lang w:val="en-GB" w:eastAsia="en-US"/>
        </w:rPr>
        <w:t>mitigate</w:t>
      </w:r>
      <w:r w:rsidRPr="00340D6D">
        <w:rPr>
          <w:b/>
          <w:bCs/>
          <w:lang w:val="en-GB" w:eastAsia="en-US"/>
        </w:rPr>
        <w:t xml:space="preserve"> NDI out of sync when HARQ feedback is disabled.</w:t>
      </w:r>
      <w:r>
        <w:rPr>
          <w:b/>
          <w:bCs/>
          <w:lang w:val="en-GB" w:eastAsia="en-US"/>
        </w:rPr>
        <w:t xml:space="preserve"> </w:t>
      </w:r>
      <w:r w:rsidR="0077437D" w:rsidRPr="000A156F">
        <w:rPr>
          <w:rFonts w:ascii="Calibri" w:eastAsia="宋体" w:hAnsi="Calibri" w:cs="Arial"/>
          <w:b/>
          <w:bCs/>
          <w:lang w:val="en-GB"/>
        </w:rPr>
        <w:t xml:space="preserve"> </w:t>
      </w:r>
    </w:p>
    <w:p w14:paraId="10445A01" w14:textId="5C013A51" w:rsidR="00885580" w:rsidRDefault="007820D0" w:rsidP="00885580">
      <w:pPr>
        <w:pStyle w:val="Heading1"/>
      </w:pPr>
      <w:bookmarkStart w:id="3" w:name="_Hlk68691077"/>
      <w:bookmarkEnd w:id="2"/>
      <w:r>
        <w:t>Conclusion</w:t>
      </w:r>
    </w:p>
    <w:p w14:paraId="384567B8" w14:textId="29FB1AF4" w:rsidR="005E3D1B" w:rsidRPr="000D6F27" w:rsidRDefault="007F4D52" w:rsidP="00B344D8">
      <w:r w:rsidRPr="000D6F27">
        <w:t xml:space="preserve">In this contribution, we discussed </w:t>
      </w:r>
      <w:r w:rsidR="003418FE" w:rsidRPr="000D6F27">
        <w:t>disabling of HARQ feedback for NB-IoT/</w:t>
      </w:r>
      <w:proofErr w:type="spellStart"/>
      <w:r w:rsidR="003418FE" w:rsidRPr="000D6F27">
        <w:t>eMTC</w:t>
      </w:r>
      <w:proofErr w:type="spellEnd"/>
      <w:r w:rsidR="003418FE" w:rsidRPr="000D6F27">
        <w:t xml:space="preserve"> over NTN</w:t>
      </w:r>
      <w:r w:rsidR="00EC7650" w:rsidRPr="000D6F27">
        <w:t>, our observations and proposals are presented as following:</w:t>
      </w:r>
    </w:p>
    <w:p w14:paraId="48C39B60" w14:textId="72828E2B" w:rsidR="00D96B43" w:rsidRDefault="009115FC" w:rsidP="00D96B43">
      <w:pPr>
        <w:spacing w:after="120"/>
        <w:jc w:val="both"/>
      </w:pPr>
      <w:r w:rsidRPr="007C6951">
        <w:rPr>
          <w:rFonts w:ascii="Calibri" w:eastAsia="Calibri" w:hAnsi="Calibri" w:cs="Calibri"/>
          <w:b/>
          <w:bCs/>
          <w:lang w:val="en-GB"/>
        </w:rPr>
        <w:t>Observation 1: The same DCI indication for HARQ feedback enable/disable status of the scheduled TB is used for Option A (per-HARQ bitmap with DCI overridden mechanism) and Option B (DCI direct indication).</w:t>
      </w:r>
    </w:p>
    <w:p w14:paraId="06444ED2" w14:textId="77777777" w:rsidR="009115FC" w:rsidRPr="009D5529" w:rsidRDefault="009115FC" w:rsidP="00420794">
      <w:pPr>
        <w:spacing w:after="120" w:line="257" w:lineRule="auto"/>
        <w:jc w:val="both"/>
        <w:rPr>
          <w:rFonts w:ascii="Calibri" w:eastAsia="Calibri" w:hAnsi="Calibri" w:cs="Calibri"/>
          <w:b/>
          <w:bCs/>
          <w:lang w:val="en-GB"/>
        </w:rPr>
      </w:pPr>
      <w:r w:rsidRPr="009D5529">
        <w:rPr>
          <w:rFonts w:ascii="Calibri" w:eastAsia="Calibri" w:hAnsi="Calibri" w:cs="Calibri"/>
          <w:b/>
          <w:bCs/>
          <w:lang w:val="en-GB"/>
        </w:rPr>
        <w:t xml:space="preserve">Observation 2: Using a fixed state of DCI “HARQ-ACK resource” </w:t>
      </w:r>
      <w:r>
        <w:rPr>
          <w:rFonts w:ascii="Calibri" w:eastAsia="Calibri" w:hAnsi="Calibri" w:cs="Calibri"/>
          <w:b/>
          <w:bCs/>
          <w:lang w:val="en-GB"/>
        </w:rPr>
        <w:t>and</w:t>
      </w:r>
      <w:r w:rsidRPr="009D5529">
        <w:rPr>
          <w:rFonts w:ascii="Calibri" w:eastAsia="Calibri" w:hAnsi="Calibri" w:cs="Calibri"/>
          <w:b/>
          <w:bCs/>
          <w:lang w:val="en-GB"/>
        </w:rPr>
        <w:t xml:space="preserve"> “HARQ-ACK resource offset” field</w:t>
      </w:r>
      <w:r>
        <w:rPr>
          <w:rFonts w:ascii="Calibri" w:eastAsia="Calibri" w:hAnsi="Calibri" w:cs="Calibri"/>
          <w:b/>
          <w:bCs/>
          <w:lang w:val="en-GB"/>
        </w:rPr>
        <w:t>s</w:t>
      </w:r>
      <w:r w:rsidRPr="009D5529">
        <w:rPr>
          <w:rFonts w:ascii="Calibri" w:eastAsia="Calibri" w:hAnsi="Calibri" w:cs="Calibri"/>
          <w:b/>
          <w:bCs/>
          <w:lang w:val="en-GB"/>
        </w:rPr>
        <w:t xml:space="preserve"> to indicate HARQ feedback disable will reduce the network’s HARQ-ACK scheduling capacity.</w:t>
      </w:r>
    </w:p>
    <w:p w14:paraId="5ED28B62" w14:textId="10F7389E" w:rsidR="00D96B43" w:rsidRDefault="009115FC" w:rsidP="002B2327">
      <w:pPr>
        <w:spacing w:after="120"/>
        <w:jc w:val="both"/>
        <w:rPr>
          <w:b/>
        </w:rPr>
      </w:pPr>
      <w:r w:rsidRPr="00B437A8">
        <w:rPr>
          <w:b/>
          <w:bCs/>
        </w:rPr>
        <w:t xml:space="preserve">Observation </w:t>
      </w:r>
      <w:r>
        <w:rPr>
          <w:b/>
          <w:bCs/>
        </w:rPr>
        <w:t>3</w:t>
      </w:r>
      <w:r w:rsidRPr="00B437A8">
        <w:rPr>
          <w:b/>
          <w:bCs/>
        </w:rPr>
        <w:t>: Existing specifications and agreements are sufficient for DCI direct indication of HARQ feedback enable/disable in multi-TB scheduling.</w:t>
      </w:r>
    </w:p>
    <w:p w14:paraId="481D3A04" w14:textId="17EC92E0" w:rsidR="009115FC" w:rsidRDefault="00D950A5" w:rsidP="002B2327">
      <w:pPr>
        <w:spacing w:after="120"/>
        <w:jc w:val="both"/>
        <w:rPr>
          <w:b/>
          <w:lang w:val="en-GB" w:eastAsia="en-US"/>
        </w:rPr>
      </w:pPr>
      <w:r w:rsidRPr="000133B8">
        <w:rPr>
          <w:b/>
          <w:bCs/>
          <w:lang w:val="en-GB" w:eastAsia="en-US"/>
        </w:rPr>
        <w:t xml:space="preserve">Observation 4: NB-IoT UE’s NPDCCH monitoring </w:t>
      </w:r>
      <w:proofErr w:type="spellStart"/>
      <w:r w:rsidRPr="000133B8">
        <w:rPr>
          <w:b/>
          <w:bCs/>
          <w:lang w:val="en-GB" w:eastAsia="en-US"/>
        </w:rPr>
        <w:t>behavior</w:t>
      </w:r>
      <w:proofErr w:type="spellEnd"/>
      <w:r w:rsidRPr="000133B8">
        <w:rPr>
          <w:b/>
          <w:bCs/>
          <w:lang w:val="en-GB" w:eastAsia="en-US"/>
        </w:rPr>
        <w:t xml:space="preserve"> in WA2 is different f</w:t>
      </w:r>
      <w:r>
        <w:rPr>
          <w:b/>
          <w:bCs/>
          <w:lang w:val="en-GB" w:eastAsia="en-US"/>
        </w:rPr>
        <w:t>r</w:t>
      </w:r>
      <w:r w:rsidRPr="000133B8">
        <w:rPr>
          <w:b/>
          <w:bCs/>
          <w:lang w:val="en-GB" w:eastAsia="en-US"/>
        </w:rPr>
        <w:t>om the HARQ feedback enabled case and from the HARQ feedback disabled case. Benefit of this exception in NPDCCH monitoring is not clear.</w:t>
      </w:r>
    </w:p>
    <w:p w14:paraId="2DE15D3E" w14:textId="77777777" w:rsidR="00FF57BA" w:rsidRPr="00473468" w:rsidRDefault="00FF57BA" w:rsidP="00420794">
      <w:pPr>
        <w:spacing w:after="120"/>
        <w:jc w:val="both"/>
        <w:rPr>
          <w:b/>
          <w:bCs/>
          <w:lang w:val="en-GB" w:eastAsia="en-US"/>
        </w:rPr>
      </w:pPr>
      <w:r w:rsidRPr="00473468">
        <w:rPr>
          <w:b/>
          <w:bCs/>
          <w:lang w:val="en-GB" w:eastAsia="en-US"/>
        </w:rPr>
        <w:t xml:space="preserve">Observation </w:t>
      </w:r>
      <w:r>
        <w:rPr>
          <w:b/>
          <w:bCs/>
          <w:lang w:val="en-GB" w:eastAsia="en-US"/>
        </w:rPr>
        <w:t>5</w:t>
      </w:r>
      <w:r w:rsidRPr="00473468">
        <w:rPr>
          <w:b/>
          <w:bCs/>
          <w:lang w:val="en-GB" w:eastAsia="en-US"/>
        </w:rPr>
        <w:t>: When the UE fails to detect a DCI with a toggled NDI, the UE’s NDI state becomes out of sync with the network and results in subsequent TB decoding errors.</w:t>
      </w:r>
    </w:p>
    <w:p w14:paraId="3030CFB5" w14:textId="6FA2DC3F" w:rsidR="00D950A5" w:rsidRDefault="00FF57BA" w:rsidP="002B2327">
      <w:pPr>
        <w:spacing w:after="120"/>
        <w:jc w:val="both"/>
        <w:rPr>
          <w:b/>
          <w:lang w:val="en-GB" w:eastAsia="en-US"/>
        </w:rPr>
      </w:pPr>
      <w:r w:rsidRPr="00E52A88">
        <w:rPr>
          <w:b/>
          <w:bCs/>
          <w:lang w:val="en-GB" w:eastAsia="en-US"/>
        </w:rPr>
        <w:t>Observation 6</w:t>
      </w:r>
      <w:r w:rsidRPr="005437CE">
        <w:rPr>
          <w:b/>
          <w:bCs/>
          <w:lang w:val="en-GB" w:eastAsia="en-US"/>
        </w:rPr>
        <w:t xml:space="preserve">: </w:t>
      </w:r>
      <w:r>
        <w:rPr>
          <w:b/>
          <w:bCs/>
          <w:lang w:val="en-GB" w:eastAsia="en-US"/>
        </w:rPr>
        <w:t xml:space="preserve">If not mitigated, the out-of-sync NDI may lead to a cluster of consecutive TB decoding </w:t>
      </w:r>
      <w:proofErr w:type="spellStart"/>
      <w:r>
        <w:rPr>
          <w:b/>
          <w:bCs/>
          <w:lang w:val="en-GB" w:eastAsia="en-US"/>
        </w:rPr>
        <w:t>failtures</w:t>
      </w:r>
      <w:proofErr w:type="spellEnd"/>
      <w:r>
        <w:rPr>
          <w:b/>
          <w:bCs/>
          <w:lang w:val="en-GB" w:eastAsia="en-US"/>
        </w:rPr>
        <w:t xml:space="preserve"> if the channel quality is suddenly degraded, especially in case with a large DRX period but a short DRX on duration for power saving.</w:t>
      </w:r>
    </w:p>
    <w:p w14:paraId="1AEFA11C" w14:textId="6C437625" w:rsidR="001D634D" w:rsidRDefault="001D634D" w:rsidP="002B2327">
      <w:pPr>
        <w:spacing w:after="120"/>
        <w:jc w:val="both"/>
        <w:rPr>
          <w:rFonts w:ascii="Calibri" w:eastAsia="Calibri" w:hAnsi="Calibri" w:cs="Calibri"/>
          <w:b/>
          <w:bCs/>
          <w:lang w:val="en-GB"/>
        </w:rPr>
      </w:pPr>
      <w:r w:rsidRPr="00C22D0F">
        <w:rPr>
          <w:rFonts w:ascii="Calibri" w:eastAsia="Calibri" w:hAnsi="Calibri" w:cs="Calibri"/>
          <w:b/>
          <w:bCs/>
          <w:lang w:val="en-GB"/>
        </w:rPr>
        <w:t>Proposal 1: The special state of DCI “HARQ-ACK resource” and “HARQ-ACK resource offset” fields for HARQ feedback disable indication should be configured as UE specific.</w:t>
      </w:r>
    </w:p>
    <w:p w14:paraId="5B69511B" w14:textId="77777777" w:rsidR="003300D0" w:rsidRPr="008D16CA" w:rsidRDefault="003300D0" w:rsidP="00420794">
      <w:pPr>
        <w:spacing w:after="120"/>
        <w:jc w:val="both"/>
        <w:rPr>
          <w:b/>
          <w:bCs/>
          <w:lang w:val="en-GB"/>
        </w:rPr>
      </w:pPr>
      <w:r w:rsidRPr="008D16CA">
        <w:rPr>
          <w:b/>
          <w:bCs/>
          <w:lang w:val="en-GB"/>
        </w:rPr>
        <w:t>Proposal 2: Confirm RAN1#113 working assumptions related to DCI indication method for HARQ feedback enable/disable.</w:t>
      </w:r>
    </w:p>
    <w:p w14:paraId="61BB90FB" w14:textId="77777777" w:rsidR="00E22B20" w:rsidRDefault="00E22B20" w:rsidP="00E22B20">
      <w:pPr>
        <w:spacing w:after="120"/>
        <w:jc w:val="both"/>
      </w:pPr>
      <w:r w:rsidRPr="008A3329">
        <w:rPr>
          <w:b/>
          <w:bCs/>
        </w:rPr>
        <w:t xml:space="preserve">Proposal </w:t>
      </w:r>
      <w:r>
        <w:rPr>
          <w:b/>
          <w:bCs/>
        </w:rPr>
        <w:t>3</w:t>
      </w:r>
      <w:r w:rsidRPr="008A3329">
        <w:rPr>
          <w:b/>
          <w:bCs/>
        </w:rPr>
        <w:t>:</w:t>
      </w:r>
      <w:r>
        <w:t xml:space="preserve"> </w:t>
      </w:r>
      <w:r>
        <w:rPr>
          <w:b/>
          <w:bCs/>
          <w:lang w:eastAsia="en-US"/>
        </w:rPr>
        <w:t>The same DCI indication for HARQ feedback enable/disable in single-TB scheduling is used for HARQ feedback enable/disable in multi-TB scheduling.</w:t>
      </w:r>
    </w:p>
    <w:p w14:paraId="10D18484" w14:textId="0AAC3861" w:rsidR="001D634D" w:rsidRDefault="00E81898" w:rsidP="002B2327">
      <w:pPr>
        <w:spacing w:after="120"/>
        <w:jc w:val="both"/>
        <w:rPr>
          <w:b/>
        </w:rPr>
      </w:pPr>
      <w:r w:rsidRPr="009057B0">
        <w:rPr>
          <w:b/>
          <w:bCs/>
        </w:rPr>
        <w:t xml:space="preserve">Proposal 4: For the DCI-based overridden mechanism in multi-TB scheduling, the DCI indication of HARQ feedback enable/disable applies to all the DCI scheduled </w:t>
      </w:r>
      <w:proofErr w:type="spellStart"/>
      <w:r w:rsidRPr="009057B0">
        <w:rPr>
          <w:b/>
          <w:bCs/>
        </w:rPr>
        <w:t>TBs.</w:t>
      </w:r>
      <w:proofErr w:type="spellEnd"/>
    </w:p>
    <w:p w14:paraId="1DCA3E63" w14:textId="4B55EC92" w:rsidR="00E81898" w:rsidRDefault="00540D9E" w:rsidP="002B2327">
      <w:pPr>
        <w:spacing w:after="120"/>
        <w:jc w:val="both"/>
        <w:rPr>
          <w:b/>
        </w:rPr>
      </w:pPr>
      <w:r w:rsidRPr="004715B0">
        <w:rPr>
          <w:b/>
          <w:bCs/>
        </w:rPr>
        <w:t xml:space="preserve">Proposal </w:t>
      </w:r>
      <w:r>
        <w:rPr>
          <w:b/>
          <w:bCs/>
        </w:rPr>
        <w:t>5</w:t>
      </w:r>
      <w:r w:rsidRPr="004715B0">
        <w:rPr>
          <w:b/>
          <w:bCs/>
        </w:rPr>
        <w:t xml:space="preserve">: </w:t>
      </w:r>
      <w:r>
        <w:rPr>
          <w:b/>
          <w:bCs/>
        </w:rPr>
        <w:t xml:space="preserve">When configured with per-HARQ bitmap for feedback enable/disable (Option 1) but not DCI-based override, HARQ feedback enable/disable for all the TBs scheduled by a single DCI is based on the bitmap indication for one of the scheduled </w:t>
      </w:r>
      <w:proofErr w:type="spellStart"/>
      <w:r>
        <w:rPr>
          <w:b/>
          <w:bCs/>
        </w:rPr>
        <w:t>TBs.</w:t>
      </w:r>
      <w:proofErr w:type="spellEnd"/>
    </w:p>
    <w:p w14:paraId="56DEE088" w14:textId="0846F24F" w:rsidR="00540D9E" w:rsidRDefault="00540D9E" w:rsidP="002B2327">
      <w:pPr>
        <w:spacing w:after="120"/>
        <w:jc w:val="both"/>
        <w:rPr>
          <w:b/>
          <w:bCs/>
          <w:lang w:val="en-GB" w:eastAsia="en-US"/>
        </w:rPr>
      </w:pPr>
      <w:r>
        <w:rPr>
          <w:b/>
          <w:bCs/>
          <w:lang w:val="en-GB" w:eastAsia="en-US"/>
        </w:rPr>
        <w:t>Proposal 6: Clarify the motivation and benefit of WA2 in the DCI-based overridden mechanism.</w:t>
      </w:r>
    </w:p>
    <w:p w14:paraId="0799C240" w14:textId="018F5A06" w:rsidR="00540D9E" w:rsidRDefault="00540D9E" w:rsidP="002B2327">
      <w:pPr>
        <w:spacing w:after="120"/>
        <w:jc w:val="both"/>
        <w:rPr>
          <w:b/>
          <w:bCs/>
          <w:lang w:val="en-GB" w:eastAsia="en-US"/>
        </w:rPr>
      </w:pPr>
      <w:r w:rsidRPr="00AC535C">
        <w:rPr>
          <w:b/>
          <w:bCs/>
          <w:lang w:val="en-GB" w:eastAsia="en-US"/>
        </w:rPr>
        <w:t xml:space="preserve">Proposal </w:t>
      </w:r>
      <w:r>
        <w:rPr>
          <w:b/>
          <w:bCs/>
          <w:lang w:val="en-GB" w:eastAsia="en-US"/>
        </w:rPr>
        <w:t>7</w:t>
      </w:r>
      <w:r w:rsidRPr="00AC535C">
        <w:rPr>
          <w:b/>
          <w:bCs/>
          <w:lang w:val="en-GB" w:eastAsia="en-US"/>
        </w:rPr>
        <w:t xml:space="preserve">: Clarify </w:t>
      </w:r>
      <w:r>
        <w:rPr>
          <w:b/>
          <w:bCs/>
          <w:lang w:val="en-GB" w:eastAsia="en-US"/>
        </w:rPr>
        <w:t xml:space="preserve">that WA2 does NOT imply that </w:t>
      </w:r>
      <w:r w:rsidRPr="00AC535C">
        <w:rPr>
          <w:b/>
          <w:bCs/>
          <w:lang w:val="en-GB" w:eastAsia="en-US"/>
        </w:rPr>
        <w:t>when a HARQ feedback enabled process indicated by the per-HARQ bitmap is reversed to HARQ feedback disabled by the DCI-based overridden mechanism, the NB-IoT UE wait</w:t>
      </w:r>
      <w:r>
        <w:rPr>
          <w:b/>
          <w:bCs/>
          <w:lang w:val="en-GB" w:eastAsia="en-US"/>
        </w:rPr>
        <w:t>s</w:t>
      </w:r>
      <w:r w:rsidRPr="00AC535C">
        <w:rPr>
          <w:b/>
          <w:bCs/>
          <w:lang w:val="en-GB" w:eastAsia="en-US"/>
        </w:rPr>
        <w:t xml:space="preserve"> for an additional RTT+3ms period before monitoring NPDCCH for the same process (other than the 12ms delay after receiving NPDCCH).</w:t>
      </w:r>
    </w:p>
    <w:p w14:paraId="51FA170E" w14:textId="68610D57" w:rsidR="00540D9E" w:rsidRPr="00E22B20" w:rsidRDefault="002512A8" w:rsidP="002B2327">
      <w:pPr>
        <w:spacing w:after="120"/>
        <w:jc w:val="both"/>
      </w:pPr>
      <w:r w:rsidRPr="00340D6D">
        <w:rPr>
          <w:b/>
          <w:bCs/>
          <w:lang w:val="en-GB" w:eastAsia="en-US"/>
        </w:rPr>
        <w:t xml:space="preserve">Proposal </w:t>
      </w:r>
      <w:r>
        <w:rPr>
          <w:b/>
          <w:bCs/>
          <w:lang w:val="en-GB" w:eastAsia="en-US"/>
        </w:rPr>
        <w:t>8</w:t>
      </w:r>
      <w:r w:rsidRPr="00340D6D">
        <w:rPr>
          <w:b/>
          <w:bCs/>
          <w:lang w:val="en-GB" w:eastAsia="en-US"/>
        </w:rPr>
        <w:t xml:space="preserve">: Consider using HARQ-ACK resource field </w:t>
      </w:r>
      <w:r>
        <w:rPr>
          <w:b/>
          <w:bCs/>
          <w:lang w:val="en-GB" w:eastAsia="en-US"/>
        </w:rPr>
        <w:t xml:space="preserve">for </w:t>
      </w:r>
      <w:r w:rsidRPr="00340D6D">
        <w:rPr>
          <w:b/>
          <w:bCs/>
          <w:lang w:val="en-GB" w:eastAsia="en-US"/>
        </w:rPr>
        <w:t xml:space="preserve">TB identifier </w:t>
      </w:r>
      <w:r>
        <w:rPr>
          <w:b/>
          <w:bCs/>
          <w:lang w:val="en-GB" w:eastAsia="en-US"/>
        </w:rPr>
        <w:t xml:space="preserve">indication </w:t>
      </w:r>
      <w:r w:rsidRPr="00340D6D">
        <w:rPr>
          <w:b/>
          <w:bCs/>
          <w:lang w:val="en-GB" w:eastAsia="en-US"/>
        </w:rPr>
        <w:t xml:space="preserve">to </w:t>
      </w:r>
      <w:r>
        <w:rPr>
          <w:b/>
          <w:bCs/>
          <w:lang w:val="en-GB" w:eastAsia="en-US"/>
        </w:rPr>
        <w:t>mitigate</w:t>
      </w:r>
      <w:r w:rsidRPr="00340D6D">
        <w:rPr>
          <w:b/>
          <w:bCs/>
          <w:lang w:val="en-GB" w:eastAsia="en-US"/>
        </w:rPr>
        <w:t xml:space="preserve"> NDI out of sync when HARQ feedback is disabled.</w:t>
      </w:r>
    </w:p>
    <w:p w14:paraId="53CD9119" w14:textId="5206E1F5" w:rsidR="00885580" w:rsidRDefault="00885580" w:rsidP="00885580">
      <w:pPr>
        <w:pStyle w:val="Heading1"/>
        <w:numPr>
          <w:ilvl w:val="0"/>
          <w:numId w:val="0"/>
        </w:numPr>
      </w:pPr>
      <w:r>
        <w:lastRenderedPageBreak/>
        <w:t>References</w:t>
      </w:r>
    </w:p>
    <w:p w14:paraId="199A6166" w14:textId="5F9536AB" w:rsidR="0080410A" w:rsidRDefault="00000704" w:rsidP="0048015B">
      <w:pPr>
        <w:pStyle w:val="ListParagraph"/>
        <w:numPr>
          <w:ilvl w:val="0"/>
          <w:numId w:val="16"/>
        </w:numPr>
        <w:rPr>
          <w:rFonts w:cstheme="minorHAnsi"/>
          <w:sz w:val="22"/>
          <w:szCs w:val="22"/>
          <w:lang w:val="en-US"/>
        </w:rPr>
      </w:pPr>
      <w:bookmarkStart w:id="4" w:name="_Ref110864604"/>
      <w:bookmarkStart w:id="5" w:name="_Ref101780668"/>
      <w:bookmarkEnd w:id="3"/>
      <w:r w:rsidRPr="00000704">
        <w:rPr>
          <w:rFonts w:cstheme="minorHAnsi"/>
          <w:sz w:val="22"/>
          <w:szCs w:val="22"/>
          <w:lang w:val="en-US"/>
        </w:rPr>
        <w:t>RP-231407</w:t>
      </w:r>
      <w:r w:rsidR="0080410A" w:rsidRPr="006E7BE0">
        <w:rPr>
          <w:rFonts w:cstheme="minorHAnsi"/>
          <w:sz w:val="22"/>
          <w:szCs w:val="22"/>
          <w:lang w:val="en-US"/>
        </w:rPr>
        <w:t>, Revised WID on IoT NTN enhancements, 3GPP TSG RAN Meeting #</w:t>
      </w:r>
      <w:r>
        <w:rPr>
          <w:rFonts w:cstheme="minorHAnsi"/>
          <w:sz w:val="22"/>
          <w:szCs w:val="22"/>
          <w:lang w:val="en-US"/>
        </w:rPr>
        <w:t>100</w:t>
      </w:r>
      <w:r w:rsidR="0080410A" w:rsidRPr="006E7BE0">
        <w:rPr>
          <w:rFonts w:cstheme="minorHAnsi"/>
          <w:sz w:val="22"/>
          <w:szCs w:val="22"/>
          <w:lang w:val="en-US"/>
        </w:rPr>
        <w:t xml:space="preserve">, </w:t>
      </w:r>
      <w:r w:rsidRPr="00000704">
        <w:rPr>
          <w:rFonts w:cstheme="minorHAnsi"/>
          <w:sz w:val="22"/>
          <w:szCs w:val="22"/>
          <w:lang w:val="en-US"/>
        </w:rPr>
        <w:t>Taipei, Taiwan, June 12-14, 2023</w:t>
      </w:r>
      <w:r w:rsidR="0080410A" w:rsidRPr="006E7BE0">
        <w:rPr>
          <w:rFonts w:cstheme="minorHAnsi"/>
          <w:sz w:val="22"/>
          <w:szCs w:val="22"/>
          <w:lang w:val="en-US"/>
        </w:rPr>
        <w:t>.</w:t>
      </w:r>
      <w:bookmarkEnd w:id="4"/>
    </w:p>
    <w:p w14:paraId="3C457182" w14:textId="1C3897DA" w:rsidR="00CE2516" w:rsidRDefault="00CE2516" w:rsidP="0048015B">
      <w:pPr>
        <w:pStyle w:val="ListParagraph"/>
        <w:numPr>
          <w:ilvl w:val="0"/>
          <w:numId w:val="16"/>
        </w:numPr>
        <w:rPr>
          <w:rFonts w:cstheme="minorHAnsi"/>
          <w:sz w:val="22"/>
          <w:szCs w:val="22"/>
          <w:lang w:val="en-US"/>
        </w:rPr>
      </w:pPr>
      <w:bookmarkStart w:id="6" w:name="_Ref130930496"/>
      <w:bookmarkStart w:id="7" w:name="_Ref117621126"/>
      <w:bookmarkStart w:id="8" w:name="_Ref110865186"/>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w:t>
      </w:r>
      <w:r w:rsidRPr="00CE2516">
        <w:rPr>
          <w:rFonts w:cstheme="minorHAnsi"/>
          <w:sz w:val="22"/>
          <w:szCs w:val="22"/>
          <w:lang w:val="en-US"/>
        </w:rPr>
        <w:t xml:space="preserve"> 3GPP TSG RAN WG1 #112bis-e</w:t>
      </w:r>
      <w:r>
        <w:rPr>
          <w:rFonts w:cstheme="minorHAnsi"/>
          <w:sz w:val="22"/>
          <w:szCs w:val="22"/>
          <w:lang w:val="en-US"/>
        </w:rPr>
        <w:t xml:space="preserve">, </w:t>
      </w:r>
      <w:r w:rsidRPr="00CE2516">
        <w:rPr>
          <w:rFonts w:cstheme="minorHAnsi"/>
          <w:sz w:val="22"/>
          <w:szCs w:val="22"/>
          <w:lang w:val="en-US"/>
        </w:rPr>
        <w:t>e-Meeting, April 17th – April 26th, 2023</w:t>
      </w:r>
      <w:r>
        <w:rPr>
          <w:rFonts w:cstheme="minorHAnsi"/>
          <w:sz w:val="22"/>
          <w:szCs w:val="22"/>
          <w:lang w:val="en-US"/>
        </w:rPr>
        <w:t>.</w:t>
      </w:r>
    </w:p>
    <w:p w14:paraId="27A7486D" w14:textId="1BC9F7DC" w:rsidR="00E02F61" w:rsidRDefault="00E02F61" w:rsidP="0048015B">
      <w:pPr>
        <w:pStyle w:val="ListParagraph"/>
        <w:numPr>
          <w:ilvl w:val="0"/>
          <w:numId w:val="16"/>
        </w:numPr>
        <w:rPr>
          <w:rFonts w:cstheme="minorHAnsi"/>
          <w:sz w:val="22"/>
          <w:szCs w:val="22"/>
          <w:lang w:val="en-US"/>
        </w:rPr>
      </w:pPr>
      <w:bookmarkStart w:id="9" w:name="_Ref141200037"/>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w:t>
      </w:r>
      <w:r w:rsidRPr="00CE2516">
        <w:rPr>
          <w:rFonts w:cstheme="minorHAnsi"/>
          <w:sz w:val="22"/>
          <w:szCs w:val="22"/>
          <w:lang w:val="en-US"/>
        </w:rPr>
        <w:t xml:space="preserve"> 3GPP TSG RAN WG1 #11</w:t>
      </w:r>
      <w:r>
        <w:rPr>
          <w:rFonts w:cstheme="minorHAnsi"/>
          <w:sz w:val="22"/>
          <w:szCs w:val="22"/>
          <w:lang w:val="en-US"/>
        </w:rPr>
        <w:t xml:space="preserve">3, </w:t>
      </w:r>
      <w:r w:rsidRPr="00E02F61">
        <w:rPr>
          <w:rFonts w:cstheme="minorHAnsi"/>
          <w:sz w:val="22"/>
          <w:szCs w:val="22"/>
          <w:lang w:val="en-US"/>
        </w:rPr>
        <w:t>Incheon, Korea, May 22nd – May 26th, 2023</w:t>
      </w:r>
      <w:r>
        <w:rPr>
          <w:rFonts w:cstheme="minorHAnsi"/>
          <w:sz w:val="22"/>
          <w:szCs w:val="22"/>
          <w:lang w:val="en-US"/>
        </w:rPr>
        <w:t>.</w:t>
      </w:r>
      <w:bookmarkEnd w:id="9"/>
    </w:p>
    <w:bookmarkEnd w:id="0"/>
    <w:bookmarkEnd w:id="5"/>
    <w:bookmarkEnd w:id="6"/>
    <w:bookmarkEnd w:id="7"/>
    <w:bookmarkEnd w:id="8"/>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28F67" w14:textId="77777777" w:rsidR="0055762C" w:rsidRDefault="0055762C">
      <w:r>
        <w:separator/>
      </w:r>
    </w:p>
  </w:endnote>
  <w:endnote w:type="continuationSeparator" w:id="0">
    <w:p w14:paraId="289BA7FD" w14:textId="77777777" w:rsidR="0055762C" w:rsidRDefault="0055762C">
      <w:r>
        <w:continuationSeparator/>
      </w:r>
    </w:p>
  </w:endnote>
  <w:endnote w:type="continuationNotice" w:id="1">
    <w:p w14:paraId="66C09EF4" w14:textId="77777777" w:rsidR="0055762C" w:rsidRDefault="005576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FD76D" w14:textId="77777777" w:rsidR="0055762C" w:rsidRDefault="0055762C">
      <w:r>
        <w:separator/>
      </w:r>
    </w:p>
  </w:footnote>
  <w:footnote w:type="continuationSeparator" w:id="0">
    <w:p w14:paraId="3F943805" w14:textId="77777777" w:rsidR="0055762C" w:rsidRDefault="0055762C">
      <w:r>
        <w:continuationSeparator/>
      </w:r>
    </w:p>
  </w:footnote>
  <w:footnote w:type="continuationNotice" w:id="1">
    <w:p w14:paraId="136238C5" w14:textId="77777777" w:rsidR="0055762C" w:rsidRDefault="005576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113E7"/>
    <w:multiLevelType w:val="hybridMultilevel"/>
    <w:tmpl w:val="6EEA8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E810044"/>
    <w:multiLevelType w:val="hybridMultilevel"/>
    <w:tmpl w:val="A33CDCA4"/>
    <w:lvl w:ilvl="0" w:tplc="04090001">
      <w:start w:val="1"/>
      <w:numFmt w:val="bullet"/>
      <w:lvlText w:val=""/>
      <w:lvlJc w:val="left"/>
      <w:pPr>
        <w:ind w:left="1402" w:hanging="360"/>
      </w:pPr>
      <w:rPr>
        <w:rFonts w:ascii="Symbol" w:hAnsi="Symbol" w:hint="default"/>
      </w:rPr>
    </w:lvl>
    <w:lvl w:ilvl="1" w:tplc="04090003" w:tentative="1">
      <w:start w:val="1"/>
      <w:numFmt w:val="bullet"/>
      <w:lvlText w:val="o"/>
      <w:lvlJc w:val="left"/>
      <w:pPr>
        <w:ind w:left="2122" w:hanging="360"/>
      </w:pPr>
      <w:rPr>
        <w:rFonts w:ascii="Courier New" w:hAnsi="Courier New" w:cs="Courier New" w:hint="default"/>
      </w:rPr>
    </w:lvl>
    <w:lvl w:ilvl="2" w:tplc="04090005" w:tentative="1">
      <w:start w:val="1"/>
      <w:numFmt w:val="bullet"/>
      <w:lvlText w:val=""/>
      <w:lvlJc w:val="left"/>
      <w:pPr>
        <w:ind w:left="2842" w:hanging="360"/>
      </w:pPr>
      <w:rPr>
        <w:rFonts w:ascii="Wingdings" w:hAnsi="Wingdings" w:hint="default"/>
      </w:rPr>
    </w:lvl>
    <w:lvl w:ilvl="3" w:tplc="04090001" w:tentative="1">
      <w:start w:val="1"/>
      <w:numFmt w:val="bullet"/>
      <w:lvlText w:val=""/>
      <w:lvlJc w:val="left"/>
      <w:pPr>
        <w:ind w:left="3562" w:hanging="360"/>
      </w:pPr>
      <w:rPr>
        <w:rFonts w:ascii="Symbol" w:hAnsi="Symbol" w:hint="default"/>
      </w:rPr>
    </w:lvl>
    <w:lvl w:ilvl="4" w:tplc="04090003" w:tentative="1">
      <w:start w:val="1"/>
      <w:numFmt w:val="bullet"/>
      <w:lvlText w:val="o"/>
      <w:lvlJc w:val="left"/>
      <w:pPr>
        <w:ind w:left="4282" w:hanging="360"/>
      </w:pPr>
      <w:rPr>
        <w:rFonts w:ascii="Courier New" w:hAnsi="Courier New" w:cs="Courier New" w:hint="default"/>
      </w:rPr>
    </w:lvl>
    <w:lvl w:ilvl="5" w:tplc="04090005" w:tentative="1">
      <w:start w:val="1"/>
      <w:numFmt w:val="bullet"/>
      <w:lvlText w:val=""/>
      <w:lvlJc w:val="left"/>
      <w:pPr>
        <w:ind w:left="5002" w:hanging="360"/>
      </w:pPr>
      <w:rPr>
        <w:rFonts w:ascii="Wingdings" w:hAnsi="Wingdings" w:hint="default"/>
      </w:rPr>
    </w:lvl>
    <w:lvl w:ilvl="6" w:tplc="04090001" w:tentative="1">
      <w:start w:val="1"/>
      <w:numFmt w:val="bullet"/>
      <w:lvlText w:val=""/>
      <w:lvlJc w:val="left"/>
      <w:pPr>
        <w:ind w:left="5722" w:hanging="360"/>
      </w:pPr>
      <w:rPr>
        <w:rFonts w:ascii="Symbol" w:hAnsi="Symbol" w:hint="default"/>
      </w:rPr>
    </w:lvl>
    <w:lvl w:ilvl="7" w:tplc="04090003" w:tentative="1">
      <w:start w:val="1"/>
      <w:numFmt w:val="bullet"/>
      <w:lvlText w:val="o"/>
      <w:lvlJc w:val="left"/>
      <w:pPr>
        <w:ind w:left="6442" w:hanging="360"/>
      </w:pPr>
      <w:rPr>
        <w:rFonts w:ascii="Courier New" w:hAnsi="Courier New" w:cs="Courier New" w:hint="default"/>
      </w:rPr>
    </w:lvl>
    <w:lvl w:ilvl="8" w:tplc="04090005" w:tentative="1">
      <w:start w:val="1"/>
      <w:numFmt w:val="bullet"/>
      <w:lvlText w:val=""/>
      <w:lvlJc w:val="left"/>
      <w:pPr>
        <w:ind w:left="7162"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3"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4" w15:restartNumberingAfterBreak="0">
    <w:nsid w:val="2CFE5795"/>
    <w:multiLevelType w:val="hybridMultilevel"/>
    <w:tmpl w:val="59A8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8" w15:restartNumberingAfterBreak="0">
    <w:nsid w:val="317044FE"/>
    <w:multiLevelType w:val="hybridMultilevel"/>
    <w:tmpl w:val="0B50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9597A"/>
    <w:multiLevelType w:val="hybridMultilevel"/>
    <w:tmpl w:val="EF32D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F4507B"/>
    <w:multiLevelType w:val="hybridMultilevel"/>
    <w:tmpl w:val="8466A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8"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30"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31"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32"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4"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41"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27"/>
  </w:num>
  <w:num w:numId="4">
    <w:abstractNumId w:val="17"/>
  </w:num>
  <w:num w:numId="5">
    <w:abstractNumId w:val="40"/>
  </w:num>
  <w:num w:numId="6">
    <w:abstractNumId w:val="30"/>
  </w:num>
  <w:num w:numId="7">
    <w:abstractNumId w:val="2"/>
  </w:num>
  <w:num w:numId="8">
    <w:abstractNumId w:val="29"/>
  </w:num>
  <w:num w:numId="9">
    <w:abstractNumId w:val="24"/>
  </w:num>
  <w:num w:numId="10">
    <w:abstractNumId w:val="12"/>
  </w:num>
  <w:num w:numId="11">
    <w:abstractNumId w:val="13"/>
  </w:num>
  <w:num w:numId="12">
    <w:abstractNumId w:val="41"/>
  </w:num>
  <w:num w:numId="13">
    <w:abstractNumId w:val="16"/>
  </w:num>
  <w:num w:numId="14">
    <w:abstractNumId w:val="19"/>
  </w:num>
  <w:num w:numId="15">
    <w:abstractNumId w:val="0"/>
  </w:num>
  <w:num w:numId="16">
    <w:abstractNumId w:val="10"/>
  </w:num>
  <w:num w:numId="17">
    <w:abstractNumId w:val="34"/>
  </w:num>
  <w:num w:numId="18">
    <w:abstractNumId w:val="3"/>
  </w:num>
  <w:num w:numId="19">
    <w:abstractNumId w:val="22"/>
  </w:num>
  <w:num w:numId="20">
    <w:abstractNumId w:val="11"/>
  </w:num>
  <w:num w:numId="21">
    <w:abstractNumId w:val="4"/>
  </w:num>
  <w:num w:numId="22">
    <w:abstractNumId w:val="7"/>
  </w:num>
  <w:num w:numId="23">
    <w:abstractNumId w:val="6"/>
  </w:num>
  <w:num w:numId="24">
    <w:abstractNumId w:val="8"/>
  </w:num>
  <w:num w:numId="25">
    <w:abstractNumId w:val="1"/>
  </w:num>
  <w:num w:numId="26">
    <w:abstractNumId w:val="28"/>
  </w:num>
  <w:num w:numId="27">
    <w:abstractNumId w:val="36"/>
  </w:num>
  <w:num w:numId="28">
    <w:abstractNumId w:val="32"/>
  </w:num>
  <w:num w:numId="29">
    <w:abstractNumId w:val="15"/>
  </w:num>
  <w:num w:numId="30">
    <w:abstractNumId w:val="35"/>
  </w:num>
  <w:num w:numId="31">
    <w:abstractNumId w:val="37"/>
  </w:num>
  <w:num w:numId="32">
    <w:abstractNumId w:val="23"/>
  </w:num>
  <w:num w:numId="33">
    <w:abstractNumId w:val="26"/>
  </w:num>
  <w:num w:numId="34">
    <w:abstractNumId w:val="5"/>
  </w:num>
  <w:num w:numId="35">
    <w:abstractNumId w:val="39"/>
  </w:num>
  <w:num w:numId="36">
    <w:abstractNumId w:val="9"/>
  </w:num>
  <w:num w:numId="37">
    <w:abstractNumId w:val="20"/>
  </w:num>
  <w:num w:numId="38">
    <w:abstractNumId w:val="33"/>
  </w:num>
  <w:num w:numId="39">
    <w:abstractNumId w:val="25"/>
  </w:num>
  <w:num w:numId="40">
    <w:abstractNumId w:val="14"/>
  </w:num>
  <w:num w:numId="41">
    <w:abstractNumId w:val="21"/>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147E"/>
    <w:rsid w:val="000014AF"/>
    <w:rsid w:val="0000159F"/>
    <w:rsid w:val="000015C3"/>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25B"/>
    <w:rsid w:val="00015A21"/>
    <w:rsid w:val="00015C51"/>
    <w:rsid w:val="00015EAF"/>
    <w:rsid w:val="00015F98"/>
    <w:rsid w:val="0001647D"/>
    <w:rsid w:val="000165EE"/>
    <w:rsid w:val="000166AC"/>
    <w:rsid w:val="00016ADF"/>
    <w:rsid w:val="00016C33"/>
    <w:rsid w:val="00017845"/>
    <w:rsid w:val="00017B7F"/>
    <w:rsid w:val="00017EDA"/>
    <w:rsid w:val="00020008"/>
    <w:rsid w:val="00020568"/>
    <w:rsid w:val="000208A8"/>
    <w:rsid w:val="000212A5"/>
    <w:rsid w:val="00021927"/>
    <w:rsid w:val="00021B89"/>
    <w:rsid w:val="00021E78"/>
    <w:rsid w:val="00022149"/>
    <w:rsid w:val="00022535"/>
    <w:rsid w:val="00022667"/>
    <w:rsid w:val="00022730"/>
    <w:rsid w:val="000229C3"/>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79E"/>
    <w:rsid w:val="00034BD3"/>
    <w:rsid w:val="00034C20"/>
    <w:rsid w:val="000350E7"/>
    <w:rsid w:val="00035361"/>
    <w:rsid w:val="00035432"/>
    <w:rsid w:val="00035691"/>
    <w:rsid w:val="00035EAB"/>
    <w:rsid w:val="00035F29"/>
    <w:rsid w:val="00035F57"/>
    <w:rsid w:val="0003642B"/>
    <w:rsid w:val="000366D8"/>
    <w:rsid w:val="00036861"/>
    <w:rsid w:val="00036E5A"/>
    <w:rsid w:val="000370FA"/>
    <w:rsid w:val="000372BE"/>
    <w:rsid w:val="0003742B"/>
    <w:rsid w:val="00037628"/>
    <w:rsid w:val="0003767C"/>
    <w:rsid w:val="00037841"/>
    <w:rsid w:val="00037A5A"/>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D8"/>
    <w:rsid w:val="00063D9E"/>
    <w:rsid w:val="00063F33"/>
    <w:rsid w:val="000646FE"/>
    <w:rsid w:val="00064AD3"/>
    <w:rsid w:val="00064ADD"/>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C20"/>
    <w:rsid w:val="0007428C"/>
    <w:rsid w:val="00074881"/>
    <w:rsid w:val="00074A3A"/>
    <w:rsid w:val="00074E39"/>
    <w:rsid w:val="000753E0"/>
    <w:rsid w:val="00075965"/>
    <w:rsid w:val="000759A3"/>
    <w:rsid w:val="000759F6"/>
    <w:rsid w:val="00075BE8"/>
    <w:rsid w:val="00075FDA"/>
    <w:rsid w:val="0007602B"/>
    <w:rsid w:val="00076353"/>
    <w:rsid w:val="00076386"/>
    <w:rsid w:val="00076566"/>
    <w:rsid w:val="000767B6"/>
    <w:rsid w:val="00076869"/>
    <w:rsid w:val="00076D82"/>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D11"/>
    <w:rsid w:val="000841EC"/>
    <w:rsid w:val="000843FC"/>
    <w:rsid w:val="0008494B"/>
    <w:rsid w:val="00084A65"/>
    <w:rsid w:val="00084E8B"/>
    <w:rsid w:val="0008559A"/>
    <w:rsid w:val="00085B16"/>
    <w:rsid w:val="00085E78"/>
    <w:rsid w:val="0008600D"/>
    <w:rsid w:val="00086334"/>
    <w:rsid w:val="00086C5A"/>
    <w:rsid w:val="00087320"/>
    <w:rsid w:val="000875C9"/>
    <w:rsid w:val="000877E1"/>
    <w:rsid w:val="00087888"/>
    <w:rsid w:val="00087D0A"/>
    <w:rsid w:val="000902C2"/>
    <w:rsid w:val="00090309"/>
    <w:rsid w:val="00090479"/>
    <w:rsid w:val="00090D04"/>
    <w:rsid w:val="0009123A"/>
    <w:rsid w:val="000915B0"/>
    <w:rsid w:val="000917D2"/>
    <w:rsid w:val="00091A92"/>
    <w:rsid w:val="00091AEB"/>
    <w:rsid w:val="00091BB5"/>
    <w:rsid w:val="000929B1"/>
    <w:rsid w:val="00092A0E"/>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287"/>
    <w:rsid w:val="000A3A6B"/>
    <w:rsid w:val="000A3C1E"/>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C7"/>
    <w:rsid w:val="000B7946"/>
    <w:rsid w:val="000C01DB"/>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2C"/>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5FE"/>
    <w:rsid w:val="000E5716"/>
    <w:rsid w:val="000E5CD4"/>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B2"/>
    <w:rsid w:val="000F1902"/>
    <w:rsid w:val="000F19DE"/>
    <w:rsid w:val="000F1BCC"/>
    <w:rsid w:val="000F1DA7"/>
    <w:rsid w:val="000F1FD2"/>
    <w:rsid w:val="000F22DE"/>
    <w:rsid w:val="000F293D"/>
    <w:rsid w:val="000F2A85"/>
    <w:rsid w:val="000F2E1F"/>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6E"/>
    <w:rsid w:val="0010090E"/>
    <w:rsid w:val="001011C1"/>
    <w:rsid w:val="00101397"/>
    <w:rsid w:val="00101405"/>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557"/>
    <w:rsid w:val="00103586"/>
    <w:rsid w:val="001036D3"/>
    <w:rsid w:val="0010372A"/>
    <w:rsid w:val="00103B75"/>
    <w:rsid w:val="00103D11"/>
    <w:rsid w:val="00103FC9"/>
    <w:rsid w:val="0010425E"/>
    <w:rsid w:val="00104BCE"/>
    <w:rsid w:val="0010504B"/>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B19"/>
    <w:rsid w:val="00141C8C"/>
    <w:rsid w:val="00141E40"/>
    <w:rsid w:val="00141E8E"/>
    <w:rsid w:val="00141F08"/>
    <w:rsid w:val="00141FF2"/>
    <w:rsid w:val="0014220C"/>
    <w:rsid w:val="0014265B"/>
    <w:rsid w:val="00142673"/>
    <w:rsid w:val="0014287A"/>
    <w:rsid w:val="00142C60"/>
    <w:rsid w:val="00142DE2"/>
    <w:rsid w:val="00143065"/>
    <w:rsid w:val="001430BE"/>
    <w:rsid w:val="001432E3"/>
    <w:rsid w:val="001436FA"/>
    <w:rsid w:val="00143A30"/>
    <w:rsid w:val="001443C1"/>
    <w:rsid w:val="0014472C"/>
    <w:rsid w:val="001448D8"/>
    <w:rsid w:val="00144C87"/>
    <w:rsid w:val="00144CC0"/>
    <w:rsid w:val="00145264"/>
    <w:rsid w:val="00145879"/>
    <w:rsid w:val="00145EED"/>
    <w:rsid w:val="0014619A"/>
    <w:rsid w:val="001467B1"/>
    <w:rsid w:val="00146ABD"/>
    <w:rsid w:val="00146D28"/>
    <w:rsid w:val="001470BF"/>
    <w:rsid w:val="001472DB"/>
    <w:rsid w:val="001476BC"/>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E1D"/>
    <w:rsid w:val="00152976"/>
    <w:rsid w:val="00152B05"/>
    <w:rsid w:val="00152C7A"/>
    <w:rsid w:val="00152F8F"/>
    <w:rsid w:val="001530D9"/>
    <w:rsid w:val="001532BA"/>
    <w:rsid w:val="00153313"/>
    <w:rsid w:val="00153799"/>
    <w:rsid w:val="001537E9"/>
    <w:rsid w:val="00153F9A"/>
    <w:rsid w:val="00153FED"/>
    <w:rsid w:val="001545A8"/>
    <w:rsid w:val="0015465F"/>
    <w:rsid w:val="00154988"/>
    <w:rsid w:val="00154C99"/>
    <w:rsid w:val="0015583F"/>
    <w:rsid w:val="001558E2"/>
    <w:rsid w:val="00155BFD"/>
    <w:rsid w:val="00156075"/>
    <w:rsid w:val="001560D8"/>
    <w:rsid w:val="001564E9"/>
    <w:rsid w:val="00156ABA"/>
    <w:rsid w:val="00156E65"/>
    <w:rsid w:val="0015720A"/>
    <w:rsid w:val="00157390"/>
    <w:rsid w:val="00157594"/>
    <w:rsid w:val="001577B3"/>
    <w:rsid w:val="00157BFB"/>
    <w:rsid w:val="00157C1C"/>
    <w:rsid w:val="00160232"/>
    <w:rsid w:val="0016072E"/>
    <w:rsid w:val="00160998"/>
    <w:rsid w:val="00160CD6"/>
    <w:rsid w:val="00160F5F"/>
    <w:rsid w:val="001615FB"/>
    <w:rsid w:val="0016175D"/>
    <w:rsid w:val="00161BF8"/>
    <w:rsid w:val="00162308"/>
    <w:rsid w:val="00162426"/>
    <w:rsid w:val="0016244C"/>
    <w:rsid w:val="0016268F"/>
    <w:rsid w:val="001628B5"/>
    <w:rsid w:val="00162EB9"/>
    <w:rsid w:val="0016316A"/>
    <w:rsid w:val="00163363"/>
    <w:rsid w:val="00163539"/>
    <w:rsid w:val="0016370D"/>
    <w:rsid w:val="0016381F"/>
    <w:rsid w:val="00163C7F"/>
    <w:rsid w:val="00163D1D"/>
    <w:rsid w:val="00163E9B"/>
    <w:rsid w:val="00163FEF"/>
    <w:rsid w:val="00164171"/>
    <w:rsid w:val="00164B56"/>
    <w:rsid w:val="00164BB5"/>
    <w:rsid w:val="00164E58"/>
    <w:rsid w:val="00165033"/>
    <w:rsid w:val="00165078"/>
    <w:rsid w:val="0016522C"/>
    <w:rsid w:val="00165926"/>
    <w:rsid w:val="00165B02"/>
    <w:rsid w:val="00165CDF"/>
    <w:rsid w:val="00166124"/>
    <w:rsid w:val="001661D7"/>
    <w:rsid w:val="001663C8"/>
    <w:rsid w:val="001665EB"/>
    <w:rsid w:val="0016692E"/>
    <w:rsid w:val="00166A35"/>
    <w:rsid w:val="001670EA"/>
    <w:rsid w:val="001674A0"/>
    <w:rsid w:val="00167676"/>
    <w:rsid w:val="0016797C"/>
    <w:rsid w:val="00167F58"/>
    <w:rsid w:val="00170017"/>
    <w:rsid w:val="0017055C"/>
    <w:rsid w:val="0017059D"/>
    <w:rsid w:val="00170A50"/>
    <w:rsid w:val="00170B66"/>
    <w:rsid w:val="00170FD9"/>
    <w:rsid w:val="001711CA"/>
    <w:rsid w:val="001712F5"/>
    <w:rsid w:val="0017144B"/>
    <w:rsid w:val="001716CB"/>
    <w:rsid w:val="00171919"/>
    <w:rsid w:val="00171A93"/>
    <w:rsid w:val="00171C9D"/>
    <w:rsid w:val="001724DA"/>
    <w:rsid w:val="00172F5D"/>
    <w:rsid w:val="0017345C"/>
    <w:rsid w:val="00173BD8"/>
    <w:rsid w:val="00173DA8"/>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748E"/>
    <w:rsid w:val="0018748F"/>
    <w:rsid w:val="0018773A"/>
    <w:rsid w:val="00187AB3"/>
    <w:rsid w:val="00187C67"/>
    <w:rsid w:val="001905BD"/>
    <w:rsid w:val="001905E2"/>
    <w:rsid w:val="00190629"/>
    <w:rsid w:val="0019073E"/>
    <w:rsid w:val="00190B1C"/>
    <w:rsid w:val="00191131"/>
    <w:rsid w:val="001917BC"/>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5A5"/>
    <w:rsid w:val="001B065B"/>
    <w:rsid w:val="001B06F3"/>
    <w:rsid w:val="001B0832"/>
    <w:rsid w:val="001B0875"/>
    <w:rsid w:val="001B0C98"/>
    <w:rsid w:val="001B0CB0"/>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9C"/>
    <w:rsid w:val="001B493D"/>
    <w:rsid w:val="001B4E18"/>
    <w:rsid w:val="001B523B"/>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53A"/>
    <w:rsid w:val="001C05DB"/>
    <w:rsid w:val="001C0674"/>
    <w:rsid w:val="001C07BB"/>
    <w:rsid w:val="001C08A2"/>
    <w:rsid w:val="001C0A5C"/>
    <w:rsid w:val="001C0A7F"/>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85C"/>
    <w:rsid w:val="001C5C66"/>
    <w:rsid w:val="001C5FC3"/>
    <w:rsid w:val="001C6195"/>
    <w:rsid w:val="001C66AC"/>
    <w:rsid w:val="001C6754"/>
    <w:rsid w:val="001C70D3"/>
    <w:rsid w:val="001C75FF"/>
    <w:rsid w:val="001C7672"/>
    <w:rsid w:val="001C77F0"/>
    <w:rsid w:val="001C7B5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62F"/>
    <w:rsid w:val="001E4D47"/>
    <w:rsid w:val="001E4D4F"/>
    <w:rsid w:val="001E4DA4"/>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F3A"/>
    <w:rsid w:val="001F4034"/>
    <w:rsid w:val="001F44EB"/>
    <w:rsid w:val="001F4771"/>
    <w:rsid w:val="001F4A31"/>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200015"/>
    <w:rsid w:val="0020006A"/>
    <w:rsid w:val="0020096C"/>
    <w:rsid w:val="00200A47"/>
    <w:rsid w:val="00200CE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C3"/>
    <w:rsid w:val="00223128"/>
    <w:rsid w:val="002236B0"/>
    <w:rsid w:val="00224056"/>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C4B"/>
    <w:rsid w:val="002270DD"/>
    <w:rsid w:val="00227552"/>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1311"/>
    <w:rsid w:val="002418E8"/>
    <w:rsid w:val="002419E2"/>
    <w:rsid w:val="00241DC0"/>
    <w:rsid w:val="00242204"/>
    <w:rsid w:val="002423CF"/>
    <w:rsid w:val="002425FA"/>
    <w:rsid w:val="00242724"/>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F8F"/>
    <w:rsid w:val="002600AF"/>
    <w:rsid w:val="00260226"/>
    <w:rsid w:val="00260467"/>
    <w:rsid w:val="00260AEE"/>
    <w:rsid w:val="00260ED8"/>
    <w:rsid w:val="00260FDF"/>
    <w:rsid w:val="002611CF"/>
    <w:rsid w:val="0026196A"/>
    <w:rsid w:val="00261AB8"/>
    <w:rsid w:val="00261BE6"/>
    <w:rsid w:val="00261F78"/>
    <w:rsid w:val="002621A6"/>
    <w:rsid w:val="00262345"/>
    <w:rsid w:val="00262661"/>
    <w:rsid w:val="00262B93"/>
    <w:rsid w:val="00262D9D"/>
    <w:rsid w:val="002632DF"/>
    <w:rsid w:val="002632E8"/>
    <w:rsid w:val="0026351C"/>
    <w:rsid w:val="00263946"/>
    <w:rsid w:val="00263DF6"/>
    <w:rsid w:val="00263EB5"/>
    <w:rsid w:val="00263F9F"/>
    <w:rsid w:val="00263FB5"/>
    <w:rsid w:val="002640BA"/>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4C2"/>
    <w:rsid w:val="00282A27"/>
    <w:rsid w:val="00282A72"/>
    <w:rsid w:val="00282D36"/>
    <w:rsid w:val="00283A81"/>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BA0"/>
    <w:rsid w:val="002A4116"/>
    <w:rsid w:val="002A4546"/>
    <w:rsid w:val="002A48A7"/>
    <w:rsid w:val="002A4971"/>
    <w:rsid w:val="002A4D8C"/>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40"/>
    <w:rsid w:val="002E0692"/>
    <w:rsid w:val="002E076F"/>
    <w:rsid w:val="002E0A7F"/>
    <w:rsid w:val="002E131F"/>
    <w:rsid w:val="002E143B"/>
    <w:rsid w:val="002E152D"/>
    <w:rsid w:val="002E17D2"/>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C37"/>
    <w:rsid w:val="002E5E1D"/>
    <w:rsid w:val="002E60FF"/>
    <w:rsid w:val="002E62D2"/>
    <w:rsid w:val="002E68F0"/>
    <w:rsid w:val="002E6AD9"/>
    <w:rsid w:val="002E6BC5"/>
    <w:rsid w:val="002E6F41"/>
    <w:rsid w:val="002E734F"/>
    <w:rsid w:val="002E73B3"/>
    <w:rsid w:val="002E74AF"/>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FC3"/>
    <w:rsid w:val="002F53D3"/>
    <w:rsid w:val="002F5554"/>
    <w:rsid w:val="002F5635"/>
    <w:rsid w:val="002F599E"/>
    <w:rsid w:val="002F5BE4"/>
    <w:rsid w:val="002F5FA3"/>
    <w:rsid w:val="002F6314"/>
    <w:rsid w:val="002F6510"/>
    <w:rsid w:val="002F695B"/>
    <w:rsid w:val="002F6BB6"/>
    <w:rsid w:val="002F6CA8"/>
    <w:rsid w:val="002F6F33"/>
    <w:rsid w:val="002F6F5F"/>
    <w:rsid w:val="002F723C"/>
    <w:rsid w:val="002F72DA"/>
    <w:rsid w:val="002F76B1"/>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523"/>
    <w:rsid w:val="00302A20"/>
    <w:rsid w:val="00302A6B"/>
    <w:rsid w:val="00302AE8"/>
    <w:rsid w:val="00302BB1"/>
    <w:rsid w:val="00302C4F"/>
    <w:rsid w:val="00302C73"/>
    <w:rsid w:val="003030F0"/>
    <w:rsid w:val="00303373"/>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89C"/>
    <w:rsid w:val="00317A63"/>
    <w:rsid w:val="00320299"/>
    <w:rsid w:val="00320A5F"/>
    <w:rsid w:val="00320A9D"/>
    <w:rsid w:val="00320E19"/>
    <w:rsid w:val="00321154"/>
    <w:rsid w:val="003211B0"/>
    <w:rsid w:val="00321225"/>
    <w:rsid w:val="003212BE"/>
    <w:rsid w:val="00321605"/>
    <w:rsid w:val="00321ABA"/>
    <w:rsid w:val="00321B1F"/>
    <w:rsid w:val="00321C12"/>
    <w:rsid w:val="00321C66"/>
    <w:rsid w:val="00321EDA"/>
    <w:rsid w:val="003221AA"/>
    <w:rsid w:val="003224AA"/>
    <w:rsid w:val="003224E7"/>
    <w:rsid w:val="0032308B"/>
    <w:rsid w:val="003233CA"/>
    <w:rsid w:val="003235BC"/>
    <w:rsid w:val="003236AD"/>
    <w:rsid w:val="0032390D"/>
    <w:rsid w:val="0032399C"/>
    <w:rsid w:val="0032410A"/>
    <w:rsid w:val="0032458D"/>
    <w:rsid w:val="00324CE7"/>
    <w:rsid w:val="00324DAB"/>
    <w:rsid w:val="00324F7E"/>
    <w:rsid w:val="0032521A"/>
    <w:rsid w:val="003253A4"/>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300BD"/>
    <w:rsid w:val="003300D0"/>
    <w:rsid w:val="00330187"/>
    <w:rsid w:val="00330339"/>
    <w:rsid w:val="003303B4"/>
    <w:rsid w:val="003306BB"/>
    <w:rsid w:val="0033115A"/>
    <w:rsid w:val="00331619"/>
    <w:rsid w:val="00331787"/>
    <w:rsid w:val="00331C77"/>
    <w:rsid w:val="00331DB6"/>
    <w:rsid w:val="00331EDE"/>
    <w:rsid w:val="00331F96"/>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8F"/>
    <w:rsid w:val="0035437B"/>
    <w:rsid w:val="0035443D"/>
    <w:rsid w:val="0035456F"/>
    <w:rsid w:val="00354AA2"/>
    <w:rsid w:val="00354FEE"/>
    <w:rsid w:val="00356275"/>
    <w:rsid w:val="003564B1"/>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7D"/>
    <w:rsid w:val="003664BF"/>
    <w:rsid w:val="003664E3"/>
    <w:rsid w:val="003665DD"/>
    <w:rsid w:val="00366C1B"/>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96A"/>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99B"/>
    <w:rsid w:val="003A10C3"/>
    <w:rsid w:val="003A11C1"/>
    <w:rsid w:val="003A1648"/>
    <w:rsid w:val="003A1DAB"/>
    <w:rsid w:val="003A22CD"/>
    <w:rsid w:val="003A2606"/>
    <w:rsid w:val="003A2785"/>
    <w:rsid w:val="003A28F8"/>
    <w:rsid w:val="003A2BDD"/>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7EC"/>
    <w:rsid w:val="003C1A18"/>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669D"/>
    <w:rsid w:val="003C6877"/>
    <w:rsid w:val="003C695A"/>
    <w:rsid w:val="003C7062"/>
    <w:rsid w:val="003C7287"/>
    <w:rsid w:val="003C7461"/>
    <w:rsid w:val="003C761F"/>
    <w:rsid w:val="003C7741"/>
    <w:rsid w:val="003C7A56"/>
    <w:rsid w:val="003D051D"/>
    <w:rsid w:val="003D05DA"/>
    <w:rsid w:val="003D0650"/>
    <w:rsid w:val="003D0788"/>
    <w:rsid w:val="003D0DB4"/>
    <w:rsid w:val="003D0E44"/>
    <w:rsid w:val="003D0F00"/>
    <w:rsid w:val="003D132A"/>
    <w:rsid w:val="003D1517"/>
    <w:rsid w:val="003D1D50"/>
    <w:rsid w:val="003D2213"/>
    <w:rsid w:val="003D232D"/>
    <w:rsid w:val="003D24DD"/>
    <w:rsid w:val="003D25D8"/>
    <w:rsid w:val="003D25E2"/>
    <w:rsid w:val="003D286B"/>
    <w:rsid w:val="003D2938"/>
    <w:rsid w:val="003D2DE5"/>
    <w:rsid w:val="003D3345"/>
    <w:rsid w:val="003D33F9"/>
    <w:rsid w:val="003D397A"/>
    <w:rsid w:val="003D3EC2"/>
    <w:rsid w:val="003D3FBA"/>
    <w:rsid w:val="003D3FD8"/>
    <w:rsid w:val="003D402B"/>
    <w:rsid w:val="003D40E2"/>
    <w:rsid w:val="003D42CB"/>
    <w:rsid w:val="003D46F4"/>
    <w:rsid w:val="003D54B0"/>
    <w:rsid w:val="003D5500"/>
    <w:rsid w:val="003D5566"/>
    <w:rsid w:val="003D5611"/>
    <w:rsid w:val="003D56DF"/>
    <w:rsid w:val="003D57C7"/>
    <w:rsid w:val="003D5C6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DF3"/>
    <w:rsid w:val="003E1017"/>
    <w:rsid w:val="003E1086"/>
    <w:rsid w:val="003E13E0"/>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257"/>
    <w:rsid w:val="003F4360"/>
    <w:rsid w:val="003F456B"/>
    <w:rsid w:val="003F489A"/>
    <w:rsid w:val="003F49B5"/>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1F6"/>
    <w:rsid w:val="004023BA"/>
    <w:rsid w:val="00402C83"/>
    <w:rsid w:val="00402FC2"/>
    <w:rsid w:val="00403171"/>
    <w:rsid w:val="004031DC"/>
    <w:rsid w:val="0040341C"/>
    <w:rsid w:val="004039A7"/>
    <w:rsid w:val="00403B7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668"/>
    <w:rsid w:val="0041069A"/>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FC7"/>
    <w:rsid w:val="0043116B"/>
    <w:rsid w:val="004311BE"/>
    <w:rsid w:val="004313D1"/>
    <w:rsid w:val="004313FC"/>
    <w:rsid w:val="00431502"/>
    <w:rsid w:val="0043162F"/>
    <w:rsid w:val="0043197C"/>
    <w:rsid w:val="00431DF2"/>
    <w:rsid w:val="00432110"/>
    <w:rsid w:val="00432143"/>
    <w:rsid w:val="004323EC"/>
    <w:rsid w:val="004325F3"/>
    <w:rsid w:val="004328EE"/>
    <w:rsid w:val="004329E1"/>
    <w:rsid w:val="00433309"/>
    <w:rsid w:val="0043360F"/>
    <w:rsid w:val="004336DE"/>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1210"/>
    <w:rsid w:val="004613C9"/>
    <w:rsid w:val="00461700"/>
    <w:rsid w:val="00461848"/>
    <w:rsid w:val="00461A4B"/>
    <w:rsid w:val="00461AAC"/>
    <w:rsid w:val="00461EB7"/>
    <w:rsid w:val="00461F6D"/>
    <w:rsid w:val="004621FD"/>
    <w:rsid w:val="00462221"/>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840"/>
    <w:rsid w:val="00466A0F"/>
    <w:rsid w:val="004672A2"/>
    <w:rsid w:val="00467407"/>
    <w:rsid w:val="004676A2"/>
    <w:rsid w:val="004677C4"/>
    <w:rsid w:val="004678AA"/>
    <w:rsid w:val="0046795B"/>
    <w:rsid w:val="00467F54"/>
    <w:rsid w:val="0047054D"/>
    <w:rsid w:val="004705F6"/>
    <w:rsid w:val="00470765"/>
    <w:rsid w:val="00470868"/>
    <w:rsid w:val="004708C0"/>
    <w:rsid w:val="004708F4"/>
    <w:rsid w:val="00470C0B"/>
    <w:rsid w:val="00470CB4"/>
    <w:rsid w:val="0047115F"/>
    <w:rsid w:val="004715CB"/>
    <w:rsid w:val="00471863"/>
    <w:rsid w:val="004723D2"/>
    <w:rsid w:val="00472727"/>
    <w:rsid w:val="00472790"/>
    <w:rsid w:val="0047286A"/>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B0AB3"/>
    <w:rsid w:val="004B14C4"/>
    <w:rsid w:val="004B165F"/>
    <w:rsid w:val="004B181E"/>
    <w:rsid w:val="004B1C55"/>
    <w:rsid w:val="004B23AD"/>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455"/>
    <w:rsid w:val="004B74FF"/>
    <w:rsid w:val="004B7CE4"/>
    <w:rsid w:val="004B7FB2"/>
    <w:rsid w:val="004C0366"/>
    <w:rsid w:val="004C0401"/>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C31"/>
    <w:rsid w:val="004D2629"/>
    <w:rsid w:val="004D26B8"/>
    <w:rsid w:val="004D2C2C"/>
    <w:rsid w:val="004D2F13"/>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D6"/>
    <w:rsid w:val="005030C2"/>
    <w:rsid w:val="0050318B"/>
    <w:rsid w:val="00503496"/>
    <w:rsid w:val="005036B1"/>
    <w:rsid w:val="00503746"/>
    <w:rsid w:val="00503A63"/>
    <w:rsid w:val="00503CF2"/>
    <w:rsid w:val="00503DC5"/>
    <w:rsid w:val="0050423B"/>
    <w:rsid w:val="0050430E"/>
    <w:rsid w:val="00504311"/>
    <w:rsid w:val="0050485C"/>
    <w:rsid w:val="005048CD"/>
    <w:rsid w:val="00504A64"/>
    <w:rsid w:val="00504AC6"/>
    <w:rsid w:val="00504D75"/>
    <w:rsid w:val="00504FC7"/>
    <w:rsid w:val="0050510F"/>
    <w:rsid w:val="00505160"/>
    <w:rsid w:val="0050527A"/>
    <w:rsid w:val="00505C10"/>
    <w:rsid w:val="00505C68"/>
    <w:rsid w:val="00505CC5"/>
    <w:rsid w:val="00505D51"/>
    <w:rsid w:val="00506198"/>
    <w:rsid w:val="0050667B"/>
    <w:rsid w:val="00506D8C"/>
    <w:rsid w:val="00506DB6"/>
    <w:rsid w:val="00507639"/>
    <w:rsid w:val="0050774A"/>
    <w:rsid w:val="00507D46"/>
    <w:rsid w:val="00507DD3"/>
    <w:rsid w:val="00507F12"/>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7D"/>
    <w:rsid w:val="005155CD"/>
    <w:rsid w:val="005155FE"/>
    <w:rsid w:val="00515A72"/>
    <w:rsid w:val="0051619B"/>
    <w:rsid w:val="00516241"/>
    <w:rsid w:val="0051630A"/>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6CC"/>
    <w:rsid w:val="00522950"/>
    <w:rsid w:val="00522BD8"/>
    <w:rsid w:val="00522BDA"/>
    <w:rsid w:val="00523417"/>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331"/>
    <w:rsid w:val="00533A42"/>
    <w:rsid w:val="00533B93"/>
    <w:rsid w:val="00533D17"/>
    <w:rsid w:val="00533E7C"/>
    <w:rsid w:val="005340C9"/>
    <w:rsid w:val="00534197"/>
    <w:rsid w:val="00534999"/>
    <w:rsid w:val="00534BF4"/>
    <w:rsid w:val="00534EDC"/>
    <w:rsid w:val="0053525C"/>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0D9E"/>
    <w:rsid w:val="005411A2"/>
    <w:rsid w:val="005413E3"/>
    <w:rsid w:val="00541956"/>
    <w:rsid w:val="0054195A"/>
    <w:rsid w:val="00541C6B"/>
    <w:rsid w:val="00541E1F"/>
    <w:rsid w:val="005420DE"/>
    <w:rsid w:val="00542185"/>
    <w:rsid w:val="00542249"/>
    <w:rsid w:val="0054255D"/>
    <w:rsid w:val="00542A00"/>
    <w:rsid w:val="00542D2A"/>
    <w:rsid w:val="00542FAA"/>
    <w:rsid w:val="005431F5"/>
    <w:rsid w:val="00543707"/>
    <w:rsid w:val="005439D2"/>
    <w:rsid w:val="00543EBB"/>
    <w:rsid w:val="00544213"/>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D81"/>
    <w:rsid w:val="005701D1"/>
    <w:rsid w:val="005703E8"/>
    <w:rsid w:val="0057074A"/>
    <w:rsid w:val="005708AC"/>
    <w:rsid w:val="00570A57"/>
    <w:rsid w:val="00570B48"/>
    <w:rsid w:val="00570D9F"/>
    <w:rsid w:val="0057100F"/>
    <w:rsid w:val="00571248"/>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D9F"/>
    <w:rsid w:val="00577350"/>
    <w:rsid w:val="005773C4"/>
    <w:rsid w:val="00577656"/>
    <w:rsid w:val="00577835"/>
    <w:rsid w:val="0057783C"/>
    <w:rsid w:val="00577D97"/>
    <w:rsid w:val="00577DFC"/>
    <w:rsid w:val="00580519"/>
    <w:rsid w:val="0058059F"/>
    <w:rsid w:val="00580793"/>
    <w:rsid w:val="005808B6"/>
    <w:rsid w:val="00580A1C"/>
    <w:rsid w:val="00580AD8"/>
    <w:rsid w:val="00580CAB"/>
    <w:rsid w:val="00580CF4"/>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2026"/>
    <w:rsid w:val="00592331"/>
    <w:rsid w:val="005924EC"/>
    <w:rsid w:val="005925B8"/>
    <w:rsid w:val="00592906"/>
    <w:rsid w:val="005929DA"/>
    <w:rsid w:val="00592CDA"/>
    <w:rsid w:val="0059331A"/>
    <w:rsid w:val="00593A72"/>
    <w:rsid w:val="00593DAF"/>
    <w:rsid w:val="00594330"/>
    <w:rsid w:val="00594344"/>
    <w:rsid w:val="005946ED"/>
    <w:rsid w:val="00594722"/>
    <w:rsid w:val="00594C54"/>
    <w:rsid w:val="00594C7F"/>
    <w:rsid w:val="00595479"/>
    <w:rsid w:val="00595837"/>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5F5"/>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2E3"/>
    <w:rsid w:val="005A7FA9"/>
    <w:rsid w:val="005B0F3D"/>
    <w:rsid w:val="005B151E"/>
    <w:rsid w:val="005B15D1"/>
    <w:rsid w:val="005B1E64"/>
    <w:rsid w:val="005B2796"/>
    <w:rsid w:val="005B28E9"/>
    <w:rsid w:val="005B3105"/>
    <w:rsid w:val="005B3359"/>
    <w:rsid w:val="005B36F8"/>
    <w:rsid w:val="005B388F"/>
    <w:rsid w:val="005B3C6D"/>
    <w:rsid w:val="005B3CEB"/>
    <w:rsid w:val="005B4045"/>
    <w:rsid w:val="005B4175"/>
    <w:rsid w:val="005B4977"/>
    <w:rsid w:val="005B4D46"/>
    <w:rsid w:val="005B4F0F"/>
    <w:rsid w:val="005B5168"/>
    <w:rsid w:val="005B535E"/>
    <w:rsid w:val="005B59E2"/>
    <w:rsid w:val="005B5CBB"/>
    <w:rsid w:val="005B609E"/>
    <w:rsid w:val="005B60D3"/>
    <w:rsid w:val="005B620A"/>
    <w:rsid w:val="005B6658"/>
    <w:rsid w:val="005B6BB5"/>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4302"/>
    <w:rsid w:val="005D4C88"/>
    <w:rsid w:val="005D5086"/>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E1B"/>
    <w:rsid w:val="005F0108"/>
    <w:rsid w:val="005F0291"/>
    <w:rsid w:val="005F06BE"/>
    <w:rsid w:val="005F07AA"/>
    <w:rsid w:val="005F0C4F"/>
    <w:rsid w:val="005F0DA0"/>
    <w:rsid w:val="005F0ECC"/>
    <w:rsid w:val="005F1705"/>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1030"/>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152A"/>
    <w:rsid w:val="00621566"/>
    <w:rsid w:val="00621753"/>
    <w:rsid w:val="00622322"/>
    <w:rsid w:val="006223BF"/>
    <w:rsid w:val="006225AD"/>
    <w:rsid w:val="006226E8"/>
    <w:rsid w:val="00622DCF"/>
    <w:rsid w:val="00623125"/>
    <w:rsid w:val="0062343A"/>
    <w:rsid w:val="006234D7"/>
    <w:rsid w:val="00623583"/>
    <w:rsid w:val="00623A5F"/>
    <w:rsid w:val="00623BB1"/>
    <w:rsid w:val="00624343"/>
    <w:rsid w:val="006244C0"/>
    <w:rsid w:val="0062462F"/>
    <w:rsid w:val="00624718"/>
    <w:rsid w:val="0062473A"/>
    <w:rsid w:val="0062489F"/>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6305"/>
    <w:rsid w:val="0064633D"/>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79"/>
    <w:rsid w:val="0065736B"/>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2012"/>
    <w:rsid w:val="00662134"/>
    <w:rsid w:val="006624B2"/>
    <w:rsid w:val="00662543"/>
    <w:rsid w:val="0066254A"/>
    <w:rsid w:val="006626D0"/>
    <w:rsid w:val="006627BB"/>
    <w:rsid w:val="006628E9"/>
    <w:rsid w:val="00662CE3"/>
    <w:rsid w:val="00662D88"/>
    <w:rsid w:val="006636F3"/>
    <w:rsid w:val="006638CB"/>
    <w:rsid w:val="006641F4"/>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474"/>
    <w:rsid w:val="006A564B"/>
    <w:rsid w:val="006A66CE"/>
    <w:rsid w:val="006A6AA5"/>
    <w:rsid w:val="006A6C09"/>
    <w:rsid w:val="006A7BEA"/>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D50"/>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2197"/>
    <w:rsid w:val="006C25DD"/>
    <w:rsid w:val="006C2753"/>
    <w:rsid w:val="006C276E"/>
    <w:rsid w:val="006C2AA1"/>
    <w:rsid w:val="006C2C78"/>
    <w:rsid w:val="006C2E85"/>
    <w:rsid w:val="006C2F0E"/>
    <w:rsid w:val="006C33F5"/>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325"/>
    <w:rsid w:val="006C7430"/>
    <w:rsid w:val="006C752A"/>
    <w:rsid w:val="006C7926"/>
    <w:rsid w:val="006C7D0F"/>
    <w:rsid w:val="006C7E6D"/>
    <w:rsid w:val="006D0826"/>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697"/>
    <w:rsid w:val="006D5754"/>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7CC"/>
    <w:rsid w:val="006E083F"/>
    <w:rsid w:val="006E093E"/>
    <w:rsid w:val="006E094A"/>
    <w:rsid w:val="006E12B1"/>
    <w:rsid w:val="006E12B4"/>
    <w:rsid w:val="006E13D1"/>
    <w:rsid w:val="006E1675"/>
    <w:rsid w:val="006E1CCF"/>
    <w:rsid w:val="006E1ED3"/>
    <w:rsid w:val="006E20BC"/>
    <w:rsid w:val="006E21B8"/>
    <w:rsid w:val="006E27D4"/>
    <w:rsid w:val="006E3803"/>
    <w:rsid w:val="006E3931"/>
    <w:rsid w:val="006E40CF"/>
    <w:rsid w:val="006E428C"/>
    <w:rsid w:val="006E4399"/>
    <w:rsid w:val="006E45CC"/>
    <w:rsid w:val="006E47BC"/>
    <w:rsid w:val="006E48DD"/>
    <w:rsid w:val="006E49AF"/>
    <w:rsid w:val="006E4AF4"/>
    <w:rsid w:val="006E4D0C"/>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B0D"/>
    <w:rsid w:val="0070624B"/>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D4A"/>
    <w:rsid w:val="007165B1"/>
    <w:rsid w:val="00716AA6"/>
    <w:rsid w:val="00716FDF"/>
    <w:rsid w:val="0071705B"/>
    <w:rsid w:val="00717B78"/>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D26"/>
    <w:rsid w:val="00726437"/>
    <w:rsid w:val="007265F2"/>
    <w:rsid w:val="00726878"/>
    <w:rsid w:val="00726890"/>
    <w:rsid w:val="00726CA5"/>
    <w:rsid w:val="0072724B"/>
    <w:rsid w:val="007275B9"/>
    <w:rsid w:val="00727763"/>
    <w:rsid w:val="007304F6"/>
    <w:rsid w:val="00730687"/>
    <w:rsid w:val="00730828"/>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941"/>
    <w:rsid w:val="007510E2"/>
    <w:rsid w:val="00751A0B"/>
    <w:rsid w:val="0075204B"/>
    <w:rsid w:val="0075208F"/>
    <w:rsid w:val="0075251B"/>
    <w:rsid w:val="00752B03"/>
    <w:rsid w:val="00752FF3"/>
    <w:rsid w:val="00753176"/>
    <w:rsid w:val="00753338"/>
    <w:rsid w:val="00753454"/>
    <w:rsid w:val="00753678"/>
    <w:rsid w:val="00753834"/>
    <w:rsid w:val="0075389B"/>
    <w:rsid w:val="00753BB5"/>
    <w:rsid w:val="007544F1"/>
    <w:rsid w:val="00754C29"/>
    <w:rsid w:val="00754FBF"/>
    <w:rsid w:val="007552FD"/>
    <w:rsid w:val="00755438"/>
    <w:rsid w:val="007554D3"/>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3E"/>
    <w:rsid w:val="00773C78"/>
    <w:rsid w:val="00773DF9"/>
    <w:rsid w:val="00774358"/>
    <w:rsid w:val="0077437D"/>
    <w:rsid w:val="00774634"/>
    <w:rsid w:val="007748CC"/>
    <w:rsid w:val="00774979"/>
    <w:rsid w:val="00774BF2"/>
    <w:rsid w:val="0077500F"/>
    <w:rsid w:val="00775053"/>
    <w:rsid w:val="0077548E"/>
    <w:rsid w:val="00775AD4"/>
    <w:rsid w:val="0077631F"/>
    <w:rsid w:val="00776947"/>
    <w:rsid w:val="00776BEB"/>
    <w:rsid w:val="00776E7B"/>
    <w:rsid w:val="00777315"/>
    <w:rsid w:val="007773D2"/>
    <w:rsid w:val="0077791E"/>
    <w:rsid w:val="00777E71"/>
    <w:rsid w:val="00780079"/>
    <w:rsid w:val="007802E4"/>
    <w:rsid w:val="007803B0"/>
    <w:rsid w:val="007803D0"/>
    <w:rsid w:val="00780754"/>
    <w:rsid w:val="007807C3"/>
    <w:rsid w:val="00780809"/>
    <w:rsid w:val="007808A8"/>
    <w:rsid w:val="00780919"/>
    <w:rsid w:val="00780958"/>
    <w:rsid w:val="00780AAF"/>
    <w:rsid w:val="007811AB"/>
    <w:rsid w:val="007813E4"/>
    <w:rsid w:val="00781589"/>
    <w:rsid w:val="00781882"/>
    <w:rsid w:val="00781D26"/>
    <w:rsid w:val="007820D0"/>
    <w:rsid w:val="0078210D"/>
    <w:rsid w:val="007826C8"/>
    <w:rsid w:val="0078297A"/>
    <w:rsid w:val="007829D8"/>
    <w:rsid w:val="00782B00"/>
    <w:rsid w:val="00782BC4"/>
    <w:rsid w:val="00782D76"/>
    <w:rsid w:val="00783142"/>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602"/>
    <w:rsid w:val="00787798"/>
    <w:rsid w:val="0079018D"/>
    <w:rsid w:val="007901DC"/>
    <w:rsid w:val="007908CA"/>
    <w:rsid w:val="007918DB"/>
    <w:rsid w:val="00791A00"/>
    <w:rsid w:val="00791C96"/>
    <w:rsid w:val="00791D1E"/>
    <w:rsid w:val="00791DDB"/>
    <w:rsid w:val="00791E85"/>
    <w:rsid w:val="007921E1"/>
    <w:rsid w:val="0079220A"/>
    <w:rsid w:val="00792A47"/>
    <w:rsid w:val="00792B7C"/>
    <w:rsid w:val="00792CEE"/>
    <w:rsid w:val="00792D75"/>
    <w:rsid w:val="0079300D"/>
    <w:rsid w:val="0079343D"/>
    <w:rsid w:val="007936A8"/>
    <w:rsid w:val="00793D9F"/>
    <w:rsid w:val="00794012"/>
    <w:rsid w:val="0079424F"/>
    <w:rsid w:val="007944FE"/>
    <w:rsid w:val="0079458B"/>
    <w:rsid w:val="00794B66"/>
    <w:rsid w:val="00794FB2"/>
    <w:rsid w:val="007953DB"/>
    <w:rsid w:val="00795429"/>
    <w:rsid w:val="00795803"/>
    <w:rsid w:val="00795D18"/>
    <w:rsid w:val="007962B4"/>
    <w:rsid w:val="0079634B"/>
    <w:rsid w:val="00796424"/>
    <w:rsid w:val="00796B31"/>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581"/>
    <w:rsid w:val="007A6263"/>
    <w:rsid w:val="007A6425"/>
    <w:rsid w:val="007A6CFD"/>
    <w:rsid w:val="007A6D02"/>
    <w:rsid w:val="007A6D26"/>
    <w:rsid w:val="007A72EE"/>
    <w:rsid w:val="007A7508"/>
    <w:rsid w:val="007A75CC"/>
    <w:rsid w:val="007A786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A04"/>
    <w:rsid w:val="007B4B7E"/>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D2"/>
    <w:rsid w:val="007C12BE"/>
    <w:rsid w:val="007C13C0"/>
    <w:rsid w:val="007C16AD"/>
    <w:rsid w:val="007C1E77"/>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D0148"/>
    <w:rsid w:val="007D051C"/>
    <w:rsid w:val="007D05B2"/>
    <w:rsid w:val="007D05FA"/>
    <w:rsid w:val="007D0706"/>
    <w:rsid w:val="007D087F"/>
    <w:rsid w:val="007D0968"/>
    <w:rsid w:val="007D0C44"/>
    <w:rsid w:val="007D1413"/>
    <w:rsid w:val="007D1600"/>
    <w:rsid w:val="007D1972"/>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D1B"/>
    <w:rsid w:val="007D6E09"/>
    <w:rsid w:val="007D6F64"/>
    <w:rsid w:val="007D713D"/>
    <w:rsid w:val="007D71AD"/>
    <w:rsid w:val="007D72A6"/>
    <w:rsid w:val="007D77A9"/>
    <w:rsid w:val="007D79DC"/>
    <w:rsid w:val="007E082A"/>
    <w:rsid w:val="007E0C69"/>
    <w:rsid w:val="007E10A7"/>
    <w:rsid w:val="007E1179"/>
    <w:rsid w:val="007E158C"/>
    <w:rsid w:val="007E1782"/>
    <w:rsid w:val="007E1899"/>
    <w:rsid w:val="007E1DBF"/>
    <w:rsid w:val="007E1EE4"/>
    <w:rsid w:val="007E201E"/>
    <w:rsid w:val="007E20B8"/>
    <w:rsid w:val="007E23F2"/>
    <w:rsid w:val="007E25AB"/>
    <w:rsid w:val="007E2AEE"/>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2035"/>
    <w:rsid w:val="00802148"/>
    <w:rsid w:val="0080263A"/>
    <w:rsid w:val="0080268D"/>
    <w:rsid w:val="00803051"/>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67D"/>
    <w:rsid w:val="0080785F"/>
    <w:rsid w:val="008079A8"/>
    <w:rsid w:val="00807BBE"/>
    <w:rsid w:val="008100AC"/>
    <w:rsid w:val="0081055F"/>
    <w:rsid w:val="00810793"/>
    <w:rsid w:val="008109F7"/>
    <w:rsid w:val="00810C05"/>
    <w:rsid w:val="00810DA2"/>
    <w:rsid w:val="0081151E"/>
    <w:rsid w:val="0081153A"/>
    <w:rsid w:val="00811680"/>
    <w:rsid w:val="00811A5F"/>
    <w:rsid w:val="008121A9"/>
    <w:rsid w:val="00812498"/>
    <w:rsid w:val="008127E6"/>
    <w:rsid w:val="008129B3"/>
    <w:rsid w:val="00812C35"/>
    <w:rsid w:val="00812E90"/>
    <w:rsid w:val="00813309"/>
    <w:rsid w:val="0081336E"/>
    <w:rsid w:val="00813928"/>
    <w:rsid w:val="00813963"/>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F0A"/>
    <w:rsid w:val="00834328"/>
    <w:rsid w:val="00834358"/>
    <w:rsid w:val="008346BD"/>
    <w:rsid w:val="00834923"/>
    <w:rsid w:val="00834A61"/>
    <w:rsid w:val="00834D42"/>
    <w:rsid w:val="00834F11"/>
    <w:rsid w:val="008359EB"/>
    <w:rsid w:val="00835CBC"/>
    <w:rsid w:val="00835CE1"/>
    <w:rsid w:val="00835CF1"/>
    <w:rsid w:val="00835D45"/>
    <w:rsid w:val="00835DBB"/>
    <w:rsid w:val="00836148"/>
    <w:rsid w:val="008364BE"/>
    <w:rsid w:val="00836B7A"/>
    <w:rsid w:val="008376A4"/>
    <w:rsid w:val="00837B07"/>
    <w:rsid w:val="00837B90"/>
    <w:rsid w:val="00837CC5"/>
    <w:rsid w:val="008404B5"/>
    <w:rsid w:val="008404DE"/>
    <w:rsid w:val="00840883"/>
    <w:rsid w:val="008409AA"/>
    <w:rsid w:val="00840D6A"/>
    <w:rsid w:val="00840DA6"/>
    <w:rsid w:val="00840FB8"/>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13D"/>
    <w:rsid w:val="00870E6A"/>
    <w:rsid w:val="00870FC8"/>
    <w:rsid w:val="008715C8"/>
    <w:rsid w:val="00871940"/>
    <w:rsid w:val="00871BD4"/>
    <w:rsid w:val="00871F9D"/>
    <w:rsid w:val="00872259"/>
    <w:rsid w:val="0087235E"/>
    <w:rsid w:val="00872E21"/>
    <w:rsid w:val="008738D0"/>
    <w:rsid w:val="008739B8"/>
    <w:rsid w:val="00873DDC"/>
    <w:rsid w:val="00873E43"/>
    <w:rsid w:val="00874009"/>
    <w:rsid w:val="00874158"/>
    <w:rsid w:val="008741A2"/>
    <w:rsid w:val="008741E3"/>
    <w:rsid w:val="008743BB"/>
    <w:rsid w:val="008743D7"/>
    <w:rsid w:val="008743F3"/>
    <w:rsid w:val="0087444A"/>
    <w:rsid w:val="008746F4"/>
    <w:rsid w:val="008747CF"/>
    <w:rsid w:val="00875139"/>
    <w:rsid w:val="00875410"/>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71"/>
    <w:rsid w:val="00885A5E"/>
    <w:rsid w:val="00885D76"/>
    <w:rsid w:val="00886185"/>
    <w:rsid w:val="008861D9"/>
    <w:rsid w:val="0088638C"/>
    <w:rsid w:val="008864DD"/>
    <w:rsid w:val="00886961"/>
    <w:rsid w:val="008869C3"/>
    <w:rsid w:val="00886CD1"/>
    <w:rsid w:val="00886EDF"/>
    <w:rsid w:val="008870A9"/>
    <w:rsid w:val="00887254"/>
    <w:rsid w:val="008872B3"/>
    <w:rsid w:val="00890087"/>
    <w:rsid w:val="008908E5"/>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496E"/>
    <w:rsid w:val="008A4B16"/>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C7D"/>
    <w:rsid w:val="008B0C88"/>
    <w:rsid w:val="008B1019"/>
    <w:rsid w:val="008B13E9"/>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21D"/>
    <w:rsid w:val="008C7506"/>
    <w:rsid w:val="008C774B"/>
    <w:rsid w:val="008C7D17"/>
    <w:rsid w:val="008C7D26"/>
    <w:rsid w:val="008C7D87"/>
    <w:rsid w:val="008CDBB2"/>
    <w:rsid w:val="008D08B7"/>
    <w:rsid w:val="008D09AA"/>
    <w:rsid w:val="008D11AD"/>
    <w:rsid w:val="008D1202"/>
    <w:rsid w:val="008D125E"/>
    <w:rsid w:val="008D144E"/>
    <w:rsid w:val="008D167D"/>
    <w:rsid w:val="008D1E32"/>
    <w:rsid w:val="008D1F12"/>
    <w:rsid w:val="008D1FA9"/>
    <w:rsid w:val="008D2104"/>
    <w:rsid w:val="008D21CD"/>
    <w:rsid w:val="008D23B2"/>
    <w:rsid w:val="008D2595"/>
    <w:rsid w:val="008D25EC"/>
    <w:rsid w:val="008D26B6"/>
    <w:rsid w:val="008D2F9A"/>
    <w:rsid w:val="008D3116"/>
    <w:rsid w:val="008D363C"/>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908"/>
    <w:rsid w:val="008F2A14"/>
    <w:rsid w:val="008F2B57"/>
    <w:rsid w:val="008F2BB6"/>
    <w:rsid w:val="008F2C0D"/>
    <w:rsid w:val="008F351E"/>
    <w:rsid w:val="008F364D"/>
    <w:rsid w:val="008F4214"/>
    <w:rsid w:val="008F4642"/>
    <w:rsid w:val="008F47C6"/>
    <w:rsid w:val="008F49EC"/>
    <w:rsid w:val="008F4A82"/>
    <w:rsid w:val="008F535A"/>
    <w:rsid w:val="008F548D"/>
    <w:rsid w:val="008F593F"/>
    <w:rsid w:val="008F6009"/>
    <w:rsid w:val="008F62AD"/>
    <w:rsid w:val="008F64A7"/>
    <w:rsid w:val="008F65E8"/>
    <w:rsid w:val="008F6647"/>
    <w:rsid w:val="008F6E4B"/>
    <w:rsid w:val="008F700E"/>
    <w:rsid w:val="008F704C"/>
    <w:rsid w:val="008F7144"/>
    <w:rsid w:val="008F73B9"/>
    <w:rsid w:val="008F789C"/>
    <w:rsid w:val="008F7A1A"/>
    <w:rsid w:val="008F7A34"/>
    <w:rsid w:val="008F7E95"/>
    <w:rsid w:val="00900240"/>
    <w:rsid w:val="00900343"/>
    <w:rsid w:val="009006A2"/>
    <w:rsid w:val="0090102B"/>
    <w:rsid w:val="0090126E"/>
    <w:rsid w:val="00901448"/>
    <w:rsid w:val="00901EF0"/>
    <w:rsid w:val="00901FFC"/>
    <w:rsid w:val="0090245F"/>
    <w:rsid w:val="00902558"/>
    <w:rsid w:val="00902C29"/>
    <w:rsid w:val="0090322F"/>
    <w:rsid w:val="0090337C"/>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504"/>
    <w:rsid w:val="00920726"/>
    <w:rsid w:val="00920AE0"/>
    <w:rsid w:val="00921255"/>
    <w:rsid w:val="00921286"/>
    <w:rsid w:val="009212CD"/>
    <w:rsid w:val="00921387"/>
    <w:rsid w:val="009213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5C4"/>
    <w:rsid w:val="00932665"/>
    <w:rsid w:val="00932798"/>
    <w:rsid w:val="00932B62"/>
    <w:rsid w:val="00932C23"/>
    <w:rsid w:val="00932E76"/>
    <w:rsid w:val="00932EFF"/>
    <w:rsid w:val="00933040"/>
    <w:rsid w:val="009330E9"/>
    <w:rsid w:val="00933330"/>
    <w:rsid w:val="009338FF"/>
    <w:rsid w:val="00933A0A"/>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DF9"/>
    <w:rsid w:val="0094209D"/>
    <w:rsid w:val="009421AD"/>
    <w:rsid w:val="009421E1"/>
    <w:rsid w:val="009421ED"/>
    <w:rsid w:val="0094221C"/>
    <w:rsid w:val="00942967"/>
    <w:rsid w:val="00942ACE"/>
    <w:rsid w:val="00942D9A"/>
    <w:rsid w:val="00943178"/>
    <w:rsid w:val="0094339F"/>
    <w:rsid w:val="009434DE"/>
    <w:rsid w:val="00943539"/>
    <w:rsid w:val="00943762"/>
    <w:rsid w:val="00943FDD"/>
    <w:rsid w:val="0094405A"/>
    <w:rsid w:val="0094409C"/>
    <w:rsid w:val="00944159"/>
    <w:rsid w:val="009449B2"/>
    <w:rsid w:val="00944A82"/>
    <w:rsid w:val="00944BA5"/>
    <w:rsid w:val="00944DDC"/>
    <w:rsid w:val="0094510C"/>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336"/>
    <w:rsid w:val="00960446"/>
    <w:rsid w:val="009607CE"/>
    <w:rsid w:val="00960816"/>
    <w:rsid w:val="00960BCB"/>
    <w:rsid w:val="00960DBF"/>
    <w:rsid w:val="009610ED"/>
    <w:rsid w:val="00961EE9"/>
    <w:rsid w:val="00961FCC"/>
    <w:rsid w:val="00962144"/>
    <w:rsid w:val="009623F7"/>
    <w:rsid w:val="009624AE"/>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35E"/>
    <w:rsid w:val="009675A9"/>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E66"/>
    <w:rsid w:val="00971F74"/>
    <w:rsid w:val="0097225C"/>
    <w:rsid w:val="00972467"/>
    <w:rsid w:val="00972589"/>
    <w:rsid w:val="009725ED"/>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E0F"/>
    <w:rsid w:val="00983081"/>
    <w:rsid w:val="00983109"/>
    <w:rsid w:val="009835E0"/>
    <w:rsid w:val="009839E0"/>
    <w:rsid w:val="00983AAF"/>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AFD"/>
    <w:rsid w:val="00985D80"/>
    <w:rsid w:val="00985EF3"/>
    <w:rsid w:val="00985EF7"/>
    <w:rsid w:val="00986093"/>
    <w:rsid w:val="00986146"/>
    <w:rsid w:val="00986343"/>
    <w:rsid w:val="0098639E"/>
    <w:rsid w:val="00986768"/>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498"/>
    <w:rsid w:val="00994A9A"/>
    <w:rsid w:val="00994D9D"/>
    <w:rsid w:val="0099513D"/>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3D4"/>
    <w:rsid w:val="009A7B9C"/>
    <w:rsid w:val="009A7BC2"/>
    <w:rsid w:val="009A7E0A"/>
    <w:rsid w:val="009B00B4"/>
    <w:rsid w:val="009B01F3"/>
    <w:rsid w:val="009B0408"/>
    <w:rsid w:val="009B0590"/>
    <w:rsid w:val="009B0843"/>
    <w:rsid w:val="009B0ABC"/>
    <w:rsid w:val="009B0BF6"/>
    <w:rsid w:val="009B0BFF"/>
    <w:rsid w:val="009B0DEE"/>
    <w:rsid w:val="009B10AA"/>
    <w:rsid w:val="009B1335"/>
    <w:rsid w:val="009B1747"/>
    <w:rsid w:val="009B176D"/>
    <w:rsid w:val="009B1CD7"/>
    <w:rsid w:val="009B1D42"/>
    <w:rsid w:val="009B1E47"/>
    <w:rsid w:val="009B200E"/>
    <w:rsid w:val="009B2332"/>
    <w:rsid w:val="009B2CED"/>
    <w:rsid w:val="009B3054"/>
    <w:rsid w:val="009B32B0"/>
    <w:rsid w:val="009B335D"/>
    <w:rsid w:val="009B37F6"/>
    <w:rsid w:val="009B3C90"/>
    <w:rsid w:val="009B4448"/>
    <w:rsid w:val="009B45B1"/>
    <w:rsid w:val="009B468B"/>
    <w:rsid w:val="009B4DA4"/>
    <w:rsid w:val="009B55CF"/>
    <w:rsid w:val="009B55E2"/>
    <w:rsid w:val="009B567E"/>
    <w:rsid w:val="009B5A3E"/>
    <w:rsid w:val="009B5A99"/>
    <w:rsid w:val="009B5B6D"/>
    <w:rsid w:val="009B6A8B"/>
    <w:rsid w:val="009B6DD8"/>
    <w:rsid w:val="009B76E3"/>
    <w:rsid w:val="009B76F9"/>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84F"/>
    <w:rsid w:val="009E2DFC"/>
    <w:rsid w:val="009E2F7A"/>
    <w:rsid w:val="009E3061"/>
    <w:rsid w:val="009E33D7"/>
    <w:rsid w:val="009E342E"/>
    <w:rsid w:val="009E3812"/>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F0"/>
    <w:rsid w:val="009E76A2"/>
    <w:rsid w:val="009E77F0"/>
    <w:rsid w:val="009E7AED"/>
    <w:rsid w:val="009E7DFE"/>
    <w:rsid w:val="009E7E05"/>
    <w:rsid w:val="009E7F23"/>
    <w:rsid w:val="009F004D"/>
    <w:rsid w:val="009F019F"/>
    <w:rsid w:val="009F0768"/>
    <w:rsid w:val="009F089B"/>
    <w:rsid w:val="009F09DA"/>
    <w:rsid w:val="009F0A8C"/>
    <w:rsid w:val="009F0D0B"/>
    <w:rsid w:val="009F102A"/>
    <w:rsid w:val="009F143D"/>
    <w:rsid w:val="009F151C"/>
    <w:rsid w:val="009F16D8"/>
    <w:rsid w:val="009F179A"/>
    <w:rsid w:val="009F1E5F"/>
    <w:rsid w:val="009F230E"/>
    <w:rsid w:val="009F2950"/>
    <w:rsid w:val="009F2A19"/>
    <w:rsid w:val="009F30BD"/>
    <w:rsid w:val="009F343B"/>
    <w:rsid w:val="009F4165"/>
    <w:rsid w:val="009F41D3"/>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561"/>
    <w:rsid w:val="00A238BD"/>
    <w:rsid w:val="00A239B5"/>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F0"/>
    <w:rsid w:val="00A26746"/>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AC"/>
    <w:rsid w:val="00A415A4"/>
    <w:rsid w:val="00A4183F"/>
    <w:rsid w:val="00A41AB3"/>
    <w:rsid w:val="00A424F3"/>
    <w:rsid w:val="00A427F1"/>
    <w:rsid w:val="00A42A85"/>
    <w:rsid w:val="00A42CF3"/>
    <w:rsid w:val="00A42D07"/>
    <w:rsid w:val="00A42E9D"/>
    <w:rsid w:val="00A434CF"/>
    <w:rsid w:val="00A436B1"/>
    <w:rsid w:val="00A4383E"/>
    <w:rsid w:val="00A43F75"/>
    <w:rsid w:val="00A4434C"/>
    <w:rsid w:val="00A443C4"/>
    <w:rsid w:val="00A44413"/>
    <w:rsid w:val="00A445A4"/>
    <w:rsid w:val="00A446F3"/>
    <w:rsid w:val="00A448DA"/>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4278"/>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205E"/>
    <w:rsid w:val="00A7207B"/>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FE"/>
    <w:rsid w:val="00A82325"/>
    <w:rsid w:val="00A83EE7"/>
    <w:rsid w:val="00A84042"/>
    <w:rsid w:val="00A84080"/>
    <w:rsid w:val="00A84367"/>
    <w:rsid w:val="00A845D4"/>
    <w:rsid w:val="00A8498D"/>
    <w:rsid w:val="00A84F22"/>
    <w:rsid w:val="00A84F8B"/>
    <w:rsid w:val="00A852DD"/>
    <w:rsid w:val="00A8554F"/>
    <w:rsid w:val="00A85798"/>
    <w:rsid w:val="00A8609D"/>
    <w:rsid w:val="00A86115"/>
    <w:rsid w:val="00A8619A"/>
    <w:rsid w:val="00A86A18"/>
    <w:rsid w:val="00A86A75"/>
    <w:rsid w:val="00A86E18"/>
    <w:rsid w:val="00A86E9B"/>
    <w:rsid w:val="00A86EA7"/>
    <w:rsid w:val="00A86FD2"/>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637"/>
    <w:rsid w:val="00A938E6"/>
    <w:rsid w:val="00A93A52"/>
    <w:rsid w:val="00A93CCF"/>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A0B9E"/>
    <w:rsid w:val="00AA1087"/>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29F"/>
    <w:rsid w:val="00AC43B8"/>
    <w:rsid w:val="00AC4403"/>
    <w:rsid w:val="00AC44BF"/>
    <w:rsid w:val="00AC45CE"/>
    <w:rsid w:val="00AC46A4"/>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206C"/>
    <w:rsid w:val="00AD2144"/>
    <w:rsid w:val="00AD22BD"/>
    <w:rsid w:val="00AD2772"/>
    <w:rsid w:val="00AD278E"/>
    <w:rsid w:val="00AD2794"/>
    <w:rsid w:val="00AD2DC5"/>
    <w:rsid w:val="00AD3071"/>
    <w:rsid w:val="00AD32CA"/>
    <w:rsid w:val="00AD3302"/>
    <w:rsid w:val="00AD3455"/>
    <w:rsid w:val="00AD3CAD"/>
    <w:rsid w:val="00AD3D7E"/>
    <w:rsid w:val="00AD4021"/>
    <w:rsid w:val="00AD46CD"/>
    <w:rsid w:val="00AD4D72"/>
    <w:rsid w:val="00AD4E5C"/>
    <w:rsid w:val="00AD510D"/>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FCD"/>
    <w:rsid w:val="00AE03BD"/>
    <w:rsid w:val="00AE03CE"/>
    <w:rsid w:val="00AE0BA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DF3"/>
    <w:rsid w:val="00AE4E93"/>
    <w:rsid w:val="00AE4EF6"/>
    <w:rsid w:val="00AE5439"/>
    <w:rsid w:val="00AE561D"/>
    <w:rsid w:val="00AE575E"/>
    <w:rsid w:val="00AE57C0"/>
    <w:rsid w:val="00AE61B2"/>
    <w:rsid w:val="00AE62B0"/>
    <w:rsid w:val="00AE66E2"/>
    <w:rsid w:val="00AE6B80"/>
    <w:rsid w:val="00AE6DA6"/>
    <w:rsid w:val="00AE6DAC"/>
    <w:rsid w:val="00AE7876"/>
    <w:rsid w:val="00AE78D1"/>
    <w:rsid w:val="00AE7987"/>
    <w:rsid w:val="00AE7F27"/>
    <w:rsid w:val="00AE7F89"/>
    <w:rsid w:val="00AE7FBB"/>
    <w:rsid w:val="00AE7FC5"/>
    <w:rsid w:val="00AF036B"/>
    <w:rsid w:val="00AF039D"/>
    <w:rsid w:val="00AF0583"/>
    <w:rsid w:val="00AF0827"/>
    <w:rsid w:val="00AF093E"/>
    <w:rsid w:val="00AF094F"/>
    <w:rsid w:val="00AF0ABC"/>
    <w:rsid w:val="00AF1146"/>
    <w:rsid w:val="00AF13B2"/>
    <w:rsid w:val="00AF1578"/>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B6A"/>
    <w:rsid w:val="00AF5EC6"/>
    <w:rsid w:val="00AF64B2"/>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C3D"/>
    <w:rsid w:val="00B01D84"/>
    <w:rsid w:val="00B02799"/>
    <w:rsid w:val="00B0296E"/>
    <w:rsid w:val="00B02B2B"/>
    <w:rsid w:val="00B02C4C"/>
    <w:rsid w:val="00B0314D"/>
    <w:rsid w:val="00B032CA"/>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339"/>
    <w:rsid w:val="00B06636"/>
    <w:rsid w:val="00B0674D"/>
    <w:rsid w:val="00B06BF7"/>
    <w:rsid w:val="00B06DD9"/>
    <w:rsid w:val="00B07510"/>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D56"/>
    <w:rsid w:val="00B12E67"/>
    <w:rsid w:val="00B12F75"/>
    <w:rsid w:val="00B1302D"/>
    <w:rsid w:val="00B1304B"/>
    <w:rsid w:val="00B131BE"/>
    <w:rsid w:val="00B13519"/>
    <w:rsid w:val="00B14422"/>
    <w:rsid w:val="00B14975"/>
    <w:rsid w:val="00B14CA7"/>
    <w:rsid w:val="00B14F1C"/>
    <w:rsid w:val="00B14FDD"/>
    <w:rsid w:val="00B1513F"/>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23A"/>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F11"/>
    <w:rsid w:val="00B33FA4"/>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94F"/>
    <w:rsid w:val="00B46A75"/>
    <w:rsid w:val="00B46C29"/>
    <w:rsid w:val="00B46DD4"/>
    <w:rsid w:val="00B470A7"/>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742"/>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3BB"/>
    <w:rsid w:val="00BA4416"/>
    <w:rsid w:val="00BA4641"/>
    <w:rsid w:val="00BA49F6"/>
    <w:rsid w:val="00BA4A54"/>
    <w:rsid w:val="00BA4CF3"/>
    <w:rsid w:val="00BA509A"/>
    <w:rsid w:val="00BA525B"/>
    <w:rsid w:val="00BA5543"/>
    <w:rsid w:val="00BA5A78"/>
    <w:rsid w:val="00BA5ACB"/>
    <w:rsid w:val="00BA6543"/>
    <w:rsid w:val="00BA6702"/>
    <w:rsid w:val="00BA6853"/>
    <w:rsid w:val="00BA70BE"/>
    <w:rsid w:val="00BA7205"/>
    <w:rsid w:val="00BA76A9"/>
    <w:rsid w:val="00BA76FC"/>
    <w:rsid w:val="00BA7794"/>
    <w:rsid w:val="00BA7AE7"/>
    <w:rsid w:val="00BA7DB1"/>
    <w:rsid w:val="00BA7DF1"/>
    <w:rsid w:val="00BA7EF7"/>
    <w:rsid w:val="00BB0112"/>
    <w:rsid w:val="00BB037E"/>
    <w:rsid w:val="00BB0595"/>
    <w:rsid w:val="00BB0841"/>
    <w:rsid w:val="00BB0D76"/>
    <w:rsid w:val="00BB162B"/>
    <w:rsid w:val="00BB1AD4"/>
    <w:rsid w:val="00BB1E3E"/>
    <w:rsid w:val="00BB2722"/>
    <w:rsid w:val="00BB2D25"/>
    <w:rsid w:val="00BB2F36"/>
    <w:rsid w:val="00BB2F37"/>
    <w:rsid w:val="00BB308E"/>
    <w:rsid w:val="00BB35C0"/>
    <w:rsid w:val="00BB369B"/>
    <w:rsid w:val="00BB369F"/>
    <w:rsid w:val="00BB3E2B"/>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608A"/>
    <w:rsid w:val="00BD62B1"/>
    <w:rsid w:val="00BD673B"/>
    <w:rsid w:val="00BD679E"/>
    <w:rsid w:val="00BD6CD1"/>
    <w:rsid w:val="00BD711E"/>
    <w:rsid w:val="00BD7186"/>
    <w:rsid w:val="00BD723F"/>
    <w:rsid w:val="00BD73C3"/>
    <w:rsid w:val="00BD75B4"/>
    <w:rsid w:val="00BD7A56"/>
    <w:rsid w:val="00BD7BD5"/>
    <w:rsid w:val="00BD7C35"/>
    <w:rsid w:val="00BD7D14"/>
    <w:rsid w:val="00BD7D5C"/>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87D"/>
    <w:rsid w:val="00C10548"/>
    <w:rsid w:val="00C10E0B"/>
    <w:rsid w:val="00C10FD4"/>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589"/>
    <w:rsid w:val="00C238A7"/>
    <w:rsid w:val="00C23A50"/>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FAA"/>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318E"/>
    <w:rsid w:val="00C43388"/>
    <w:rsid w:val="00C43457"/>
    <w:rsid w:val="00C43991"/>
    <w:rsid w:val="00C43ECE"/>
    <w:rsid w:val="00C43FF0"/>
    <w:rsid w:val="00C44124"/>
    <w:rsid w:val="00C44641"/>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B8A"/>
    <w:rsid w:val="00C6528C"/>
    <w:rsid w:val="00C65A5A"/>
    <w:rsid w:val="00C65CCF"/>
    <w:rsid w:val="00C66062"/>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71C1"/>
    <w:rsid w:val="00C873AC"/>
    <w:rsid w:val="00C87408"/>
    <w:rsid w:val="00C874DF"/>
    <w:rsid w:val="00C87A88"/>
    <w:rsid w:val="00C87DA6"/>
    <w:rsid w:val="00C87F8F"/>
    <w:rsid w:val="00C900A4"/>
    <w:rsid w:val="00C900CA"/>
    <w:rsid w:val="00C902D9"/>
    <w:rsid w:val="00C905F1"/>
    <w:rsid w:val="00C90664"/>
    <w:rsid w:val="00C90718"/>
    <w:rsid w:val="00C90A5B"/>
    <w:rsid w:val="00C90B59"/>
    <w:rsid w:val="00C90DB5"/>
    <w:rsid w:val="00C915E6"/>
    <w:rsid w:val="00C91857"/>
    <w:rsid w:val="00C91876"/>
    <w:rsid w:val="00C9188C"/>
    <w:rsid w:val="00C918DF"/>
    <w:rsid w:val="00C91CA3"/>
    <w:rsid w:val="00C91DF8"/>
    <w:rsid w:val="00C92075"/>
    <w:rsid w:val="00C9213B"/>
    <w:rsid w:val="00C922A3"/>
    <w:rsid w:val="00C922BA"/>
    <w:rsid w:val="00C923DF"/>
    <w:rsid w:val="00C92FBB"/>
    <w:rsid w:val="00C93172"/>
    <w:rsid w:val="00C93462"/>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CD1"/>
    <w:rsid w:val="00CA3703"/>
    <w:rsid w:val="00CA391D"/>
    <w:rsid w:val="00CA3969"/>
    <w:rsid w:val="00CA3ACD"/>
    <w:rsid w:val="00CA3BEE"/>
    <w:rsid w:val="00CA44B6"/>
    <w:rsid w:val="00CA4540"/>
    <w:rsid w:val="00CA4806"/>
    <w:rsid w:val="00CA489D"/>
    <w:rsid w:val="00CA4F8B"/>
    <w:rsid w:val="00CA527F"/>
    <w:rsid w:val="00CA5283"/>
    <w:rsid w:val="00CA5445"/>
    <w:rsid w:val="00CA5A8B"/>
    <w:rsid w:val="00CA5DE1"/>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60F2"/>
    <w:rsid w:val="00CB678F"/>
    <w:rsid w:val="00CB6795"/>
    <w:rsid w:val="00CB6A5B"/>
    <w:rsid w:val="00CB71F8"/>
    <w:rsid w:val="00CB730B"/>
    <w:rsid w:val="00CB7325"/>
    <w:rsid w:val="00CB7666"/>
    <w:rsid w:val="00CB769E"/>
    <w:rsid w:val="00CB7DFB"/>
    <w:rsid w:val="00CB7EB2"/>
    <w:rsid w:val="00CC051B"/>
    <w:rsid w:val="00CC0DD0"/>
    <w:rsid w:val="00CC147C"/>
    <w:rsid w:val="00CC1721"/>
    <w:rsid w:val="00CC180A"/>
    <w:rsid w:val="00CC1B30"/>
    <w:rsid w:val="00CC1D33"/>
    <w:rsid w:val="00CC1F2A"/>
    <w:rsid w:val="00CC214C"/>
    <w:rsid w:val="00CC269C"/>
    <w:rsid w:val="00CC26DB"/>
    <w:rsid w:val="00CC2B14"/>
    <w:rsid w:val="00CC300C"/>
    <w:rsid w:val="00CC34A6"/>
    <w:rsid w:val="00CC3501"/>
    <w:rsid w:val="00CC35AE"/>
    <w:rsid w:val="00CC3784"/>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F7C"/>
    <w:rsid w:val="00CE51EF"/>
    <w:rsid w:val="00CE5682"/>
    <w:rsid w:val="00CE59F3"/>
    <w:rsid w:val="00CE5C4C"/>
    <w:rsid w:val="00CE6DF9"/>
    <w:rsid w:val="00CE6F0F"/>
    <w:rsid w:val="00CE7725"/>
    <w:rsid w:val="00CE78D1"/>
    <w:rsid w:val="00CE7B6F"/>
    <w:rsid w:val="00CF002F"/>
    <w:rsid w:val="00CF0246"/>
    <w:rsid w:val="00CF039C"/>
    <w:rsid w:val="00CF0828"/>
    <w:rsid w:val="00CF0B04"/>
    <w:rsid w:val="00CF1365"/>
    <w:rsid w:val="00CF1561"/>
    <w:rsid w:val="00CF2086"/>
    <w:rsid w:val="00CF2483"/>
    <w:rsid w:val="00CF24E2"/>
    <w:rsid w:val="00CF2647"/>
    <w:rsid w:val="00CF3193"/>
    <w:rsid w:val="00CF393D"/>
    <w:rsid w:val="00CF3981"/>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6C6"/>
    <w:rsid w:val="00D01D13"/>
    <w:rsid w:val="00D01EAD"/>
    <w:rsid w:val="00D02400"/>
    <w:rsid w:val="00D0266D"/>
    <w:rsid w:val="00D0276B"/>
    <w:rsid w:val="00D0340B"/>
    <w:rsid w:val="00D0343D"/>
    <w:rsid w:val="00D035B9"/>
    <w:rsid w:val="00D03715"/>
    <w:rsid w:val="00D0384F"/>
    <w:rsid w:val="00D040B7"/>
    <w:rsid w:val="00D05485"/>
    <w:rsid w:val="00D055A7"/>
    <w:rsid w:val="00D0569B"/>
    <w:rsid w:val="00D059D7"/>
    <w:rsid w:val="00D05A30"/>
    <w:rsid w:val="00D060FF"/>
    <w:rsid w:val="00D064E8"/>
    <w:rsid w:val="00D06546"/>
    <w:rsid w:val="00D06572"/>
    <w:rsid w:val="00D065CD"/>
    <w:rsid w:val="00D067B8"/>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4089"/>
    <w:rsid w:val="00D14487"/>
    <w:rsid w:val="00D147A9"/>
    <w:rsid w:val="00D1486A"/>
    <w:rsid w:val="00D14CF8"/>
    <w:rsid w:val="00D14D63"/>
    <w:rsid w:val="00D151E9"/>
    <w:rsid w:val="00D157B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36B1"/>
    <w:rsid w:val="00D242DA"/>
    <w:rsid w:val="00D24456"/>
    <w:rsid w:val="00D247A0"/>
    <w:rsid w:val="00D247EC"/>
    <w:rsid w:val="00D24EC1"/>
    <w:rsid w:val="00D2508A"/>
    <w:rsid w:val="00D26071"/>
    <w:rsid w:val="00D26183"/>
    <w:rsid w:val="00D26262"/>
    <w:rsid w:val="00D26448"/>
    <w:rsid w:val="00D264CE"/>
    <w:rsid w:val="00D26670"/>
    <w:rsid w:val="00D2670E"/>
    <w:rsid w:val="00D26816"/>
    <w:rsid w:val="00D26817"/>
    <w:rsid w:val="00D26910"/>
    <w:rsid w:val="00D26C26"/>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1CB"/>
    <w:rsid w:val="00D3232B"/>
    <w:rsid w:val="00D32342"/>
    <w:rsid w:val="00D3239F"/>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5193"/>
    <w:rsid w:val="00D45BCC"/>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57E84"/>
    <w:rsid w:val="00D600BE"/>
    <w:rsid w:val="00D60275"/>
    <w:rsid w:val="00D605A7"/>
    <w:rsid w:val="00D606A8"/>
    <w:rsid w:val="00D6120B"/>
    <w:rsid w:val="00D617F4"/>
    <w:rsid w:val="00D61815"/>
    <w:rsid w:val="00D61938"/>
    <w:rsid w:val="00D61F2F"/>
    <w:rsid w:val="00D61F45"/>
    <w:rsid w:val="00D62596"/>
    <w:rsid w:val="00D62719"/>
    <w:rsid w:val="00D627E3"/>
    <w:rsid w:val="00D62BE4"/>
    <w:rsid w:val="00D62ECD"/>
    <w:rsid w:val="00D6362B"/>
    <w:rsid w:val="00D6373B"/>
    <w:rsid w:val="00D63AEC"/>
    <w:rsid w:val="00D63DB8"/>
    <w:rsid w:val="00D64426"/>
    <w:rsid w:val="00D64456"/>
    <w:rsid w:val="00D64475"/>
    <w:rsid w:val="00D64732"/>
    <w:rsid w:val="00D64830"/>
    <w:rsid w:val="00D64BA0"/>
    <w:rsid w:val="00D64CF8"/>
    <w:rsid w:val="00D65259"/>
    <w:rsid w:val="00D652E2"/>
    <w:rsid w:val="00D658F4"/>
    <w:rsid w:val="00D65BE7"/>
    <w:rsid w:val="00D65D17"/>
    <w:rsid w:val="00D65D78"/>
    <w:rsid w:val="00D65E1A"/>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10CE"/>
    <w:rsid w:val="00D8130B"/>
    <w:rsid w:val="00D814F4"/>
    <w:rsid w:val="00D81A8A"/>
    <w:rsid w:val="00D81ADC"/>
    <w:rsid w:val="00D81BD1"/>
    <w:rsid w:val="00D81F10"/>
    <w:rsid w:val="00D8214C"/>
    <w:rsid w:val="00D82647"/>
    <w:rsid w:val="00D82686"/>
    <w:rsid w:val="00D826D6"/>
    <w:rsid w:val="00D82798"/>
    <w:rsid w:val="00D82907"/>
    <w:rsid w:val="00D82BF2"/>
    <w:rsid w:val="00D82D4A"/>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C8"/>
    <w:rsid w:val="00D85B4D"/>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922"/>
    <w:rsid w:val="00D90B6E"/>
    <w:rsid w:val="00D90E23"/>
    <w:rsid w:val="00D91F7C"/>
    <w:rsid w:val="00D922C1"/>
    <w:rsid w:val="00D922F0"/>
    <w:rsid w:val="00D92770"/>
    <w:rsid w:val="00D930E1"/>
    <w:rsid w:val="00D9346D"/>
    <w:rsid w:val="00D9354D"/>
    <w:rsid w:val="00D937D1"/>
    <w:rsid w:val="00D93A1B"/>
    <w:rsid w:val="00D93C04"/>
    <w:rsid w:val="00D93FAD"/>
    <w:rsid w:val="00D9415C"/>
    <w:rsid w:val="00D942CC"/>
    <w:rsid w:val="00D944E4"/>
    <w:rsid w:val="00D947DE"/>
    <w:rsid w:val="00D94D87"/>
    <w:rsid w:val="00D95011"/>
    <w:rsid w:val="00D950A5"/>
    <w:rsid w:val="00D955AA"/>
    <w:rsid w:val="00D95858"/>
    <w:rsid w:val="00D95B31"/>
    <w:rsid w:val="00D95D27"/>
    <w:rsid w:val="00D95DCC"/>
    <w:rsid w:val="00D95F89"/>
    <w:rsid w:val="00D96098"/>
    <w:rsid w:val="00D961C6"/>
    <w:rsid w:val="00D962BE"/>
    <w:rsid w:val="00D962DC"/>
    <w:rsid w:val="00D966B0"/>
    <w:rsid w:val="00D96B43"/>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D93"/>
    <w:rsid w:val="00DA2F19"/>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C0331"/>
    <w:rsid w:val="00DC043D"/>
    <w:rsid w:val="00DC0A95"/>
    <w:rsid w:val="00DC0BB8"/>
    <w:rsid w:val="00DC0FA4"/>
    <w:rsid w:val="00DC148A"/>
    <w:rsid w:val="00DC1890"/>
    <w:rsid w:val="00DC1938"/>
    <w:rsid w:val="00DC1A3D"/>
    <w:rsid w:val="00DC1AD7"/>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75E"/>
    <w:rsid w:val="00DC7859"/>
    <w:rsid w:val="00DC7951"/>
    <w:rsid w:val="00DC7980"/>
    <w:rsid w:val="00DD03AC"/>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D7BB6"/>
    <w:rsid w:val="00DE0032"/>
    <w:rsid w:val="00DE0D60"/>
    <w:rsid w:val="00DE0D61"/>
    <w:rsid w:val="00DE17EC"/>
    <w:rsid w:val="00DE18A3"/>
    <w:rsid w:val="00DE1904"/>
    <w:rsid w:val="00DE1931"/>
    <w:rsid w:val="00DE1DAA"/>
    <w:rsid w:val="00DE1E38"/>
    <w:rsid w:val="00DE20CB"/>
    <w:rsid w:val="00DE23F7"/>
    <w:rsid w:val="00DE2470"/>
    <w:rsid w:val="00DE26F7"/>
    <w:rsid w:val="00DE2B90"/>
    <w:rsid w:val="00DE2D32"/>
    <w:rsid w:val="00DE3944"/>
    <w:rsid w:val="00DE3B0D"/>
    <w:rsid w:val="00DE3BDD"/>
    <w:rsid w:val="00DE3C54"/>
    <w:rsid w:val="00DE3DBB"/>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32E"/>
    <w:rsid w:val="00DF5331"/>
    <w:rsid w:val="00DF5755"/>
    <w:rsid w:val="00DF59F4"/>
    <w:rsid w:val="00DF5A74"/>
    <w:rsid w:val="00DF61B8"/>
    <w:rsid w:val="00DF64A1"/>
    <w:rsid w:val="00DF6924"/>
    <w:rsid w:val="00DF6E46"/>
    <w:rsid w:val="00DF73C1"/>
    <w:rsid w:val="00DF7511"/>
    <w:rsid w:val="00DF772E"/>
    <w:rsid w:val="00DF775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E62"/>
    <w:rsid w:val="00E0417B"/>
    <w:rsid w:val="00E0472E"/>
    <w:rsid w:val="00E047A4"/>
    <w:rsid w:val="00E04CA6"/>
    <w:rsid w:val="00E04FA4"/>
    <w:rsid w:val="00E052B6"/>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240"/>
    <w:rsid w:val="00E142CA"/>
    <w:rsid w:val="00E14665"/>
    <w:rsid w:val="00E14F42"/>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C3E"/>
    <w:rsid w:val="00E22D87"/>
    <w:rsid w:val="00E2314D"/>
    <w:rsid w:val="00E23306"/>
    <w:rsid w:val="00E239D1"/>
    <w:rsid w:val="00E2455D"/>
    <w:rsid w:val="00E246B9"/>
    <w:rsid w:val="00E24817"/>
    <w:rsid w:val="00E24E03"/>
    <w:rsid w:val="00E250C5"/>
    <w:rsid w:val="00E2565B"/>
    <w:rsid w:val="00E257E3"/>
    <w:rsid w:val="00E25CCB"/>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9AF"/>
    <w:rsid w:val="00E44128"/>
    <w:rsid w:val="00E4412D"/>
    <w:rsid w:val="00E4471D"/>
    <w:rsid w:val="00E44906"/>
    <w:rsid w:val="00E44961"/>
    <w:rsid w:val="00E449AA"/>
    <w:rsid w:val="00E449FC"/>
    <w:rsid w:val="00E44CBE"/>
    <w:rsid w:val="00E44D68"/>
    <w:rsid w:val="00E453A3"/>
    <w:rsid w:val="00E4583D"/>
    <w:rsid w:val="00E45C77"/>
    <w:rsid w:val="00E45FF8"/>
    <w:rsid w:val="00E4608B"/>
    <w:rsid w:val="00E46245"/>
    <w:rsid w:val="00E462FD"/>
    <w:rsid w:val="00E46BE7"/>
    <w:rsid w:val="00E46D7F"/>
    <w:rsid w:val="00E46DED"/>
    <w:rsid w:val="00E46E16"/>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9EF"/>
    <w:rsid w:val="00E66CD8"/>
    <w:rsid w:val="00E66E5D"/>
    <w:rsid w:val="00E6702F"/>
    <w:rsid w:val="00E6727C"/>
    <w:rsid w:val="00E6727F"/>
    <w:rsid w:val="00E67802"/>
    <w:rsid w:val="00E67B75"/>
    <w:rsid w:val="00E67EE5"/>
    <w:rsid w:val="00E67F4A"/>
    <w:rsid w:val="00E7013A"/>
    <w:rsid w:val="00E70D24"/>
    <w:rsid w:val="00E70FAE"/>
    <w:rsid w:val="00E71176"/>
    <w:rsid w:val="00E711A5"/>
    <w:rsid w:val="00E713CD"/>
    <w:rsid w:val="00E71B37"/>
    <w:rsid w:val="00E72622"/>
    <w:rsid w:val="00E728CD"/>
    <w:rsid w:val="00E72C6B"/>
    <w:rsid w:val="00E72ED4"/>
    <w:rsid w:val="00E72F36"/>
    <w:rsid w:val="00E72F40"/>
    <w:rsid w:val="00E73282"/>
    <w:rsid w:val="00E732DC"/>
    <w:rsid w:val="00E732E7"/>
    <w:rsid w:val="00E73522"/>
    <w:rsid w:val="00E7366D"/>
    <w:rsid w:val="00E73AB7"/>
    <w:rsid w:val="00E742A8"/>
    <w:rsid w:val="00E74890"/>
    <w:rsid w:val="00E749F5"/>
    <w:rsid w:val="00E74EBD"/>
    <w:rsid w:val="00E74F5D"/>
    <w:rsid w:val="00E755B4"/>
    <w:rsid w:val="00E7585F"/>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A8"/>
    <w:rsid w:val="00EC141D"/>
    <w:rsid w:val="00EC1453"/>
    <w:rsid w:val="00EC14B0"/>
    <w:rsid w:val="00EC156D"/>
    <w:rsid w:val="00EC1647"/>
    <w:rsid w:val="00EC1F05"/>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6063"/>
    <w:rsid w:val="00ED61DF"/>
    <w:rsid w:val="00ED6B3F"/>
    <w:rsid w:val="00ED6D4A"/>
    <w:rsid w:val="00ED6DCC"/>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4180"/>
    <w:rsid w:val="00EE41C4"/>
    <w:rsid w:val="00EE4240"/>
    <w:rsid w:val="00EE437F"/>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368"/>
    <w:rsid w:val="00EF1BA5"/>
    <w:rsid w:val="00EF1FCB"/>
    <w:rsid w:val="00EF21C3"/>
    <w:rsid w:val="00EF24BE"/>
    <w:rsid w:val="00EF25AF"/>
    <w:rsid w:val="00EF27F0"/>
    <w:rsid w:val="00EF2C14"/>
    <w:rsid w:val="00EF2C74"/>
    <w:rsid w:val="00EF2E6B"/>
    <w:rsid w:val="00EF3021"/>
    <w:rsid w:val="00EF31D3"/>
    <w:rsid w:val="00EF32CF"/>
    <w:rsid w:val="00EF3A8A"/>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720"/>
    <w:rsid w:val="00F05759"/>
    <w:rsid w:val="00F057D7"/>
    <w:rsid w:val="00F05D73"/>
    <w:rsid w:val="00F0600F"/>
    <w:rsid w:val="00F064EC"/>
    <w:rsid w:val="00F0676F"/>
    <w:rsid w:val="00F06B44"/>
    <w:rsid w:val="00F06CAB"/>
    <w:rsid w:val="00F06D2A"/>
    <w:rsid w:val="00F0718E"/>
    <w:rsid w:val="00F079C8"/>
    <w:rsid w:val="00F07F39"/>
    <w:rsid w:val="00F1093A"/>
    <w:rsid w:val="00F10BAA"/>
    <w:rsid w:val="00F10CB9"/>
    <w:rsid w:val="00F10E41"/>
    <w:rsid w:val="00F10F1C"/>
    <w:rsid w:val="00F110CD"/>
    <w:rsid w:val="00F110D5"/>
    <w:rsid w:val="00F11C80"/>
    <w:rsid w:val="00F12351"/>
    <w:rsid w:val="00F12525"/>
    <w:rsid w:val="00F1287F"/>
    <w:rsid w:val="00F12932"/>
    <w:rsid w:val="00F12A5D"/>
    <w:rsid w:val="00F12B3B"/>
    <w:rsid w:val="00F131E2"/>
    <w:rsid w:val="00F13489"/>
    <w:rsid w:val="00F13E9B"/>
    <w:rsid w:val="00F14602"/>
    <w:rsid w:val="00F14F41"/>
    <w:rsid w:val="00F15188"/>
    <w:rsid w:val="00F15193"/>
    <w:rsid w:val="00F15226"/>
    <w:rsid w:val="00F15648"/>
    <w:rsid w:val="00F1564E"/>
    <w:rsid w:val="00F15954"/>
    <w:rsid w:val="00F15E4B"/>
    <w:rsid w:val="00F16306"/>
    <w:rsid w:val="00F16532"/>
    <w:rsid w:val="00F16739"/>
    <w:rsid w:val="00F169F5"/>
    <w:rsid w:val="00F16DE2"/>
    <w:rsid w:val="00F1734E"/>
    <w:rsid w:val="00F17719"/>
    <w:rsid w:val="00F1785A"/>
    <w:rsid w:val="00F178CF"/>
    <w:rsid w:val="00F17C12"/>
    <w:rsid w:val="00F17CDB"/>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59B6"/>
    <w:rsid w:val="00F25F8E"/>
    <w:rsid w:val="00F263FE"/>
    <w:rsid w:val="00F264CB"/>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E9B"/>
    <w:rsid w:val="00F42F17"/>
    <w:rsid w:val="00F43111"/>
    <w:rsid w:val="00F4333E"/>
    <w:rsid w:val="00F433AB"/>
    <w:rsid w:val="00F434B2"/>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A2"/>
    <w:rsid w:val="00F5597B"/>
    <w:rsid w:val="00F55A6C"/>
    <w:rsid w:val="00F55ADF"/>
    <w:rsid w:val="00F55E94"/>
    <w:rsid w:val="00F560FE"/>
    <w:rsid w:val="00F562B0"/>
    <w:rsid w:val="00F562FF"/>
    <w:rsid w:val="00F5742A"/>
    <w:rsid w:val="00F57517"/>
    <w:rsid w:val="00F5788C"/>
    <w:rsid w:val="00F578E5"/>
    <w:rsid w:val="00F57A4B"/>
    <w:rsid w:val="00F57BEA"/>
    <w:rsid w:val="00F57E63"/>
    <w:rsid w:val="00F602F6"/>
    <w:rsid w:val="00F60430"/>
    <w:rsid w:val="00F60B3E"/>
    <w:rsid w:val="00F60C3D"/>
    <w:rsid w:val="00F60CD6"/>
    <w:rsid w:val="00F610FC"/>
    <w:rsid w:val="00F6111C"/>
    <w:rsid w:val="00F614C0"/>
    <w:rsid w:val="00F615EE"/>
    <w:rsid w:val="00F61647"/>
    <w:rsid w:val="00F617A8"/>
    <w:rsid w:val="00F61D01"/>
    <w:rsid w:val="00F623A6"/>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65CB"/>
    <w:rsid w:val="00F6681B"/>
    <w:rsid w:val="00F6698B"/>
    <w:rsid w:val="00F66A00"/>
    <w:rsid w:val="00F66CFB"/>
    <w:rsid w:val="00F66F56"/>
    <w:rsid w:val="00F679EF"/>
    <w:rsid w:val="00F67A05"/>
    <w:rsid w:val="00F67CCE"/>
    <w:rsid w:val="00F67DCA"/>
    <w:rsid w:val="00F68238"/>
    <w:rsid w:val="00F700F8"/>
    <w:rsid w:val="00F7021E"/>
    <w:rsid w:val="00F70614"/>
    <w:rsid w:val="00F7091A"/>
    <w:rsid w:val="00F70C73"/>
    <w:rsid w:val="00F713A3"/>
    <w:rsid w:val="00F713F6"/>
    <w:rsid w:val="00F717DE"/>
    <w:rsid w:val="00F718BA"/>
    <w:rsid w:val="00F71A40"/>
    <w:rsid w:val="00F71A8F"/>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E3"/>
    <w:rsid w:val="00F82362"/>
    <w:rsid w:val="00F82699"/>
    <w:rsid w:val="00F82866"/>
    <w:rsid w:val="00F82D3E"/>
    <w:rsid w:val="00F82D6D"/>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FC7"/>
    <w:rsid w:val="00F87FEC"/>
    <w:rsid w:val="00F90142"/>
    <w:rsid w:val="00F90220"/>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27C2"/>
    <w:rsid w:val="00FA2AD3"/>
    <w:rsid w:val="00FA2C35"/>
    <w:rsid w:val="00FA3056"/>
    <w:rsid w:val="00FA31E7"/>
    <w:rsid w:val="00FA3386"/>
    <w:rsid w:val="00FA3448"/>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22C"/>
    <w:rsid w:val="00FB0442"/>
    <w:rsid w:val="00FB04FD"/>
    <w:rsid w:val="00FB052D"/>
    <w:rsid w:val="00FB056B"/>
    <w:rsid w:val="00FB0E31"/>
    <w:rsid w:val="00FB14B1"/>
    <w:rsid w:val="00FB1A57"/>
    <w:rsid w:val="00FB1C2B"/>
    <w:rsid w:val="00FB1DF8"/>
    <w:rsid w:val="00FB22D7"/>
    <w:rsid w:val="00FB2379"/>
    <w:rsid w:val="00FB2949"/>
    <w:rsid w:val="00FB2B40"/>
    <w:rsid w:val="00FB2E3D"/>
    <w:rsid w:val="00FB2E3F"/>
    <w:rsid w:val="00FB30AC"/>
    <w:rsid w:val="00FB336B"/>
    <w:rsid w:val="00FB33CF"/>
    <w:rsid w:val="00FB3668"/>
    <w:rsid w:val="00FB3672"/>
    <w:rsid w:val="00FB36B1"/>
    <w:rsid w:val="00FB3CB7"/>
    <w:rsid w:val="00FB4B8A"/>
    <w:rsid w:val="00FB4C9C"/>
    <w:rsid w:val="00FB4D0D"/>
    <w:rsid w:val="00FB4D1E"/>
    <w:rsid w:val="00FB4EF8"/>
    <w:rsid w:val="00FB4F1B"/>
    <w:rsid w:val="00FB50FA"/>
    <w:rsid w:val="00FB5152"/>
    <w:rsid w:val="00FB5D29"/>
    <w:rsid w:val="00FB5D7B"/>
    <w:rsid w:val="00FB5F8F"/>
    <w:rsid w:val="00FB67C6"/>
    <w:rsid w:val="00FB680E"/>
    <w:rsid w:val="00FB687B"/>
    <w:rsid w:val="00FB6B73"/>
    <w:rsid w:val="00FB6B81"/>
    <w:rsid w:val="00FB6C55"/>
    <w:rsid w:val="00FB7009"/>
    <w:rsid w:val="00FB799E"/>
    <w:rsid w:val="00FB7A0B"/>
    <w:rsid w:val="00FC0065"/>
    <w:rsid w:val="00FC0171"/>
    <w:rsid w:val="00FC0312"/>
    <w:rsid w:val="00FC062F"/>
    <w:rsid w:val="00FC0664"/>
    <w:rsid w:val="00FC0754"/>
    <w:rsid w:val="00FC10E0"/>
    <w:rsid w:val="00FC119F"/>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60CC"/>
    <w:rsid w:val="00FD6309"/>
    <w:rsid w:val="00FD6564"/>
    <w:rsid w:val="00FD6635"/>
    <w:rsid w:val="00FD68ED"/>
    <w:rsid w:val="00FD6AF6"/>
    <w:rsid w:val="00FD6B74"/>
    <w:rsid w:val="00FD70AE"/>
    <w:rsid w:val="00FD7617"/>
    <w:rsid w:val="00FE002E"/>
    <w:rsid w:val="00FE025C"/>
    <w:rsid w:val="00FE0272"/>
    <w:rsid w:val="00FE0AF4"/>
    <w:rsid w:val="00FE1293"/>
    <w:rsid w:val="00FE168F"/>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D2C"/>
    <w:rsid w:val="00FE5D7A"/>
    <w:rsid w:val="00FE5FBF"/>
    <w:rsid w:val="00FE60FB"/>
    <w:rsid w:val="00FE6440"/>
    <w:rsid w:val="00FE655B"/>
    <w:rsid w:val="00FE6796"/>
    <w:rsid w:val="00FE6C25"/>
    <w:rsid w:val="00FE6E8F"/>
    <w:rsid w:val="00FE6FF5"/>
    <w:rsid w:val="00FE7310"/>
    <w:rsid w:val="00FE73FE"/>
    <w:rsid w:val="00FE75A0"/>
    <w:rsid w:val="00FE76F9"/>
    <w:rsid w:val="00FE77D3"/>
    <w:rsid w:val="00FE7A0C"/>
    <w:rsid w:val="00FE7E51"/>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B42"/>
    <w:rsid w:val="00FF2D5B"/>
    <w:rsid w:val="00FF3A4D"/>
    <w:rsid w:val="00FF3B7F"/>
    <w:rsid w:val="00FF449A"/>
    <w:rsid w:val="00FF49EE"/>
    <w:rsid w:val="00FF4F04"/>
    <w:rsid w:val="00FF4F92"/>
    <w:rsid w:val="00FF54EB"/>
    <w:rsid w:val="00FF5713"/>
    <w:rsid w:val="00FF57BA"/>
    <w:rsid w:val="00FF5AC2"/>
    <w:rsid w:val="00FF5C27"/>
    <w:rsid w:val="00FF5D95"/>
    <w:rsid w:val="00FF5FDD"/>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65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D06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650"/>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line="240" w:lineRule="auto"/>
    </w:pPr>
    <w:rPr>
      <w:rFonts w:ascii="Calibri" w:eastAsia="Calibri" w:hAnsi="Calibri" w:cs="Calibri"/>
      <w:lang w:eastAsia="en-US"/>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5AIRPNAIUNRU-1830940522-21774</_dlc_DocId>
    <_dlc_DocIdUrl xmlns="71c5aaf6-e6ce-465b-b873-5148d2a4c105">
      <Url>https://nokia.sharepoint.com/sites/c5g/5gradio/_layouts/15/DocIdRedir.aspx?ID=5AIRPNAIUNRU-1830940522-21774</Url>
      <Description>5AIRPNAIUNRU-1830940522-21774</Description>
    </_dlc_DocIdUrl>
  </documentManagement>
</p:properties>
</file>

<file path=customXml/itemProps1.xml><?xml version="1.0" encoding="utf-8"?>
<ds:datastoreItem xmlns:ds="http://schemas.openxmlformats.org/officeDocument/2006/customXml" ds:itemID="{6A381F18-8F18-4AC8-8A0E-413BDDA8B974}">
  <ds:schemaRefs>
    <ds:schemaRef ds:uri="Microsoft.SharePoint.Taxonomy.ContentTypeSync"/>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5.xml><?xml version="1.0" encoding="utf-8"?>
<ds:datastoreItem xmlns:ds="http://schemas.openxmlformats.org/officeDocument/2006/customXml" ds:itemID="{9508524A-1482-449F-AF96-1ED38DA0A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A04629-E56A-453F-88AA-B039248A98A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3384</Words>
  <Characters>19294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2023-08-11T17:27:00Z</dcterms:created>
  <dcterms:modified xsi:type="dcterms:W3CDTF">2023-08-11T17:27:00Z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e094a237-1907-4fc9-823f-6297de35e8cf</vt:lpwstr>
  </property>
</Properties>
</file>