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3</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2305684</w:t>
      </w:r>
    </w:p>
    <w:p>
      <w:pPr>
        <w:widowControl w:val="0"/>
        <w:tabs>
          <w:tab w:val="right" w:pos="10206"/>
        </w:tabs>
        <w:spacing w:afterAutospacing="0"/>
        <w:rPr>
          <w:rFonts w:hint="eastAsia" w:ascii="Arial" w:hAnsi="Arial" w:cs="Arial" w:eastAsiaTheme="minorEastAsia"/>
          <w:b/>
          <w:sz w:val="28"/>
          <w:szCs w:val="28"/>
          <w:lang w:val="en-US" w:eastAsia="zh-CN"/>
        </w:rPr>
      </w:pPr>
      <w:r>
        <w:rPr>
          <w:rFonts w:ascii="Arial" w:hAnsi="Arial" w:cs="Arial"/>
          <w:b/>
          <w:bCs/>
          <w:sz w:val="28"/>
          <w:szCs w:val="28"/>
        </w:rPr>
        <w:t>Incheon, Korea, May 22</w:t>
      </w:r>
      <w:r>
        <w:rPr>
          <w:rFonts w:hint="eastAsia" w:ascii="Arial" w:hAnsi="Arial" w:eastAsia="宋体" w:cs="Arial"/>
          <w:b/>
          <w:bCs/>
          <w:sz w:val="28"/>
          <w:szCs w:val="28"/>
          <w:vertAlign w:val="superscript"/>
          <w:lang w:val="en-US" w:eastAsia="zh-CN"/>
        </w:rPr>
        <w:t>nd</w:t>
      </w:r>
      <w:r>
        <w:rPr>
          <w:rFonts w:ascii="Arial" w:hAnsi="Arial" w:cs="Arial"/>
          <w:b/>
          <w:bCs/>
          <w:sz w:val="28"/>
          <w:szCs w:val="28"/>
        </w:rPr>
        <w:t xml:space="preserve"> – May 26</w:t>
      </w:r>
      <w:r>
        <w:rPr>
          <w:rFonts w:hint="eastAsia" w:ascii="Arial" w:hAnsi="Arial" w:eastAsia="宋体" w:cs="Arial"/>
          <w:b/>
          <w:bCs/>
          <w:sz w:val="28"/>
          <w:szCs w:val="28"/>
          <w:vertAlign w:val="superscript"/>
          <w:lang w:val="en-US" w:eastAsia="zh-CN"/>
        </w:rPr>
        <w:t>th</w:t>
      </w:r>
      <w:r>
        <w:rPr>
          <w:rFonts w:ascii="Arial" w:hAnsi="Arial" w:cs="Arial"/>
          <w:b/>
          <w:bCs/>
          <w:sz w:val="28"/>
          <w:szCs w:val="28"/>
        </w:rPr>
        <w:t>, 2023</w:t>
      </w:r>
    </w:p>
    <w:p>
      <w:pPr>
        <w:pStyle w:val="39"/>
        <w:tabs>
          <w:tab w:val="right" w:pos="10206"/>
        </w:tabs>
        <w:spacing w:afterAutospacing="0"/>
        <w:rPr>
          <w:rFonts w:cs="Arial" w:eastAsiaTheme="minorEastAsia"/>
          <w:sz w:val="28"/>
          <w:szCs w:val="28"/>
          <w:lang w:val="en-US" w:eastAsia="zh-CN"/>
        </w:rPr>
      </w:pPr>
      <w:bookmarkStart w:id="5" w:name="_GoBack"/>
      <w:bookmarkEnd w:id="5"/>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ascii="Arial" w:hAnsi="Arial" w:cs="Arial" w:eastAsiaTheme="minorEastAsia"/>
          <w:b/>
          <w:sz w:val="28"/>
          <w:szCs w:val="28"/>
          <w:lang w:eastAsia="zh-CN"/>
        </w:rPr>
        <w:t>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w:t>
      </w:r>
      <w:r>
        <w:rPr>
          <w:rFonts w:ascii="Arial" w:hAnsi="Arial" w:cs="Arial" w:eastAsiaTheme="minorEastAsia"/>
          <w:b/>
          <w:sz w:val="28"/>
          <w:szCs w:val="28"/>
          <w:lang w:eastAsia="zh-CN"/>
        </w:rPr>
        <w:t>1</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eastAsiaTheme="minorEastAsia"/>
          <w:lang w:eastAsia="zh-CN"/>
        </w:rPr>
        <w:t xml:space="preserve">A new work item on expanded and improved NR Positioning was approved in RAN#98-e meeting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where</w:t>
      </w:r>
      <w:r>
        <w:rPr>
          <w:rFonts w:hint="eastAsia" w:eastAsiaTheme="minorEastAsia"/>
          <w:lang w:eastAsia="zh-CN"/>
        </w:rPr>
        <w:t xml:space="preserve"> </w:t>
      </w:r>
      <w:r>
        <w:rPr>
          <w:rFonts w:eastAsiaTheme="minorEastAsia"/>
          <w:lang w:eastAsia="zh-CN"/>
        </w:rPr>
        <w:t xml:space="preserve">one of the detailed </w:t>
      </w:r>
      <w:r>
        <w:rPr>
          <w:rFonts w:hint="eastAsia" w:eastAsiaTheme="minorEastAsia"/>
          <w:lang w:eastAsia="zh-CN"/>
        </w:rPr>
        <w:t xml:space="preserve">objectives </w:t>
      </w:r>
      <w:r>
        <w:rPr>
          <w:rFonts w:eastAsiaTheme="minorEastAsia"/>
          <w:lang w:eastAsia="zh-CN"/>
        </w:rPr>
        <w:t>is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val="0"/>
              <w:numPr>
                <w:ilvl w:val="0"/>
                <w:numId w:val="15"/>
              </w:numPr>
              <w:suppressLineNumbers w:val="0"/>
              <w:snapToGrid/>
              <w:spacing w:before="0" w:beforeAutospacing="0" w:after="0" w:afterAutospacing="0" w:line="276" w:lineRule="auto"/>
              <w:ind w:right="0"/>
              <w:rPr>
                <w:rFonts w:hint="eastAsia" w:eastAsiaTheme="minorEastAsia"/>
                <w:sz w:val="21"/>
                <w:szCs w:val="20"/>
                <w:lang w:val="en-US" w:eastAsia="ko-KR"/>
              </w:rPr>
            </w:pPr>
            <w:r>
              <w:rPr>
                <w:rFonts w:hint="eastAsia"/>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Cs w:val="20"/>
                <w:lang w:eastAsia="ko-KR"/>
              </w:rPr>
              <w:t>Specify support for SL PRS bandwidths of up to 100 MHz in FR1 spectrum.</w:t>
            </w:r>
          </w:p>
          <w:p>
            <w:pPr>
              <w:keepNext w:val="0"/>
              <w:keepLines w:val="0"/>
              <w:widowControl w:val="0"/>
              <w:numPr>
                <w:ilvl w:val="1"/>
                <w:numId w:val="15"/>
              </w:numPr>
              <w:suppressLineNumbers w:val="0"/>
              <w:snapToGrid/>
              <w:spacing w:before="0" w:beforeAutospacing="0" w:after="0" w:afterAutospacing="0" w:line="276" w:lineRule="auto"/>
              <w:ind w:right="0"/>
              <w:rPr>
                <w:rFonts w:hint="eastAsia"/>
                <w:szCs w:val="20"/>
                <w:lang w:eastAsia="ko-KR"/>
              </w:rPr>
            </w:pPr>
            <w:r>
              <w:rPr>
                <w:rFonts w:hint="eastAsia"/>
                <w:szCs w:val="20"/>
                <w:lang w:eastAsia="ko-KR"/>
              </w:rPr>
              <w:t xml:space="preserve">NOTE: SL PRS transmission in FR2 is not precluded but no FR2 specific aspects will be specified. </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SL positioning reference signal</w:t>
      </w:r>
      <w:r>
        <w:rPr>
          <w:rFonts w:eastAsiaTheme="minorEastAsia"/>
          <w:lang w:eastAsia="zh-CN"/>
        </w:rPr>
        <w:t>.</w:t>
      </w:r>
    </w:p>
    <w:p>
      <w:pPr>
        <w:pStyle w:val="2"/>
        <w:spacing w:after="180"/>
      </w:pPr>
      <w:r>
        <w:t>Discussion</w:t>
      </w:r>
    </w:p>
    <w:p>
      <w:pPr>
        <w:pStyle w:val="3"/>
        <w:rPr>
          <w:rFonts w:eastAsiaTheme="minorEastAsia"/>
          <w:lang w:eastAsia="zh-CN"/>
        </w:rPr>
      </w:pPr>
      <w:r>
        <w:rPr>
          <w:rFonts w:eastAsiaTheme="minorEastAsia"/>
          <w:lang w:eastAsia="zh-CN"/>
        </w:rPr>
        <w:t>SL-PRS sequence design</w:t>
      </w:r>
    </w:p>
    <w:p>
      <w:pPr>
        <w:spacing w:before="100" w:beforeAutospacing="1"/>
        <w:rPr>
          <w:rFonts w:hint="default" w:eastAsia="宋体"/>
          <w:lang w:val="en-US" w:eastAsia="zh-CN"/>
        </w:rPr>
      </w:pPr>
      <w:r>
        <w:rPr>
          <w:rFonts w:hint="eastAsia" w:eastAsia="宋体"/>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b/>
                <w:iCs/>
                <w:szCs w:val="20"/>
              </w:rPr>
            </w:pPr>
            <w:r>
              <w:rPr>
                <w:rFonts w:hint="eastAsia"/>
                <w:b/>
                <w:iCs/>
                <w:szCs w:val="20"/>
                <w:highlight w:val="gree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contextualSpacing/>
              <w:textAlignment w:val="auto"/>
              <w:rPr>
                <w:rFonts w:hint="eastAsia" w:ascii="Times New Roman" w:hAnsi="Times New Roman" w:eastAsia="Calibri"/>
                <w:szCs w:val="20"/>
              </w:rPr>
            </w:pPr>
            <w:r>
              <w:rPr>
                <w:rFonts w:hint="eastAsia" w:ascii="Times New Roman" w:hAnsi="Times New Roman"/>
                <w:szCs w:val="20"/>
                <w:lang w:eastAsia="zh-CN"/>
              </w:rPr>
              <w:t>For SL PRS sequence generation, one of the following options is down-selected to define the</w:t>
            </w:r>
            <w:r>
              <w:rPr>
                <w:rFonts w:hint="eastAsia" w:ascii="Times New Roman" w:hAnsi="Times New Roman"/>
                <w:bCs/>
                <w:szCs w:val="20"/>
                <w:lang w:eastAsia="zh-CN"/>
              </w:rPr>
              <w:t xml:space="preserve"> parameter  </w:t>
            </w:r>
            <m:oMath>
              <m:sSubSup>
                <m:sSubSupPr>
                  <m:ctrlPr>
                    <w:rPr>
                      <w:rFonts w:hint="eastAsia" w:ascii="Cambria Math" w:hAnsi="Cambria Math" w:eastAsia="宋体"/>
                      <w:szCs w:val="20"/>
                    </w:rPr>
                  </m:ctrlPr>
                </m:sSubSupPr>
                <m:e>
                  <m:r>
                    <m:rPr/>
                    <w:rPr>
                      <w:rFonts w:hint="eastAsia" w:ascii="Cambria Math" w:hAnsi="Cambria Math" w:eastAsia="宋体"/>
                      <w:szCs w:val="20"/>
                    </w:rPr>
                    <m:t>n</m:t>
                  </m:r>
                  <m:ctrlPr>
                    <w:rPr>
                      <w:rFonts w:hint="eastAsia" w:ascii="Cambria Math" w:hAnsi="Cambria Math" w:eastAsia="宋体"/>
                      <w:szCs w:val="20"/>
                    </w:rPr>
                  </m:ctrlPr>
                </m:e>
                <m:sub>
                  <m:r>
                    <m:rPr>
                      <m:nor/>
                      <m:sty m:val="p"/>
                    </m:rPr>
                    <w:rPr>
                      <w:rFonts w:hint="eastAsia" w:ascii="Cambria Math" w:hAnsi="Cambria Math" w:eastAsia="宋体"/>
                      <w:b w:val="0"/>
                      <w:i w:val="0"/>
                      <w:szCs w:val="20"/>
                    </w:rPr>
                    <m:t>ID,seq</m:t>
                  </m:r>
                  <m:ctrlPr>
                    <w:rPr>
                      <w:rFonts w:hint="eastAsia" w:ascii="Cambria Math" w:hAnsi="Cambria Math" w:eastAsia="宋体"/>
                      <w:szCs w:val="20"/>
                    </w:rPr>
                  </m:ctrlPr>
                </m:sub>
                <m:sup>
                  <m:r>
                    <m:rPr>
                      <m:nor/>
                      <m:sty m:val="p"/>
                    </m:rPr>
                    <w:rPr>
                      <w:rFonts w:hint="eastAsia" w:ascii="Cambria Math" w:hAnsi="Cambria Math" w:eastAsia="宋体"/>
                      <w:b w:val="0"/>
                      <w:i w:val="0"/>
                      <w:szCs w:val="20"/>
                    </w:rPr>
                    <m:t>SL-PRS</m:t>
                  </m:r>
                  <m:ctrlPr>
                    <w:rPr>
                      <w:rFonts w:hint="eastAsia" w:ascii="Cambria Math" w:hAnsi="Cambria Math" w:eastAsia="宋体"/>
                      <w:szCs w:val="20"/>
                    </w:rPr>
                  </m:ctrlPr>
                </m:sup>
              </m:sSubSup>
            </m:oMath>
            <w:r>
              <w:rPr>
                <w:rFonts w:hint="eastAsia" w:ascii="Times New Roman" w:hAnsi="Times New Roman"/>
                <w:szCs w:val="20"/>
                <w:lang w:eastAsia="zh-CN"/>
              </w:rPr>
              <w:t>:</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Calibri"/>
                <w:iCs/>
                <w:szCs w:val="20"/>
              </w:rPr>
            </w:pPr>
            <w:r>
              <w:rPr>
                <w:rFonts w:hint="eastAsia" w:ascii="Times New Roman" w:hAnsi="Times New Roman" w:eastAsia="Calibri"/>
                <w:iCs/>
                <w:szCs w:val="20"/>
              </w:rPr>
              <w:t>Option 1:</w:t>
            </w:r>
            <m:oMath>
              <m:sSubSup>
                <m:sSubSupPr>
                  <m:ctrlPr>
                    <w:rPr>
                      <w:rFonts w:hint="eastAsia" w:ascii="Cambria Math" w:hAnsi="Cambria Math" w:eastAsia="宋体"/>
                      <w:szCs w:val="20"/>
                    </w:rPr>
                  </m:ctrlPr>
                </m:sSubSupPr>
                <m:e>
                  <m:r>
                    <m:rPr/>
                    <w:rPr>
                      <w:rFonts w:hint="eastAsia" w:ascii="Cambria Math" w:hAnsi="Cambria Math" w:eastAsia="宋体"/>
                      <w:szCs w:val="20"/>
                    </w:rPr>
                    <m:t>n</m:t>
                  </m:r>
                  <m:ctrlPr>
                    <w:rPr>
                      <w:rFonts w:hint="eastAsia" w:ascii="Cambria Math" w:hAnsi="Cambria Math" w:eastAsia="宋体"/>
                      <w:szCs w:val="20"/>
                    </w:rPr>
                  </m:ctrlPr>
                </m:e>
                <m:sub>
                  <m:r>
                    <m:rPr>
                      <m:nor/>
                      <m:sty m:val="p"/>
                    </m:rPr>
                    <w:rPr>
                      <w:rFonts w:hint="eastAsia" w:ascii="Cambria Math" w:hAnsi="Cambria Math" w:eastAsia="宋体"/>
                      <w:b w:val="0"/>
                      <w:i w:val="0"/>
                      <w:szCs w:val="20"/>
                    </w:rPr>
                    <m:t>ID,seq</m:t>
                  </m:r>
                  <m:ctrlPr>
                    <w:rPr>
                      <w:rFonts w:hint="eastAsia" w:ascii="Cambria Math" w:hAnsi="Cambria Math" w:eastAsia="宋体"/>
                      <w:szCs w:val="20"/>
                    </w:rPr>
                  </m:ctrlPr>
                </m:sub>
                <m:sup>
                  <m:r>
                    <m:rPr>
                      <m:nor/>
                      <m:sty m:val="p"/>
                    </m:rPr>
                    <w:rPr>
                      <w:rFonts w:hint="eastAsia" w:ascii="Cambria Math" w:hAnsi="Cambria Math" w:eastAsia="宋体"/>
                      <w:b w:val="0"/>
                      <w:i w:val="0"/>
                      <w:szCs w:val="20"/>
                    </w:rPr>
                    <m:t>SL-PRS</m:t>
                  </m:r>
                  <m:ctrlPr>
                    <w:rPr>
                      <w:rFonts w:hint="eastAsia" w:ascii="Cambria Math" w:hAnsi="Cambria Math" w:eastAsia="宋体"/>
                      <w:szCs w:val="20"/>
                    </w:rPr>
                  </m:ctrlPr>
                </m:sup>
              </m:sSubSup>
            </m:oMath>
            <w:r>
              <w:rPr>
                <w:rFonts w:hint="eastAsia" w:ascii="Times New Roman" w:hAnsi="Times New Roman" w:eastAsia="Calibri"/>
                <w:szCs w:val="20"/>
              </w:rPr>
              <w:t xml:space="preserve"> is </w:t>
            </w:r>
            <w:r>
              <w:rPr>
                <w:rFonts w:hint="eastAsia" w:ascii="Times New Roman" w:hAnsi="Times New Roman" w:eastAsia="Calibri"/>
                <w:bCs/>
                <w:iCs/>
                <w:szCs w:val="20"/>
              </w:rPr>
              <w:t>a higher layer parameter</w:t>
            </w:r>
            <w:r>
              <w:rPr>
                <w:rFonts w:hint="eastAsia" w:ascii="Times New Roman" w:hAnsi="Times New Roman" w:eastAsia="Calibri"/>
                <w:iCs/>
                <w:szCs w:val="20"/>
              </w:rPr>
              <w:t>.</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Calibri"/>
                <w:iCs/>
                <w:szCs w:val="20"/>
              </w:rPr>
            </w:pPr>
            <w:r>
              <w:rPr>
                <w:rFonts w:hint="eastAsia" w:ascii="Times New Roman" w:hAnsi="Times New Roman" w:eastAsia="Calibri"/>
                <w:bCs/>
                <w:iCs/>
                <w:szCs w:val="20"/>
              </w:rPr>
              <w:t>FFS: How the higher layer parameter is obtained, e.g., (pre-)configuration or via LPP/SLPP, etc.</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Calibri"/>
                <w:bCs/>
                <w:iCs/>
                <w:szCs w:val="20"/>
              </w:rPr>
            </w:pPr>
            <w:r>
              <w:rPr>
                <w:rFonts w:hint="eastAsia" w:ascii="Times New Roman" w:hAnsi="Times New Roman" w:eastAsia="Calibri"/>
                <w:iCs/>
                <w:szCs w:val="20"/>
              </w:rPr>
              <w:t>Option 2:</w:t>
            </w:r>
            <m:oMath>
              <m:sSubSup>
                <m:sSubSupPr>
                  <m:ctrlPr>
                    <w:rPr>
                      <w:rFonts w:hint="eastAsia" w:ascii="Cambria Math" w:hAnsi="Cambria Math" w:eastAsia="宋体"/>
                      <w:szCs w:val="20"/>
                    </w:rPr>
                  </m:ctrlPr>
                </m:sSubSupPr>
                <m:e>
                  <m:r>
                    <m:rPr/>
                    <w:rPr>
                      <w:rFonts w:hint="eastAsia" w:ascii="Cambria Math" w:hAnsi="Cambria Math" w:eastAsia="宋体"/>
                      <w:szCs w:val="20"/>
                    </w:rPr>
                    <m:t>n</m:t>
                  </m:r>
                  <m:ctrlPr>
                    <w:rPr>
                      <w:rFonts w:hint="eastAsia" w:ascii="Cambria Math" w:hAnsi="Cambria Math" w:eastAsia="宋体"/>
                      <w:szCs w:val="20"/>
                    </w:rPr>
                  </m:ctrlPr>
                </m:e>
                <m:sub>
                  <m:r>
                    <m:rPr>
                      <m:nor/>
                      <m:sty m:val="p"/>
                    </m:rPr>
                    <w:rPr>
                      <w:rFonts w:hint="eastAsia" w:ascii="Cambria Math" w:hAnsi="Cambria Math" w:eastAsia="宋体"/>
                      <w:b w:val="0"/>
                      <w:i w:val="0"/>
                      <w:szCs w:val="20"/>
                    </w:rPr>
                    <m:t>ID,seq</m:t>
                  </m:r>
                  <m:ctrlPr>
                    <w:rPr>
                      <w:rFonts w:hint="eastAsia" w:ascii="Cambria Math" w:hAnsi="Cambria Math" w:eastAsia="宋体"/>
                      <w:szCs w:val="20"/>
                    </w:rPr>
                  </m:ctrlPr>
                </m:sub>
                <m:sup>
                  <m:r>
                    <m:rPr>
                      <m:nor/>
                      <m:sty m:val="p"/>
                    </m:rPr>
                    <w:rPr>
                      <w:rFonts w:hint="eastAsia" w:ascii="Cambria Math" w:hAnsi="Cambria Math" w:eastAsia="宋体"/>
                      <w:b w:val="0"/>
                      <w:i w:val="0"/>
                      <w:szCs w:val="20"/>
                    </w:rPr>
                    <m:t>SL-PRS</m:t>
                  </m:r>
                  <m:ctrlPr>
                    <w:rPr>
                      <w:rFonts w:hint="eastAsia" w:ascii="Cambria Math" w:hAnsi="Cambria Math" w:eastAsia="宋体"/>
                      <w:szCs w:val="20"/>
                    </w:rPr>
                  </m:ctrlPr>
                </m:sup>
              </m:sSubSup>
            </m:oMath>
            <w:r>
              <w:rPr>
                <w:rFonts w:hint="eastAsia" w:ascii="Times New Roman" w:hAnsi="Times New Roman" w:eastAsia="Calibri"/>
                <w:szCs w:val="20"/>
              </w:rPr>
              <w:t xml:space="preserve"> is </w:t>
            </w:r>
            <w:r>
              <w:rPr>
                <w:rFonts w:hint="eastAsia" w:ascii="Times New Roman" w:hAnsi="Times New Roman" w:eastAsia="Calibri"/>
                <w:iCs/>
                <w:szCs w:val="20"/>
              </w:rPr>
              <w:t xml:space="preserve">based on 12 LSB bits CRC of PSCCH associated with the SL PRS. </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ascii="Times New Roman" w:hAnsi="Times New Roman" w:eastAsia="Calibri"/>
                <w:iCs/>
                <w:szCs w:val="20"/>
              </w:rPr>
            </w:pPr>
            <w:r>
              <w:rPr>
                <w:rFonts w:hint="eastAsia" w:ascii="Times New Roman" w:hAnsi="Times New Roman" w:eastAsia="Calibri"/>
                <w:iCs/>
                <w:szCs w:val="20"/>
              </w:rPr>
              <w:t xml:space="preserve">Option 3: based on a combination of higher layer parameter from a configured ID list and 12 LSB bits of CRC of PSCCH associated with the SL PRS. </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default" w:eastAsia="宋体"/>
                <w:szCs w:val="20"/>
                <w:vertAlign w:val="baseline"/>
                <w:lang w:val="en-US" w:eastAsia="zh-CN"/>
              </w:rPr>
            </w:pPr>
            <w:r>
              <w:rPr>
                <w:rFonts w:hint="eastAsia" w:ascii="Times New Roman" w:hAnsi="Times New Roman" w:eastAsia="Calibri"/>
                <w:bCs/>
                <w:iCs/>
                <w:szCs w:val="20"/>
              </w:rPr>
              <w:t>FFS: How the higher layer parameter/ID list is determined/obtained, e.g., (pre-)configuration or via LPP/SLPP, etc.</w:t>
            </w:r>
          </w:p>
        </w:tc>
      </w:tr>
    </w:tbl>
    <w:p>
      <w:pPr>
        <w:spacing w:before="100" w:beforeAutospacing="1"/>
        <w:rPr>
          <w:rFonts w:hint="default" w:eastAsia="宋体"/>
          <w:lang w:val="en-US" w:eastAsia="zh-CN"/>
        </w:rPr>
      </w:pPr>
      <w:r>
        <w:rPr>
          <w:rFonts w:hint="eastAsia" w:eastAsia="宋体"/>
          <w:lang w:val="en-US" w:eastAsia="zh-CN"/>
        </w:rPr>
        <w:t>In RAN1#112bis-e, the pros and cons of Option 1 and Option 2 above were intensively discussed, and one of the main benefits of Option 1 as mentioned by proponents of Option 1 is privacy protection. We agree with the views provided by the proponents of Option 2 that the actual privacy protection at physical layer by Option 1 is doubtful and cannot be relied on (with only a total number of 4096 SL-PRS sequence IDs, it should not be very difficult for a third UE to guess the SL-PRS sequence ID used for a detected SL-PRS transmission). Furthermore, it was also pointed out that with Option 1, a UE performing sensing would not be able to use SL-PRS based RSRP for sensing in Scheme 2, which in our view is a major drawback of Option 1. Therefore, we think Option 2 should be supported.</w:t>
      </w:r>
    </w:p>
    <w:p>
      <w:pPr>
        <w:keepNext w:val="0"/>
        <w:keepLines w:val="0"/>
        <w:pageBreakBefore w:val="0"/>
        <w:widowControl/>
        <w:kinsoku/>
        <w:wordWrap/>
        <w:overflowPunct/>
        <w:topLinePunct w:val="0"/>
        <w:autoSpaceDE/>
        <w:autoSpaceDN/>
        <w:bidi w:val="0"/>
        <w:adjustRightInd/>
        <w:snapToGrid w:val="0"/>
        <w:spacing w:after="0" w:afterAutospacing="0"/>
        <w:contextualSpacing/>
        <w:textAlignment w:val="auto"/>
        <w:rPr>
          <w:rFonts w:ascii="Times New Roman" w:hAnsi="Times New Roman" w:eastAsia="Calibri"/>
          <w:szCs w:val="20"/>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w:t>
      </w:r>
      <w:r>
        <w:rPr>
          <w:rFonts w:ascii="Times New Roman" w:hAnsi="Times New Roman"/>
          <w:szCs w:val="20"/>
          <w:lang w:eastAsia="zh-CN"/>
        </w:rPr>
        <w:t xml:space="preserve">For SL PRS sequence generation, </w:t>
      </w:r>
      <w:r>
        <w:rPr>
          <w:rFonts w:hint="eastAsia"/>
          <w:szCs w:val="20"/>
          <w:lang w:val="en-US" w:eastAsia="zh-CN"/>
        </w:rPr>
        <w:t xml:space="preserve">and for definition of </w:t>
      </w:r>
      <w:r>
        <w:rPr>
          <w:rFonts w:ascii="Times New Roman" w:hAnsi="Times New Roman"/>
          <w:szCs w:val="20"/>
          <w:lang w:eastAsia="zh-CN"/>
        </w:rPr>
        <w:t>the</w:t>
      </w:r>
      <w:r>
        <w:rPr>
          <w:rFonts w:ascii="Times New Roman" w:hAnsi="Times New Roman"/>
          <w:bCs/>
          <w:szCs w:val="20"/>
          <w:lang w:eastAsia="zh-CN"/>
        </w:rPr>
        <w:t xml:space="preserve"> parameter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m:nor/>
                <m:sty m:val="p"/>
              </m:rPr>
              <w:rPr>
                <w:rFonts w:ascii="Cambria Math" w:hAnsi="Cambria Math" w:eastAsia="宋体"/>
                <w:b w:val="0"/>
                <w:i w:val="0"/>
              </w:rPr>
              <m:t>ID,seq</m:t>
            </m:r>
            <m:ctrlPr>
              <w:rPr>
                <w:rFonts w:ascii="Cambria Math" w:hAnsi="Cambria Math" w:eastAsia="宋体"/>
              </w:rPr>
            </m:ctrlPr>
          </m:sub>
          <m:sup>
            <m:r>
              <m:rPr>
                <m:nor/>
                <m:sty m:val="p"/>
              </m:rPr>
              <w:rPr>
                <w:rFonts w:ascii="Cambria Math" w:hAnsi="Cambria Math" w:eastAsia="宋体"/>
                <w:b w:val="0"/>
                <w:i w:val="0"/>
              </w:rPr>
              <m:t>SL-PRS</m:t>
            </m:r>
            <m:ctrlPr>
              <w:rPr>
                <w:rFonts w:ascii="Cambria Math" w:hAnsi="Cambria Math" w:eastAsia="宋体"/>
              </w:rPr>
            </m:ctrlPr>
          </m:sup>
        </m:sSubSup>
      </m:oMath>
      <w:r>
        <w:rPr>
          <w:rFonts w:hint="eastAsia" w:hAnsi="Cambria Math" w:eastAsia="宋体"/>
          <w:i w:val="0"/>
          <w:lang w:val="en-US" w:eastAsia="zh-CN"/>
        </w:rPr>
        <w:t>, support Option 2</w:t>
      </w:r>
      <w:r>
        <w:rPr>
          <w:rFonts w:ascii="Times New Roman" w:hAnsi="Times New Roman"/>
          <w:szCs w:val="20"/>
          <w:lang w:eastAsia="zh-CN"/>
        </w:rPr>
        <w:t>:</w:t>
      </w:r>
    </w:p>
    <w:p>
      <w:pPr>
        <w:keepNext w:val="0"/>
        <w:keepLines w:val="0"/>
        <w:pageBreakBefore w:val="0"/>
        <w:widowControl/>
        <w:numPr>
          <w:ilvl w:val="0"/>
          <w:numId w:val="16"/>
        </w:numPr>
        <w:tabs>
          <w:tab w:val="left" w:pos="0"/>
        </w:tabs>
        <w:kinsoku/>
        <w:wordWrap/>
        <w:overflowPunct/>
        <w:topLinePunct w:val="0"/>
        <w:autoSpaceDE/>
        <w:autoSpaceDN/>
        <w:bidi w:val="0"/>
        <w:adjustRightInd/>
        <w:snapToGrid w:val="0"/>
        <w:spacing w:after="0" w:afterAutospacing="0"/>
        <w:contextualSpacing/>
        <w:textAlignment w:val="auto"/>
        <w:rPr>
          <w:rFonts w:ascii="Times New Roman" w:hAnsi="Times New Roman" w:eastAsia="Calibri"/>
          <w:bCs/>
          <w:iCs/>
          <w:szCs w:val="20"/>
        </w:rPr>
      </w:pPr>
      <w:r>
        <w:rPr>
          <w:rFonts w:ascii="Times New Roman" w:hAnsi="Times New Roman" w:eastAsia="Calibri"/>
          <w:iCs/>
          <w:szCs w:val="20"/>
        </w:rPr>
        <w:t>Option 2:</w:t>
      </w:r>
      <w:r>
        <w:rPr>
          <w:rFonts w:ascii="Times New Roman" w:hAnsi="Times New Roman" w:eastAsia="Calibri"/>
          <w:szCs w:val="20"/>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m:nor/>
                <m:sty m:val="p"/>
              </m:rPr>
              <w:rPr>
                <w:rFonts w:ascii="Cambria Math" w:hAnsi="Cambria Math" w:eastAsia="宋体"/>
                <w:b w:val="0"/>
                <w:i w:val="0"/>
              </w:rPr>
              <m:t>ID,seq</m:t>
            </m:r>
            <m:ctrlPr>
              <w:rPr>
                <w:rFonts w:ascii="Cambria Math" w:hAnsi="Cambria Math" w:eastAsia="宋体"/>
              </w:rPr>
            </m:ctrlPr>
          </m:sub>
          <m:sup>
            <m:r>
              <m:rPr>
                <m:nor/>
                <m:sty m:val="p"/>
              </m:rPr>
              <w:rPr>
                <w:rFonts w:ascii="Cambria Math" w:hAnsi="Cambria Math" w:eastAsia="宋体"/>
                <w:b w:val="0"/>
                <w:i w:val="0"/>
              </w:rPr>
              <m:t>SL-PRS</m:t>
            </m:r>
            <m:ctrlPr>
              <w:rPr>
                <w:rFonts w:ascii="Cambria Math" w:hAnsi="Cambria Math" w:eastAsia="宋体"/>
              </w:rPr>
            </m:ctrlPr>
          </m:sup>
        </m:sSubSup>
      </m:oMath>
      <w:r>
        <w:rPr>
          <w:position w:val="-9"/>
        </w:rPr>
        <w:t xml:space="preserve"> </w:t>
      </w:r>
      <w:r>
        <w:rPr>
          <w:rFonts w:ascii="Times New Roman" w:hAnsi="Times New Roman" w:eastAsia="Calibri"/>
          <w:szCs w:val="20"/>
        </w:rPr>
        <w:t xml:space="preserve">is </w:t>
      </w:r>
      <w:r>
        <w:rPr>
          <w:rFonts w:ascii="Times New Roman" w:hAnsi="Times New Roman" w:eastAsia="Calibri"/>
          <w:iCs/>
          <w:szCs w:val="20"/>
        </w:rPr>
        <w:t>based on 12 LSB bits CRC of PSCCH associated with the SL PRS.</w:t>
      </w:r>
    </w:p>
    <w:p>
      <w:pPr>
        <w:pStyle w:val="3"/>
        <w:rPr>
          <w:rFonts w:eastAsiaTheme="minorEastAsia"/>
          <w:lang w:eastAsia="zh-CN"/>
        </w:rPr>
      </w:pPr>
      <w:bookmarkStart w:id="3" w:name="_Ref11103"/>
      <w:r>
        <w:rPr>
          <w:rFonts w:eastAsiaTheme="minorEastAsia"/>
          <w:lang w:eastAsia="zh-CN"/>
        </w:rPr>
        <w:t xml:space="preserve">SL-PRS </w:t>
      </w:r>
      <w:r>
        <w:rPr>
          <w:rFonts w:hint="eastAsia" w:eastAsiaTheme="minorEastAsia"/>
          <w:lang w:val="en-US" w:eastAsia="zh-CN"/>
        </w:rPr>
        <w:t>resource</w:t>
      </w:r>
      <w:bookmarkEnd w:id="3"/>
    </w:p>
    <w:p>
      <w:pPr>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b/>
                <w:iCs/>
                <w:szCs w:val="20"/>
              </w:rPr>
            </w:pPr>
            <w:r>
              <w:rPr>
                <w:rFonts w:hint="eastAsia"/>
                <w:b/>
                <w:iCs/>
                <w:szCs w:val="20"/>
                <w:highlight w:val="green"/>
              </w:rPr>
              <w:t>Agreement</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A SL PRS resource refers to a time-frequency resource within a slot of a dedicated SL PRS resource pool that is used for SL PRS transmission.</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highlight w:val="yellow"/>
              </w:rPr>
            </w:pPr>
            <w:r>
              <w:rPr>
                <w:rFonts w:hint="eastAsia"/>
                <w:iCs/>
                <w:szCs w:val="20"/>
                <w:highlight w:val="yellow"/>
              </w:rPr>
              <w:t>FFS: for a shared resource pool</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 xml:space="preserve">Characteristics associated with a SL PRS resource include at least: </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 xml:space="preserve">SL PRS resource ID, </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 xml:space="preserve">SL PRS comb offset and associated SL PRS comb size (N), </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SL PRS starting symbol and number of SL PRS symbols (M),</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SL PRS frequency domain allocation,</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Note: Additional parameters can be included as/when identified.</w:t>
            </w:r>
          </w:p>
          <w:p>
            <w:pPr>
              <w:keepNext w:val="0"/>
              <w:keepLines w:val="0"/>
              <w:pageBreakBefore w:val="0"/>
              <w:widowControl/>
              <w:numPr>
                <w:ilvl w:val="1"/>
                <w:numId w:val="16"/>
              </w:numPr>
              <w:suppressLineNumbers w:val="0"/>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FFS: other time domain aspects, if any</w:t>
            </w:r>
          </w:p>
          <w:p>
            <w:pPr>
              <w:keepNext w:val="0"/>
              <w:keepLines w:val="0"/>
              <w:pageBreakBefore w:val="0"/>
              <w:widowControl/>
              <w:numPr>
                <w:ilvl w:val="0"/>
                <w:numId w:val="16"/>
              </w:numPr>
              <w:suppressLineNumbers w:val="0"/>
              <w:tabs>
                <w:tab w:val="left" w:pos="0"/>
              </w:tabs>
              <w:kinsoku/>
              <w:wordWrap/>
              <w:overflowPunct/>
              <w:topLinePunct w:val="0"/>
              <w:autoSpaceDE/>
              <w:autoSpaceDN/>
              <w:bidi w:val="0"/>
              <w:adjustRightInd/>
              <w:snapToGrid w:val="0"/>
              <w:spacing w:before="0" w:beforeAutospacing="0" w:after="0" w:afterAutospacing="0"/>
              <w:ind w:right="0"/>
              <w:contextualSpacing/>
              <w:textAlignment w:val="auto"/>
              <w:rPr>
                <w:rFonts w:hint="eastAsia"/>
                <w:iCs/>
                <w:szCs w:val="20"/>
              </w:rPr>
            </w:pPr>
            <w:r>
              <w:rPr>
                <w:rFonts w:hint="eastAsia"/>
                <w:iCs/>
                <w:szCs w:val="20"/>
              </w:rPr>
              <w:t>A SL PRS resource is identified by a SL PRS resource ID that is unique within a slot of a dedicated SL PRS resource pool.</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eastAsiaTheme="minorEastAsia"/>
                <w:szCs w:val="20"/>
                <w:vertAlign w:val="baseline"/>
                <w:lang w:val="en-US" w:eastAsia="zh-CN"/>
              </w:rPr>
            </w:pPr>
            <w:r>
              <w:rPr>
                <w:rFonts w:hint="eastAsia" w:ascii="Times New Roman" w:hAnsi="Times New Roman" w:eastAsia="Calibri"/>
                <w:bCs/>
                <w:szCs w:val="20"/>
              </w:rPr>
              <w:t>NOTE 1: The above does not imply need for signalling/(pre-)configuration of all these parameters</w:t>
            </w:r>
          </w:p>
        </w:tc>
      </w:tr>
    </w:tbl>
    <w:p>
      <w:pPr>
        <w:spacing w:before="100" w:beforeAutospacing="1"/>
        <w:rPr>
          <w:rFonts w:hint="eastAsia" w:eastAsiaTheme="minorEastAsia"/>
          <w:lang w:val="en-US" w:eastAsia="zh-CN"/>
        </w:rPr>
      </w:pPr>
      <w:r>
        <w:rPr>
          <w:rFonts w:hint="eastAsia" w:eastAsiaTheme="minorEastAsia"/>
          <w:lang w:val="en-US" w:eastAsia="zh-CN"/>
        </w:rPr>
        <w:t xml:space="preserve">Regarding the highlighted FFS above, in a shared resource pool, a </w:t>
      </w:r>
      <w:r>
        <w:rPr>
          <w:rFonts w:hint="default" w:eastAsiaTheme="minorEastAsia"/>
          <w:lang w:val="en-US" w:eastAsia="zh-CN"/>
        </w:rPr>
        <w:t>“</w:t>
      </w:r>
      <w:r>
        <w:rPr>
          <w:rFonts w:hint="eastAsia" w:eastAsiaTheme="minorEastAsia"/>
          <w:lang w:val="en-US" w:eastAsia="zh-CN"/>
        </w:rPr>
        <w:t>SL-PRS resource</w:t>
      </w:r>
      <w:r>
        <w:rPr>
          <w:rFonts w:hint="default" w:eastAsiaTheme="minorEastAsia"/>
          <w:lang w:val="en-US" w:eastAsia="zh-CN"/>
        </w:rPr>
        <w:t>”</w:t>
      </w:r>
      <w:r>
        <w:rPr>
          <w:rFonts w:hint="eastAsia" w:eastAsiaTheme="minorEastAsia"/>
          <w:lang w:val="en-US" w:eastAsia="zh-CN"/>
        </w:rPr>
        <w:t xml:space="preserve"> is multiplexed within a PSCCH/PSSCH resource, and the actual number of PSCCH/PSSCH resources within a slot is non-deterministic, therefore, we don</w:t>
      </w:r>
      <w:r>
        <w:rPr>
          <w:rFonts w:hint="default" w:eastAsiaTheme="minorEastAsia"/>
          <w:lang w:val="en-US" w:eastAsia="zh-CN"/>
        </w:rPr>
        <w:t>’</w:t>
      </w:r>
      <w:r>
        <w:rPr>
          <w:rFonts w:hint="eastAsia" w:eastAsiaTheme="minorEastAsia"/>
          <w:lang w:val="en-US" w:eastAsia="zh-CN"/>
        </w:rPr>
        <w:t>t think it makes sense to define a SL-PRS resource ID in this case.</w:t>
      </w:r>
    </w:p>
    <w:p>
      <w:pPr>
        <w:spacing w:before="100" w:beforeAutospacing="1"/>
        <w:rPr>
          <w:rFonts w:hint="eastAsia" w:hAnsi="Cambria Math" w:eastAsia="宋体" w:cs="宋体"/>
          <w:i w:val="0"/>
          <w:sz w:val="24"/>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SL-PRS resource ID is not defined for a shared resource pool</w:t>
      </w:r>
      <w:r>
        <w:rPr>
          <w:rFonts w:hint="eastAsia" w:hAnsi="Cambria Math" w:eastAsia="宋体" w:cs="宋体"/>
          <w:i w:val="0"/>
          <w:sz w:val="24"/>
          <w:lang w:val="en-US" w:eastAsia="zh-CN"/>
        </w:rPr>
        <w:t>.</w:t>
      </w:r>
    </w:p>
    <w:p>
      <w:pPr>
        <w:spacing w:before="100" w:beforeAutospacing="1"/>
        <w:rPr>
          <w:rFonts w:hint="eastAsia" w:hAnsi="Cambria Math" w:eastAsia="宋体" w:cs="宋体"/>
          <w:i w:val="0"/>
          <w:sz w:val="24"/>
          <w:lang w:val="en-US" w:eastAsia="zh-CN"/>
        </w:rPr>
      </w:pPr>
      <w:r>
        <w:rPr>
          <w:rFonts w:hint="eastAsia" w:eastAsia="宋体"/>
          <w:lang w:val="en-US" w:eastAsia="zh-CN"/>
        </w:rPr>
        <w:t>For periodic reservation of SL-PRS resources, we propose to take the resource reservation periods for SL communications as a baseline. Similarly to SL communications, a</w:t>
      </w:r>
      <w:r>
        <w:rPr>
          <w:rFonts w:hint="eastAsia" w:hAnsi="Cambria Math" w:eastAsia="宋体" w:cs="宋体"/>
          <w:i w:val="0"/>
          <w:sz w:val="24"/>
          <w:lang w:val="en-US" w:eastAsia="zh-CN"/>
        </w:rPr>
        <w:t xml:space="preserve"> UE can indicate periodic reservation starting from whichever slot a corresponding SCI is transmitted.</w:t>
      </w:r>
    </w:p>
    <w:p>
      <w:pPr>
        <w:spacing w:before="100" w:beforeAutospacing="1"/>
        <w:rPr>
          <w:rFonts w:hint="default" w:eastAsia="Malgun Gothic"/>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For periodic reservation of SL-PRS resources, the periodicity values supported in legacy SL communications are considered as a baseline</w:t>
      </w:r>
      <w:r>
        <w:rPr>
          <w:rFonts w:eastAsia="Malgun Gothic"/>
          <w:lang w:eastAsia="ko-KR"/>
        </w:rPr>
        <w:t>.</w:t>
      </w:r>
    </w:p>
    <w:p>
      <w:pPr>
        <w:pStyle w:val="3"/>
        <w:rPr>
          <w:rFonts w:eastAsiaTheme="minorEastAsia"/>
          <w:lang w:eastAsia="zh-CN"/>
        </w:rPr>
      </w:pPr>
      <w:r>
        <w:rPr>
          <w:rFonts w:hint="eastAsia" w:eastAsiaTheme="minorEastAsia"/>
          <w:lang w:val="en-US" w:eastAsia="zh-CN"/>
        </w:rPr>
        <w:t>Comb-based SL-PRS patterns</w:t>
      </w:r>
    </w:p>
    <w:p>
      <w:pPr>
        <w:spacing w:before="100" w:beforeAutospacing="1"/>
        <w:rPr>
          <w:rFonts w:hint="default" w:eastAsiaTheme="minorEastAsia"/>
          <w:lang w:val="en-US" w:eastAsia="zh-CN"/>
        </w:rPr>
      </w:pPr>
      <w:r>
        <w:rPr>
          <w:rFonts w:hint="eastAsia" w:eastAsiaTheme="minorEastAsia"/>
          <w:lang w:val="en-US" w:eastAsia="zh-CN"/>
        </w:rPr>
        <w:t xml:space="preserve">Support for additionally comb sizes (e.g. 1, 8, and 12 for a dedicated resource pool, and 6, 8 for a shared resource pool) were intensively discussed in RAN1#112bis-e with no consensus. Concerns were expressed for all proposed values, e.g. overhead of AGC and GP symbols for N=1, </w:t>
      </w:r>
      <w:r>
        <w:rPr>
          <w:rFonts w:hint="default" w:eastAsiaTheme="minorEastAsia"/>
          <w:lang w:val="en-US" w:eastAsia="zh-CN"/>
        </w:rPr>
        <w:t>“</w:t>
      </w:r>
      <w:r>
        <w:rPr>
          <w:rFonts w:hint="eastAsia" w:eastAsiaTheme="minorEastAsia"/>
          <w:lang w:val="en-US" w:eastAsia="zh-CN"/>
        </w:rPr>
        <w:t>irregular</w:t>
      </w:r>
      <w:r>
        <w:rPr>
          <w:rFonts w:hint="default" w:eastAsiaTheme="minorEastAsia"/>
          <w:lang w:val="en-US" w:eastAsia="zh-CN"/>
        </w:rPr>
        <w:t>”</w:t>
      </w:r>
      <w:r>
        <w:rPr>
          <w:rFonts w:hint="eastAsia" w:eastAsiaTheme="minorEastAsia"/>
          <w:lang w:val="en-US" w:eastAsia="zh-CN"/>
        </w:rPr>
        <w:t xml:space="preserve"> RE patterns across RBs for N=8, and unlikely to support full staggering (and correspondingly no clear benefit comparing to smaller comb sizes) for N=12. Given the immense amount of time already spent on discussion of the issue, and the fact that RAN1 had agreed to an essential set of comb sizes respectively for dedicated resource pools and shared resource pools, we don</w:t>
      </w:r>
      <w:r>
        <w:rPr>
          <w:rFonts w:hint="default" w:eastAsiaTheme="minorEastAsia"/>
          <w:lang w:val="en-US" w:eastAsia="zh-CN"/>
        </w:rPr>
        <w:t>’</w:t>
      </w:r>
      <w:r>
        <w:rPr>
          <w:rFonts w:hint="eastAsia" w:eastAsiaTheme="minorEastAsia"/>
          <w:lang w:val="en-US" w:eastAsia="zh-CN"/>
        </w:rPr>
        <w:t>t think the support for additional comb sizes is a high priority issue any more.</w:t>
      </w:r>
    </w:p>
    <w:p>
      <w:pPr>
        <w:spacing w:before="100" w:beforeAutospacing="1"/>
        <w:rPr>
          <w:rFonts w:hint="default" w:eastAsia="Malgun Gothic"/>
          <w:lang w:val="en-US"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For both dedicated resource pools and shared resource pools, no additional comb sizes are supported.</w:t>
      </w:r>
    </w:p>
    <w:p>
      <w:pPr>
        <w:spacing w:before="100" w:beforeAutospacing="1"/>
        <w:rPr>
          <w:rFonts w:eastAsiaTheme="minorEastAsia"/>
          <w:lang w:eastAsia="zh-CN"/>
        </w:rPr>
      </w:pPr>
      <w:r>
        <w:rPr>
          <w:rFonts w:hint="eastAsia" w:eastAsiaTheme="minorEastAsia"/>
          <w:lang w:eastAsia="zh-CN"/>
        </w:rPr>
        <w:t>F</w:t>
      </w:r>
      <w:r>
        <w:rPr>
          <w:rFonts w:eastAsiaTheme="minorEastAsia"/>
          <w:lang w:eastAsia="zh-CN"/>
        </w:rPr>
        <w:t xml:space="preserve">or simplicity, a dedicated resource pool or a shared resource pool should be configured with a single </w:t>
      </w:r>
      <w:r>
        <w:rPr>
          <w:rFonts w:hint="eastAsia" w:eastAsiaTheme="minorEastAsia"/>
          <w:lang w:val="en-US" w:eastAsia="zh-CN"/>
        </w:rPr>
        <w:t xml:space="preserve">pair </w:t>
      </w:r>
      <w:r>
        <w:rPr>
          <w:rFonts w:eastAsiaTheme="minorEastAsia"/>
          <w:lang w:eastAsia="zh-CN"/>
        </w:rPr>
        <w:t xml:space="preserve">of (M, N). Support for multiple </w:t>
      </w:r>
      <w:r>
        <w:rPr>
          <w:rFonts w:hint="eastAsia" w:eastAsiaTheme="minorEastAsia"/>
          <w:lang w:val="en-US" w:eastAsia="zh-CN"/>
        </w:rPr>
        <w:t xml:space="preserve">pairs </w:t>
      </w:r>
      <w:r>
        <w:rPr>
          <w:rFonts w:eastAsiaTheme="minorEastAsia"/>
          <w:lang w:eastAsia="zh-CN"/>
        </w:rPr>
        <w:t>of (M, N) can be realized by configuring multiple dedicated resource pool(s) and/or multiple shared resource pool(s).</w:t>
      </w:r>
    </w:p>
    <w:p>
      <w:pPr>
        <w:spacing w:before="100" w:beforeAutospacing="1"/>
        <w:rPr>
          <w:rFonts w:eastAsia="Malgun Gothic"/>
          <w:lang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A single </w:t>
      </w:r>
      <w:r>
        <w:rPr>
          <w:rFonts w:hint="eastAsia" w:eastAsia="宋体"/>
          <w:lang w:val="en-US" w:eastAsia="zh-CN"/>
        </w:rPr>
        <w:t xml:space="preserve">pair </w:t>
      </w:r>
      <w:r>
        <w:t>of (M, N) is configured in a dedicated resource pool or a shared resource pool</w:t>
      </w:r>
      <w:r>
        <w:rPr>
          <w:rFonts w:eastAsia="Malgun Gothic"/>
          <w:lang w:eastAsia="ko-KR"/>
        </w:rPr>
        <w:t>.</w:t>
      </w:r>
    </w:p>
    <w:p>
      <w:pPr>
        <w:pStyle w:val="3"/>
        <w:rPr>
          <w:rFonts w:eastAsiaTheme="minorEastAsia"/>
          <w:lang w:eastAsia="zh-CN"/>
        </w:rPr>
      </w:pPr>
      <w:r>
        <w:rPr>
          <w:rFonts w:hint="eastAsia" w:eastAsiaTheme="minorEastAsia"/>
          <w:lang w:val="en-US" w:eastAsia="zh-CN"/>
        </w:rPr>
        <w:t>AGC and GAP s</w:t>
      </w:r>
      <w:r>
        <w:rPr>
          <w:rFonts w:eastAsiaTheme="minorEastAsia"/>
          <w:lang w:eastAsia="zh-CN"/>
        </w:rPr>
        <w:t>ymbols</w:t>
      </w:r>
    </w:p>
    <w:p>
      <w:pPr>
        <w:spacing w:before="100" w:beforeAutospacing="1"/>
        <w:rPr>
          <w:rFonts w:hint="eastAsia" w:eastAsiaTheme="minorEastAsia"/>
          <w:lang w:val="en-US" w:eastAsia="zh-CN"/>
        </w:rPr>
      </w:pPr>
      <w:r>
        <w:rPr>
          <w:rFonts w:hint="eastAsia" w:eastAsiaTheme="minorEastAsia"/>
          <w:lang w:val="en-US" w:eastAsia="zh-CN"/>
        </w:rPr>
        <w:t>Regarding AGC and GAP symbols, the following were the latest FL proposals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4"/>
              <w:keepLines w:val="0"/>
              <w:pageBreakBefore w:val="0"/>
              <w:widowControl/>
              <w:numPr>
                <w:ilvl w:val="2"/>
                <w:numId w:val="0"/>
              </w:numPr>
              <w:suppressLineNumbers w:val="0"/>
              <w:kinsoku/>
              <w:wordWrap/>
              <w:overflowPunct/>
              <w:topLinePunct w:val="0"/>
              <w:autoSpaceDE/>
              <w:autoSpaceDN/>
              <w:bidi w:val="0"/>
              <w:adjustRightInd/>
              <w:snapToGrid w:val="0"/>
              <w:spacing w:before="0" w:beforeAutospacing="0" w:after="0" w:afterAutospacing="0"/>
              <w:ind w:left="0" w:leftChars="0" w:right="0"/>
              <w:jc w:val="both"/>
              <w:textAlignment w:val="auto"/>
              <w:outlineLvl w:val="2"/>
              <w:rPr>
                <w:rFonts w:hint="eastAsia" w:ascii="Times New Roman" w:hAnsi="Times New Roman" w:cs="Times New Roman"/>
                <w:color w:val="00B0F0"/>
                <w:szCs w:val="20"/>
              </w:rPr>
            </w:pPr>
            <w:r>
              <w:rPr>
                <w:rFonts w:hint="eastAsia" w:ascii="Times New Roman" w:hAnsi="Times New Roman" w:cs="Times New Roman"/>
                <w:color w:val="00B0F0"/>
                <w:szCs w:val="20"/>
              </w:rPr>
              <w:t>[High] FL4</w:t>
            </w:r>
            <w:r>
              <w:rPr>
                <w:rFonts w:hint="eastAsia" w:ascii="Times New Roman" w:hAnsi="Times New Roman" w:cs="Times New Roman"/>
                <w:color w:val="C55A11" w:themeColor="accent2" w:themeShade="BF"/>
                <w:szCs w:val="20"/>
              </w:rPr>
              <w:t>a</w:t>
            </w:r>
            <w:r>
              <w:rPr>
                <w:rFonts w:hint="eastAsia" w:ascii="Times New Roman" w:hAnsi="Times New Roman" w:cs="Times New Roman"/>
                <w:color w:val="00B0F0"/>
                <w:szCs w:val="20"/>
              </w:rPr>
              <w:t xml:space="preserve"> Proposal 2.3.5-2</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eastAsia="Calibri" w:cs="Times New Roman"/>
                <w:i/>
                <w:iCs/>
                <w:color w:val="00B0F0"/>
                <w:szCs w:val="20"/>
              </w:rPr>
            </w:pPr>
            <w:r>
              <w:rPr>
                <w:rFonts w:hint="eastAsia" w:ascii="Times New Roman" w:hAnsi="Times New Roman" w:eastAsia="Calibri" w:cs="Times New Roman"/>
                <w:i/>
                <w:iCs/>
                <w:color w:val="C55A11" w:themeColor="accent2" w:themeShade="BF"/>
                <w:szCs w:val="20"/>
              </w:rPr>
              <w:t>[Working assumption]</w:t>
            </w:r>
            <w:r>
              <w:rPr>
                <w:rFonts w:hint="eastAsia" w:ascii="Times New Roman" w:hAnsi="Times New Roman" w:eastAsia="Calibri" w:cs="Times New Roman"/>
                <w:i/>
                <w:iCs/>
                <w:color w:val="00B0F0"/>
                <w:szCs w:val="20"/>
              </w:rPr>
              <w:t xml:space="preserve"> At least in a dedicated resource pool, a</w:t>
            </w:r>
            <w:r>
              <w:rPr>
                <w:rFonts w:hint="eastAsia" w:ascii="Times New Roman" w:hAnsi="Times New Roman" w:cs="Times New Roman"/>
                <w:i/>
                <w:iCs/>
                <w:color w:val="00B0F0"/>
                <w:szCs w:val="20"/>
              </w:rPr>
              <w:t xml:space="preserve"> SL PRS resource is </w:t>
            </w:r>
            <w:r>
              <w:rPr>
                <w:rFonts w:hint="eastAsia" w:ascii="Times New Roman" w:hAnsi="Times New Roman" w:cs="Times New Roman"/>
                <w:i/>
                <w:iCs/>
                <w:color w:val="C55A11" w:themeColor="accent2" w:themeShade="BF"/>
                <w:szCs w:val="20"/>
              </w:rPr>
              <w:t xml:space="preserve">immediately </w:t>
            </w:r>
            <w:r>
              <w:rPr>
                <w:rFonts w:hint="eastAsia" w:ascii="Times New Roman" w:hAnsi="Times New Roman" w:cs="Times New Roman"/>
                <w:i/>
                <w:iCs/>
                <w:color w:val="00B0F0"/>
                <w:szCs w:val="20"/>
              </w:rPr>
              <w:t>preceded by an AGC symbol.</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jc w:val="left"/>
              <w:textAlignment w:val="auto"/>
              <w:rPr>
                <w:rFonts w:hint="eastAsia" w:ascii="Times New Roman" w:hAnsi="Times New Roman" w:cs="Times New Roman"/>
                <w:i/>
                <w:iCs/>
                <w:color w:val="00B0F0"/>
                <w:szCs w:val="20"/>
              </w:rPr>
            </w:pPr>
            <w:r>
              <w:rPr>
                <w:rFonts w:hint="eastAsia" w:ascii="Times New Roman" w:hAnsi="Times New Roman" w:cs="Times New Roman"/>
                <w:i/>
                <w:iCs/>
                <w:color w:val="00B0F0"/>
                <w:szCs w:val="20"/>
              </w:rPr>
              <w:t>FFS: How the AGC symbol is created</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jc w:val="left"/>
              <w:textAlignment w:val="auto"/>
              <w:rPr>
                <w:rFonts w:hint="eastAsia" w:ascii="Times New Roman" w:hAnsi="Times New Roman" w:cs="Times New Roman"/>
                <w:i/>
                <w:iCs/>
                <w:color w:val="00B0F0"/>
                <w:szCs w:val="20"/>
              </w:rPr>
            </w:pPr>
            <w:r>
              <w:rPr>
                <w:rFonts w:hint="eastAsia" w:ascii="Times New Roman" w:hAnsi="Times New Roman" w:cs="Times New Roman"/>
                <w:i/>
                <w:iCs/>
                <w:color w:val="00B0F0"/>
                <w:szCs w:val="20"/>
              </w:rPr>
              <w:t>FFS: Cases involving TDM-ed SL PRS resources within a slot</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jc w:val="left"/>
              <w:textAlignment w:val="auto"/>
              <w:rPr>
                <w:rFonts w:hint="eastAsia" w:ascii="Times New Roman" w:hAnsi="Times New Roman" w:cs="Times New Roman"/>
                <w:i/>
                <w:iCs/>
                <w:color w:val="00B0F0"/>
                <w:szCs w:val="20"/>
              </w:rPr>
            </w:pPr>
            <w:r>
              <w:rPr>
                <w:rFonts w:hint="eastAsia" w:ascii="Times New Roman" w:hAnsi="Times New Roman" w:cs="Times New Roman"/>
                <w:i/>
                <w:iCs/>
                <w:color w:val="00B0F0"/>
                <w:szCs w:val="20"/>
              </w:rPr>
              <w:t>FFS: Other exceptions, if any</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jc w:val="left"/>
              <w:textAlignment w:val="auto"/>
              <w:rPr>
                <w:rFonts w:hint="eastAsia" w:ascii="Times New Roman" w:hAnsi="Times New Roman" w:cs="Times New Roman"/>
                <w:i/>
                <w:iCs/>
                <w:color w:val="00B0F0"/>
                <w:szCs w:val="20"/>
              </w:rPr>
            </w:pPr>
            <w:r>
              <w:rPr>
                <w:rFonts w:hint="eastAsia" w:ascii="Times New Roman" w:hAnsi="Times New Roman" w:cs="Times New Roman"/>
                <w:i/>
                <w:iCs/>
                <w:color w:val="00B0F0"/>
                <w:szCs w:val="20"/>
              </w:rPr>
              <w:t>FFS: for SL PRS resource in a shared resource pool.</w:t>
            </w:r>
          </w:p>
          <w:p>
            <w:pPr>
              <w:pStyle w:val="4"/>
              <w:keepLines w:val="0"/>
              <w:pageBreakBefore w:val="0"/>
              <w:widowControl/>
              <w:numPr>
                <w:ilvl w:val="2"/>
                <w:numId w:val="0"/>
              </w:numPr>
              <w:suppressLineNumbers w:val="0"/>
              <w:kinsoku/>
              <w:wordWrap/>
              <w:overflowPunct/>
              <w:topLinePunct w:val="0"/>
              <w:autoSpaceDE/>
              <w:autoSpaceDN/>
              <w:bidi w:val="0"/>
              <w:adjustRightInd/>
              <w:snapToGrid w:val="0"/>
              <w:spacing w:before="0" w:beforeAutospacing="0" w:after="0" w:afterAutospacing="0"/>
              <w:ind w:left="0" w:leftChars="0" w:right="0"/>
              <w:jc w:val="both"/>
              <w:textAlignment w:val="auto"/>
              <w:outlineLvl w:val="2"/>
              <w:rPr>
                <w:rFonts w:hint="eastAsia" w:ascii="Times New Roman" w:hAnsi="Times New Roman" w:cs="Times New Roman"/>
                <w:color w:val="00B0F0"/>
                <w:szCs w:val="20"/>
              </w:rPr>
            </w:pPr>
            <w:r>
              <w:rPr>
                <w:rFonts w:hint="eastAsia" w:ascii="Times New Roman" w:hAnsi="Times New Roman" w:cs="Times New Roman"/>
                <w:color w:val="00B0F0"/>
                <w:szCs w:val="20"/>
              </w:rPr>
              <w:t>[High] FL4</w:t>
            </w:r>
            <w:r>
              <w:rPr>
                <w:rFonts w:hint="eastAsia" w:ascii="Times New Roman" w:hAnsi="Times New Roman" w:cs="Times New Roman"/>
                <w:color w:val="C55A11" w:themeColor="accent2" w:themeShade="BF"/>
                <w:szCs w:val="20"/>
              </w:rPr>
              <w:t>a</w:t>
            </w:r>
            <w:r>
              <w:rPr>
                <w:rFonts w:hint="eastAsia" w:ascii="Times New Roman" w:hAnsi="Times New Roman" w:cs="Times New Roman"/>
                <w:color w:val="00B0F0"/>
                <w:szCs w:val="20"/>
              </w:rPr>
              <w:t xml:space="preserve"> Proposal 2.3.5-3</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cs="Times New Roman"/>
                <w:i/>
                <w:iCs/>
                <w:color w:val="00B0F0"/>
                <w:szCs w:val="20"/>
              </w:rPr>
            </w:pPr>
            <w:r>
              <w:rPr>
                <w:rFonts w:hint="eastAsia" w:ascii="Times New Roman" w:hAnsi="Times New Roman" w:eastAsia="Calibri" w:cs="Times New Roman"/>
                <w:i/>
                <w:iCs/>
                <w:color w:val="C55A11" w:themeColor="accent2" w:themeShade="BF"/>
                <w:szCs w:val="20"/>
              </w:rPr>
              <w:t>[Working assumption]</w:t>
            </w:r>
            <w:r>
              <w:rPr>
                <w:rFonts w:hint="eastAsia" w:ascii="Times New Roman" w:hAnsi="Times New Roman" w:eastAsia="Calibri" w:cs="Times New Roman"/>
                <w:i/>
                <w:iCs/>
                <w:color w:val="00B0F0"/>
                <w:szCs w:val="20"/>
              </w:rPr>
              <w:t xml:space="preserve"> At least in a dedicated resource pool, a</w:t>
            </w:r>
            <w:r>
              <w:rPr>
                <w:rFonts w:hint="eastAsia" w:ascii="Times New Roman" w:hAnsi="Times New Roman" w:cs="Times New Roman"/>
                <w:i/>
                <w:iCs/>
                <w:color w:val="00B0F0"/>
                <w:szCs w:val="20"/>
              </w:rPr>
              <w:t xml:space="preserve"> SL PRS resource is followed </w:t>
            </w:r>
            <w:r>
              <w:rPr>
                <w:rFonts w:hint="eastAsia" w:ascii="Times New Roman" w:hAnsi="Times New Roman" w:cs="Times New Roman"/>
                <w:i/>
                <w:iCs/>
                <w:color w:val="C55A11" w:themeColor="accent2" w:themeShade="BF"/>
                <w:szCs w:val="20"/>
              </w:rPr>
              <w:t xml:space="preserve">immediately </w:t>
            </w:r>
            <w:r>
              <w:rPr>
                <w:rFonts w:hint="eastAsia" w:ascii="Times New Roman" w:hAnsi="Times New Roman" w:cs="Times New Roman"/>
                <w:i/>
                <w:iCs/>
                <w:color w:val="00B0F0"/>
                <w:szCs w:val="20"/>
              </w:rPr>
              <w:t>by a gap symbol to accommodate Tx to Rx switching.</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ind w:right="0"/>
              <w:jc w:val="left"/>
              <w:textAlignment w:val="auto"/>
              <w:rPr>
                <w:rFonts w:hint="eastAsia" w:ascii="Times New Roman" w:hAnsi="Times New Roman" w:cs="Times New Roman"/>
                <w:i/>
                <w:iCs/>
                <w:color w:val="00B0F0"/>
                <w:szCs w:val="20"/>
              </w:rPr>
            </w:pPr>
            <w:r>
              <w:rPr>
                <w:rFonts w:hint="eastAsia" w:ascii="Times New Roman" w:hAnsi="Times New Roman" w:cs="Times New Roman"/>
                <w:i/>
                <w:iCs/>
                <w:color w:val="00B0F0"/>
                <w:szCs w:val="20"/>
              </w:rPr>
              <w:t>FFS: Exceptions, if any</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default" w:eastAsiaTheme="minorEastAsia"/>
                <w:szCs w:val="20"/>
                <w:vertAlign w:val="baseline"/>
                <w:lang w:val="en-US" w:eastAsia="zh-CN"/>
              </w:rPr>
            </w:pPr>
            <w:r>
              <w:rPr>
                <w:rFonts w:hint="eastAsia" w:ascii="Times New Roman" w:hAnsi="Times New Roman" w:cs="Times New Roman"/>
                <w:i/>
                <w:iCs/>
                <w:color w:val="00B0F0"/>
                <w:szCs w:val="20"/>
              </w:rPr>
              <w:t>FFS: for SL PRS resource in a shared resource pool.</w:t>
            </w:r>
          </w:p>
        </w:tc>
      </w:tr>
    </w:tbl>
    <w:p>
      <w:pPr>
        <w:spacing w:before="100" w:beforeAutospacing="1"/>
        <w:rPr>
          <w:rFonts w:hint="eastAsia" w:eastAsiaTheme="minorEastAsia"/>
          <w:lang w:val="en-US" w:eastAsia="zh-CN"/>
        </w:rPr>
      </w:pPr>
      <w:r>
        <w:rPr>
          <w:rFonts w:hint="eastAsia" w:eastAsiaTheme="minorEastAsia"/>
          <w:lang w:val="en-US" w:eastAsia="zh-CN"/>
        </w:rPr>
        <w:t>In general we support the direction of the above FL proposals. We noticed concerns on the case of a SL-PRS resource immediately preceded by a PSCCH, in which case it was argued that the AGC symbol for SL-PRS may not be needed. In our view, due to TDM of SL-PRS in a slot, there may be multiple SL-PRS occasions in the slot, with all SL-PRS resources associated with PSCCH resources in the first few symbols of the slot, therefore, the number of PSCCH transmissions may not be equal to the number of SL-PRS transmissions in the SL-PRS occasion immediately following the PSCCH occasion, and it should thus not be assumed that there is any relationship between the symbol power of the PSCCH occasion and that of the immediately following SL-PRS occasion.</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6</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n a dedicated resource pool, a</w:t>
      </w:r>
      <w:r>
        <w:rPr>
          <w:rFonts w:ascii="Times New Roman" w:hAnsi="Times New Roman" w:cs="Times New Roman"/>
          <w:i w:val="0"/>
          <w:iCs w:val="0"/>
          <w:color w:val="auto"/>
        </w:rPr>
        <w:t xml:space="preserve"> SL</w:t>
      </w:r>
      <w:r>
        <w:rPr>
          <w:rFonts w:hint="eastAsia" w:eastAsia="宋体" w:cs="Times New Roman"/>
          <w:i w:val="0"/>
          <w:iCs w:val="0"/>
          <w:color w:val="auto"/>
          <w:lang w:val="en-US" w:eastAsia="zh-CN"/>
        </w:rPr>
        <w:t>-</w:t>
      </w:r>
      <w:r>
        <w:rPr>
          <w:rFonts w:ascii="Times New Roman" w:hAnsi="Times New Roman" w:cs="Times New Roman"/>
          <w:i w:val="0"/>
          <w:iCs w:val="0"/>
          <w:color w:val="auto"/>
        </w:rPr>
        <w:t>PRS resource is immediately preceded by an AGC symbol</w:t>
      </w:r>
      <w:r>
        <w:rPr>
          <w:rFonts w:eastAsia="Malgun Gothic"/>
          <w:color w:val="auto"/>
          <w:lang w:eastAsia="ko-KR"/>
        </w:rPr>
        <w:t>.</w:t>
      </w:r>
    </w:p>
    <w:p>
      <w:pPr>
        <w:spacing w:before="100" w:beforeAutospacing="1"/>
        <w:rPr>
          <w:rFonts w:hint="default" w:eastAsia="Malgun Gothic"/>
          <w:color w:val="auto"/>
          <w:lang w:val="en-US" w:eastAsia="zh-CN"/>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7</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n a dedicated resource pool, a</w:t>
      </w:r>
      <w:r>
        <w:rPr>
          <w:rFonts w:ascii="Times New Roman" w:hAnsi="Times New Roman" w:cs="Times New Roman"/>
          <w:i w:val="0"/>
          <w:iCs w:val="0"/>
          <w:color w:val="auto"/>
        </w:rPr>
        <w:t xml:space="preserve"> 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is immediately </w:t>
      </w:r>
      <w:r>
        <w:rPr>
          <w:rFonts w:hint="eastAsia" w:eastAsia="宋体" w:cs="Times New Roman"/>
          <w:i w:val="0"/>
          <w:iCs w:val="0"/>
          <w:color w:val="auto"/>
          <w:lang w:val="en-US" w:eastAsia="zh-CN"/>
        </w:rPr>
        <w:t xml:space="preserve">followed </w:t>
      </w:r>
      <w:r>
        <w:rPr>
          <w:rFonts w:ascii="Times New Roman" w:hAnsi="Times New Roman" w:cs="Times New Roman"/>
          <w:i w:val="0"/>
          <w:iCs w:val="0"/>
          <w:color w:val="auto"/>
        </w:rPr>
        <w:t xml:space="preserve">by a </w:t>
      </w:r>
      <w:r>
        <w:rPr>
          <w:rFonts w:hint="eastAsia" w:eastAsia="宋体" w:cs="Times New Roman"/>
          <w:i w:val="0"/>
          <w:iCs w:val="0"/>
          <w:color w:val="auto"/>
          <w:lang w:val="en-US" w:eastAsia="zh-CN"/>
        </w:rPr>
        <w:t>GAP</w:t>
      </w:r>
      <w:r>
        <w:rPr>
          <w:rFonts w:ascii="Times New Roman" w:hAnsi="Times New Roman" w:cs="Times New Roman"/>
          <w:i w:val="0"/>
          <w:iCs w:val="0"/>
          <w:color w:val="auto"/>
        </w:rPr>
        <w:t xml:space="preserve"> symbol</w:t>
      </w:r>
      <w:r>
        <w:rPr>
          <w:rFonts w:eastAsia="Malgun Gothic"/>
          <w:color w:val="auto"/>
          <w:lang w:eastAsia="ko-KR"/>
        </w:rPr>
        <w:t>.</w:t>
      </w:r>
    </w:p>
    <w:p>
      <w:pPr>
        <w:pStyle w:val="3"/>
        <w:rPr>
          <w:rFonts w:eastAsiaTheme="minorEastAsia"/>
          <w:b/>
          <w:u w:val="single"/>
          <w:lang w:eastAsia="zh-CN"/>
        </w:rPr>
      </w:pPr>
      <w:r>
        <w:rPr>
          <w:rFonts w:hint="eastAsia" w:eastAsiaTheme="minorEastAsia"/>
          <w:b/>
          <w:u w:val="single"/>
          <w:lang w:val="en-US" w:eastAsia="zh-CN"/>
        </w:rPr>
        <w:t>Mapping of a PSCCH resource to an a</w:t>
      </w:r>
      <w:r>
        <w:rPr>
          <w:rFonts w:eastAsiaTheme="minorEastAsia"/>
          <w:b/>
          <w:u w:val="single"/>
          <w:lang w:eastAsia="zh-CN"/>
        </w:rPr>
        <w:t xml:space="preserve">ssociated </w:t>
      </w:r>
      <w:r>
        <w:rPr>
          <w:rFonts w:hint="eastAsia" w:eastAsiaTheme="minorEastAsia"/>
          <w:b/>
          <w:u w:val="single"/>
          <w:lang w:val="en-US" w:eastAsia="zh-CN"/>
        </w:rPr>
        <w:t>SL-PRS resource</w:t>
      </w:r>
    </w:p>
    <w:p>
      <w:pPr>
        <w:spacing w:before="100" w:beforeAutospacing="1"/>
        <w:rPr>
          <w:rFonts w:hint="eastAsia" w:eastAsiaTheme="minorEastAsia"/>
          <w:lang w:val="en-US" w:eastAsia="zh-CN"/>
        </w:rPr>
      </w:pPr>
      <w:r>
        <w:rPr>
          <w:rFonts w:hint="eastAsia" w:eastAsiaTheme="minorEastAsia"/>
          <w:lang w:val="en-US" w:eastAsia="zh-CN"/>
        </w:rPr>
        <w:t xml:space="preserve">With the RAN1 agreement on SL-PRS resource ID (see section </w:t>
      </w:r>
      <w:r>
        <w:rPr>
          <w:rFonts w:hint="eastAsia" w:eastAsiaTheme="minorEastAsia"/>
          <w:lang w:val="en-US" w:eastAsia="zh-CN"/>
        </w:rPr>
        <w:fldChar w:fldCharType="begin"/>
      </w:r>
      <w:r>
        <w:rPr>
          <w:rFonts w:hint="eastAsia" w:eastAsiaTheme="minorEastAsia"/>
          <w:lang w:val="en-US" w:eastAsia="zh-CN"/>
        </w:rPr>
        <w:instrText xml:space="preserve"> REF _Ref11103 \n \h </w:instrText>
      </w:r>
      <w:r>
        <w:rPr>
          <w:rFonts w:hint="eastAsia" w:eastAsiaTheme="minorEastAsia"/>
          <w:lang w:val="en-US" w:eastAsia="zh-CN"/>
        </w:rPr>
        <w:fldChar w:fldCharType="separate"/>
      </w:r>
      <w:r>
        <w:rPr>
          <w:rFonts w:hint="eastAsia" w:eastAsiaTheme="minorEastAsia"/>
          <w:lang w:val="en-US" w:eastAsia="zh-CN"/>
        </w:rPr>
        <w:t>2.2</w:t>
      </w:r>
      <w:r>
        <w:rPr>
          <w:rFonts w:hint="eastAsia" w:eastAsiaTheme="minorEastAsia"/>
          <w:lang w:val="en-US" w:eastAsia="zh-CN"/>
        </w:rPr>
        <w:fldChar w:fldCharType="end"/>
      </w:r>
      <w:r>
        <w:rPr>
          <w:rFonts w:hint="eastAsia" w:eastAsiaTheme="minorEastAsia"/>
          <w:lang w:val="en-US" w:eastAsia="zh-CN"/>
        </w:rPr>
        <w:t>), which is unique in a slot, it seems natural that a PSCCH resource (e.g. characterized by an index among the set of PSCCH resources in a slot) should be mapped to a corresponding SL-PRS resource ID of an associated SL-PRS resource, and the SL-PRS resource IDs in the slot are derived by e.g. indexing the SL-PRS resources in the slot in an RE offset first, SL-PRS occasion second manner.</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8</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eastAsia="宋体" w:cs="Times New Roman"/>
          <w:i w:val="0"/>
          <w:iCs w:val="0"/>
          <w:color w:val="auto"/>
          <w:lang w:val="en-US" w:eastAsia="zh-CN"/>
        </w:rPr>
        <w:t xml:space="preserve">the index of </w:t>
      </w:r>
      <w:r>
        <w:rPr>
          <w:rFonts w:ascii="Times New Roman" w:hAnsi="Times New Roman" w:eastAsia="Calibri" w:cs="Times New Roman"/>
          <w:i w:val="0"/>
          <w:iCs w:val="0"/>
          <w:color w:val="auto"/>
        </w:rPr>
        <w:t>a</w:t>
      </w:r>
      <w:r>
        <w:rPr>
          <w:rFonts w:hint="eastAsia" w:eastAsia="宋体" w:cs="Times New Roman"/>
          <w:i w:val="0"/>
          <w:iCs w:val="0"/>
          <w:color w:val="auto"/>
          <w:lang w:val="en-US" w:eastAsia="zh-CN"/>
        </w:rPr>
        <w:t xml:space="preserve"> PSCCH</w:t>
      </w:r>
      <w:r>
        <w:rPr>
          <w:rFonts w:ascii="Times New Roman" w:hAnsi="Times New Roman" w:cs="Times New Roman"/>
          <w:i w:val="0"/>
          <w:iCs w:val="0"/>
          <w:color w:val="auto"/>
        </w:rPr>
        <w:t xml:space="preserve"> resource </w:t>
      </w:r>
      <w:r>
        <w:rPr>
          <w:rFonts w:hint="eastAsia" w:eastAsia="宋体" w:cs="Times New Roman"/>
          <w:i w:val="0"/>
          <w:iCs w:val="0"/>
          <w:color w:val="auto"/>
          <w:lang w:val="en-US" w:eastAsia="zh-CN"/>
        </w:rPr>
        <w:t>is mapped to a corresponding SL-PRS resource ID in a same slot</w:t>
      </w:r>
      <w:r>
        <w:rPr>
          <w:rFonts w:eastAsia="Malgun Gothic"/>
          <w:color w:val="auto"/>
          <w:lang w:eastAsia="ko-KR"/>
        </w:rPr>
        <w:t>.</w:t>
      </w:r>
    </w:p>
    <w:p>
      <w:pPr>
        <w:spacing w:before="100" w:beforeAutospacing="1"/>
        <w:rPr>
          <w:rFonts w:hint="default" w:eastAsia="Malgun Gothic"/>
          <w:color w:val="auto"/>
          <w:lang w:val="en-US" w:eastAsia="zh-CN"/>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9</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ascii="Times New Roman" w:hAnsi="Times New Roman" w:cs="Times New Roman"/>
          <w:i w:val="0"/>
          <w:iCs w:val="0"/>
          <w:color w:val="auto"/>
        </w:rPr>
        <w:t>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w:t>
      </w:r>
      <w:r>
        <w:rPr>
          <w:rFonts w:hint="eastAsia" w:eastAsia="宋体" w:cs="Times New Roman"/>
          <w:i w:val="0"/>
          <w:iCs w:val="0"/>
          <w:color w:val="auto"/>
          <w:lang w:val="en-US" w:eastAsia="zh-CN"/>
        </w:rPr>
        <w:t>IDs in a slot are</w:t>
      </w:r>
      <w:r>
        <w:rPr>
          <w:rFonts w:ascii="Times New Roman" w:hAnsi="Times New Roman" w:cs="Times New Roman"/>
          <w:i w:val="0"/>
          <w:iCs w:val="0"/>
          <w:color w:val="auto"/>
        </w:rPr>
        <w:t xml:space="preserve"> </w:t>
      </w:r>
      <w:r>
        <w:rPr>
          <w:rFonts w:hint="eastAsia" w:eastAsiaTheme="minorEastAsia"/>
          <w:color w:val="auto"/>
          <w:lang w:val="en-US" w:eastAsia="zh-CN"/>
        </w:rPr>
        <w:t>derived by indexing the SL-PRS resources for all TDM</w:t>
      </w:r>
      <w:r>
        <w:rPr>
          <w:rFonts w:hint="default" w:eastAsiaTheme="minorEastAsia"/>
          <w:color w:val="auto"/>
          <w:lang w:val="en-US" w:eastAsia="zh-CN"/>
        </w:rPr>
        <w:t>’</w:t>
      </w:r>
      <w:r>
        <w:rPr>
          <w:rFonts w:hint="eastAsia" w:eastAsiaTheme="minorEastAsia"/>
          <w:color w:val="auto"/>
          <w:lang w:val="en-US" w:eastAsia="zh-CN"/>
        </w:rPr>
        <w:t>ed SL-PRS occasions in the slot in an RE offset first, SL-PRS occasion second manner</w:t>
      </w:r>
      <w:r>
        <w:rPr>
          <w:rFonts w:eastAsia="Malgun Gothic"/>
          <w:color w:val="auto"/>
          <w:lang w:eastAsia="ko-KR"/>
        </w:rPr>
        <w:t>.</w:t>
      </w:r>
    </w:p>
    <w:p>
      <w:pPr>
        <w:pStyle w:val="3"/>
        <w:rPr>
          <w:rFonts w:eastAsiaTheme="minorEastAsia"/>
          <w:lang w:eastAsia="zh-CN"/>
        </w:rPr>
      </w:pPr>
      <w:r>
        <w:rPr>
          <w:rFonts w:eastAsiaTheme="minorEastAsia"/>
          <w:lang w:eastAsia="zh-CN"/>
        </w:rPr>
        <w:t>SL-PRS bandwidth</w:t>
      </w:r>
    </w:p>
    <w:p>
      <w:pPr>
        <w:spacing w:after="180" w:afterLines="50" w:afterAutospacing="0"/>
        <w:rPr>
          <w:rFonts w:hint="eastAsia"/>
          <w:lang w:val="en-US" w:eastAsia="zh-CN"/>
        </w:rPr>
      </w:pPr>
      <w:r>
        <w:rPr>
          <w:rFonts w:hint="eastAsia"/>
          <w:lang w:val="en-US" w:eastAsia="zh-CN"/>
        </w:rPr>
        <w:t>Regarding SL-PRS bandwidth in a dedicated resource pool, the following was the latest FL proposal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pStyle w:val="4"/>
              <w:keepLines w:val="0"/>
              <w:pageBreakBefore w:val="0"/>
              <w:widowControl/>
              <w:numPr>
                <w:ilvl w:val="2"/>
                <w:numId w:val="0"/>
              </w:numPr>
              <w:suppressLineNumbers w:val="0"/>
              <w:kinsoku/>
              <w:wordWrap/>
              <w:overflowPunct/>
              <w:topLinePunct w:val="0"/>
              <w:autoSpaceDE/>
              <w:autoSpaceDN/>
              <w:bidi w:val="0"/>
              <w:adjustRightInd/>
              <w:snapToGrid w:val="0"/>
              <w:spacing w:before="0" w:beforeAutospacing="0" w:after="0" w:afterAutospacing="0"/>
              <w:ind w:left="0" w:leftChars="0" w:right="0"/>
              <w:jc w:val="both"/>
              <w:textAlignment w:val="auto"/>
              <w:outlineLvl w:val="2"/>
              <w:rPr>
                <w:rFonts w:hint="eastAsia" w:ascii="Times New Roman" w:hAnsi="Times New Roman" w:cs="Times New Roman"/>
                <w:color w:val="00B0F0"/>
                <w:szCs w:val="20"/>
              </w:rPr>
            </w:pPr>
            <w:r>
              <w:rPr>
                <w:rFonts w:hint="eastAsia" w:ascii="Times New Roman" w:hAnsi="Times New Roman" w:cs="Times New Roman"/>
                <w:color w:val="00B0F0"/>
                <w:szCs w:val="20"/>
              </w:rPr>
              <w:t>[High] FL5 Proposal 2.3.2-1</w:t>
            </w:r>
          </w:p>
          <w:p>
            <w:pPr>
              <w:keepNext w:val="0"/>
              <w:keepLines w:val="0"/>
              <w:pageBreakBefore w:val="0"/>
              <w:widowControl/>
              <w:numPr>
                <w:ilvl w:val="0"/>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cs="Times New Roman"/>
                <w:bCs/>
                <w:i/>
                <w:strike/>
                <w:color w:val="00B0F0"/>
                <w:szCs w:val="20"/>
              </w:rPr>
            </w:pPr>
            <w:r>
              <w:rPr>
                <w:rFonts w:hint="eastAsia" w:ascii="Times New Roman" w:hAnsi="Times New Roman" w:cs="Times New Roman"/>
                <w:bCs/>
                <w:i/>
                <w:color w:val="00B0F0"/>
                <w:szCs w:val="20"/>
              </w:rPr>
              <w:t xml:space="preserve">[Working assumption] For dedicated resource pools, SL PRS </w:t>
            </w:r>
            <w:r>
              <w:rPr>
                <w:rFonts w:hint="eastAsia" w:ascii="Times New Roman" w:hAnsi="Times New Roman" w:eastAsia="宋体" w:cs="Times New Roman"/>
                <w:i/>
                <w:iCs/>
                <w:color w:val="00B0F0"/>
                <w:szCs w:val="20"/>
              </w:rPr>
              <w:t xml:space="preserve">bandwidth </w:t>
            </w:r>
            <w:r>
              <w:rPr>
                <w:rFonts w:hint="eastAsia" w:ascii="Times New Roman" w:hAnsi="Times New Roman" w:cs="Times New Roman"/>
                <w:bCs/>
                <w:i/>
                <w:color w:val="00B0F0"/>
                <w:szCs w:val="20"/>
              </w:rPr>
              <w:t xml:space="preserve">can be same as or smaller than resource pool </w:t>
            </w:r>
            <w:r>
              <w:rPr>
                <w:rFonts w:hint="eastAsia" w:ascii="Times New Roman" w:hAnsi="Times New Roman" w:eastAsia="宋体" w:cs="Times New Roman"/>
                <w:i/>
                <w:iCs/>
                <w:color w:val="00B0F0"/>
                <w:szCs w:val="20"/>
              </w:rPr>
              <w:t xml:space="preserve">bandwidth where the SL PRS bandwidth is provided by higher layers </w:t>
            </w:r>
            <w:r>
              <w:rPr>
                <w:rFonts w:hint="eastAsia" w:ascii="Times New Roman" w:hAnsi="Times New Roman" w:eastAsia="宋体" w:cs="Times New Roman"/>
                <w:i/>
                <w:iCs/>
                <w:color w:val="00B0F0"/>
                <w:szCs w:val="20"/>
                <w:highlight w:val="yellow"/>
              </w:rPr>
              <w:t>at least to a Tx UE</w:t>
            </w:r>
            <w:r>
              <w:rPr>
                <w:rFonts w:hint="eastAsia" w:ascii="Times New Roman" w:hAnsi="Times New Roman" w:eastAsia="宋体" w:cs="Times New Roman"/>
                <w:i/>
                <w:iCs/>
                <w:color w:val="00B0F0"/>
                <w:szCs w:val="20"/>
              </w:rPr>
              <w:t>.</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cs="Times New Roman"/>
                <w:bCs/>
                <w:i/>
                <w:color w:val="7030A0"/>
                <w:szCs w:val="20"/>
              </w:rPr>
            </w:pPr>
            <w:r>
              <w:rPr>
                <w:rFonts w:hint="eastAsia" w:ascii="Times New Roman" w:hAnsi="Times New Roman" w:cs="Times New Roman"/>
                <w:bCs/>
                <w:i/>
                <w:color w:val="7030A0"/>
                <w:szCs w:val="20"/>
                <w:lang w:eastAsia="zh-CN"/>
              </w:rPr>
              <w:t>FFS: Details of higher layer signalling, including the option of selection by Tx UE.</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cs="Times New Roman"/>
                <w:bCs/>
                <w:i/>
                <w:color w:val="7030A0"/>
                <w:szCs w:val="20"/>
              </w:rPr>
            </w:pPr>
            <w:r>
              <w:rPr>
                <w:rFonts w:hint="eastAsia" w:ascii="Times New Roman" w:hAnsi="Times New Roman" w:cs="Times New Roman"/>
                <w:bCs/>
                <w:i/>
                <w:color w:val="7030A0"/>
                <w:szCs w:val="20"/>
              </w:rPr>
              <w:t xml:space="preserve">FFS: Whether Rx UE is </w:t>
            </w:r>
            <w:r>
              <w:rPr>
                <w:rFonts w:hint="eastAsia" w:ascii="Times New Roman" w:hAnsi="Times New Roman" w:cs="Times New Roman"/>
                <w:bCs/>
                <w:i/>
                <w:color w:val="7030A0"/>
                <w:szCs w:val="20"/>
                <w:highlight w:val="yellow"/>
              </w:rPr>
              <w:t>additionally</w:t>
            </w:r>
            <w:r>
              <w:rPr>
                <w:rFonts w:hint="eastAsia" w:ascii="Times New Roman" w:hAnsi="Times New Roman" w:cs="Times New Roman"/>
                <w:bCs/>
                <w:i/>
                <w:color w:val="7030A0"/>
                <w:szCs w:val="20"/>
              </w:rPr>
              <w:t xml:space="preserve"> provided SL PRS bandwidth via higher layers.</w:t>
            </w:r>
          </w:p>
          <w:p>
            <w:pPr>
              <w:keepNext w:val="0"/>
              <w:keepLines w:val="0"/>
              <w:pageBreakBefore w:val="0"/>
              <w:widowControl/>
              <w:numPr>
                <w:ilvl w:val="2"/>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eastAsia" w:ascii="Times New Roman" w:hAnsi="Times New Roman" w:cs="Times New Roman"/>
                <w:bCs/>
                <w:i/>
                <w:color w:val="7030A0"/>
                <w:szCs w:val="20"/>
              </w:rPr>
            </w:pPr>
            <w:r>
              <w:rPr>
                <w:rFonts w:hint="eastAsia" w:ascii="Times New Roman" w:hAnsi="Times New Roman" w:cs="Times New Roman"/>
                <w:bCs/>
                <w:i/>
                <w:color w:val="7030A0"/>
                <w:szCs w:val="20"/>
              </w:rPr>
              <w:t>NOTE: Information on SL PRS bandwidth is expected to be indicated at least via SCI associated with SL PRS.</w:t>
            </w:r>
          </w:p>
          <w:p>
            <w:pPr>
              <w:keepNext w:val="0"/>
              <w:keepLines w:val="0"/>
              <w:pageBreakBefore w:val="0"/>
              <w:widowControl/>
              <w:numPr>
                <w:ilvl w:val="1"/>
                <w:numId w:val="17"/>
              </w:numPr>
              <w:suppressLineNumbers w:val="0"/>
              <w:kinsoku/>
              <w:wordWrap/>
              <w:overflowPunct/>
              <w:topLinePunct w:val="0"/>
              <w:autoSpaceDE/>
              <w:autoSpaceDN/>
              <w:bidi w:val="0"/>
              <w:adjustRightInd/>
              <w:snapToGrid w:val="0"/>
              <w:spacing w:before="0" w:beforeAutospacing="0" w:after="0" w:afterAutospacing="0" w:line="259" w:lineRule="auto"/>
              <w:ind w:right="0"/>
              <w:jc w:val="left"/>
              <w:textAlignment w:val="auto"/>
              <w:rPr>
                <w:rFonts w:hint="default"/>
                <w:szCs w:val="20"/>
                <w:vertAlign w:val="baseline"/>
                <w:lang w:val="en-US" w:eastAsia="zh-CN"/>
              </w:rPr>
            </w:pPr>
            <w:r>
              <w:rPr>
                <w:rFonts w:hint="eastAsia" w:ascii="Times New Roman" w:hAnsi="Times New Roman" w:cs="Times New Roman"/>
                <w:bCs/>
                <w:i/>
                <w:color w:val="00B0F0"/>
                <w:szCs w:val="20"/>
              </w:rPr>
              <w:t>[One or more] allowed SL PRS bandwidth value(s) can be (pre-)configured on a per resource pool basis.</w:t>
            </w:r>
          </w:p>
        </w:tc>
      </w:tr>
    </w:tbl>
    <w:p>
      <w:pPr>
        <w:keepNext w:val="0"/>
        <w:keepLines w:val="0"/>
        <w:pageBreakBefore w:val="0"/>
        <w:widowControl/>
        <w:kinsoku/>
        <w:wordWrap/>
        <w:overflowPunct/>
        <w:topLinePunct w:val="0"/>
        <w:autoSpaceDE/>
        <w:autoSpaceDN/>
        <w:bidi w:val="0"/>
        <w:adjustRightInd/>
        <w:snapToGrid w:val="0"/>
        <w:spacing w:before="100" w:beforeAutospacing="1" w:after="180" w:afterLines="50" w:afterAutospacing="0"/>
        <w:textAlignment w:val="auto"/>
        <w:rPr>
          <w:rFonts w:hint="eastAsia"/>
          <w:lang w:val="en-US" w:eastAsia="zh-CN"/>
        </w:rPr>
      </w:pPr>
      <w:r>
        <w:rPr>
          <w:rFonts w:hint="eastAsia"/>
          <w:lang w:val="en-US" w:eastAsia="zh-CN"/>
        </w:rPr>
        <w:t>For dedicated resource pools, our preference on SL-PRS bandwidth in previous meetings had been that the bandwidth of SL-PRS should be same or smaller than that of the resource pool, in consideration of resource configuration/selection flexibility and resource utilization. However, we are now concerned about the complexity of the potential solution to achieve flexible SL-PRS bandwidth, especially when looking at the number of FFS latest FL proposal above, and the debates on different configuration options in RAN1#112bis-e even with those FFS. Therefore, we would like to change our view and support a simpler solution (i.e. SL PRS bandwidth is same as resource pool bandwidth) instead.</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w:t>
      </w:r>
      <w:r>
        <w:t xml:space="preserve"> </w:t>
      </w:r>
      <w:r>
        <w:rPr>
          <w:rFonts w:hint="eastAsia"/>
        </w:rPr>
        <w:t>For dedicated resource pools, SL PRS bandwidth is same as resource pool bandwidth</w:t>
      </w:r>
      <w:r>
        <w:rPr>
          <w:rFonts w:eastAsiaTheme="minorEastAsia"/>
          <w:lang w:eastAsia="zh-CN"/>
        </w:rPr>
        <w:t>.</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SL positioning reference signal, and make </w:t>
      </w:r>
      <w:r>
        <w:t>the following proposals</w:t>
      </w:r>
      <w:r>
        <w:rPr>
          <w:rFonts w:eastAsiaTheme="minorEastAsia"/>
          <w:lang w:eastAsia="zh-CN"/>
        </w:rPr>
        <w:t>.</w:t>
      </w:r>
    </w:p>
    <w:p>
      <w:pPr>
        <w:keepNext w:val="0"/>
        <w:keepLines w:val="0"/>
        <w:pageBreakBefore w:val="0"/>
        <w:widowControl/>
        <w:kinsoku/>
        <w:wordWrap/>
        <w:overflowPunct/>
        <w:topLinePunct w:val="0"/>
        <w:autoSpaceDE/>
        <w:autoSpaceDN/>
        <w:bidi w:val="0"/>
        <w:adjustRightInd/>
        <w:snapToGrid w:val="0"/>
        <w:spacing w:after="0" w:afterAutospacing="0"/>
        <w:contextualSpacing/>
        <w:textAlignment w:val="auto"/>
        <w:rPr>
          <w:rFonts w:ascii="Times New Roman" w:hAnsi="Times New Roman" w:eastAsia="Calibri"/>
          <w:szCs w:val="20"/>
        </w:rPr>
      </w:pPr>
      <w:r>
        <w:rPr>
          <w:b/>
          <w:bCs/>
        </w:rPr>
        <w:t xml:space="preserve">Proposal </w:t>
      </w:r>
      <w:r>
        <w:rPr>
          <w:b/>
          <w:bCs/>
        </w:rPr>
        <w:fldChar w:fldCharType="begin"/>
      </w:r>
      <w:r>
        <w:rPr>
          <w:b/>
          <w:bCs/>
        </w:rPr>
        <w:instrText xml:space="preserve"> SEQ Proposal \* ARABIC \r 1 </w:instrText>
      </w:r>
      <w:r>
        <w:rPr>
          <w:b/>
          <w:bCs/>
        </w:rPr>
        <w:fldChar w:fldCharType="separate"/>
      </w:r>
      <w:r>
        <w:rPr>
          <w:b/>
          <w:bCs/>
        </w:rPr>
        <w:t>1</w:t>
      </w:r>
      <w:r>
        <w:rPr>
          <w:b/>
          <w:bCs/>
        </w:rPr>
        <w:fldChar w:fldCharType="end"/>
      </w:r>
      <w:r>
        <w:rPr>
          <w:b/>
          <w:bCs/>
        </w:rPr>
        <w:t>:</w:t>
      </w:r>
      <w:r>
        <w:t xml:space="preserve"> </w:t>
      </w:r>
      <w:r>
        <w:rPr>
          <w:rFonts w:ascii="Times New Roman" w:hAnsi="Times New Roman"/>
          <w:szCs w:val="20"/>
          <w:lang w:eastAsia="zh-CN"/>
        </w:rPr>
        <w:t xml:space="preserve">For SL PRS sequence generation, </w:t>
      </w:r>
      <w:r>
        <w:rPr>
          <w:rFonts w:hint="eastAsia"/>
          <w:szCs w:val="20"/>
          <w:lang w:val="en-US" w:eastAsia="zh-CN"/>
        </w:rPr>
        <w:t xml:space="preserve">and for definition of </w:t>
      </w:r>
      <w:r>
        <w:rPr>
          <w:rFonts w:ascii="Times New Roman" w:hAnsi="Times New Roman"/>
          <w:szCs w:val="20"/>
          <w:lang w:eastAsia="zh-CN"/>
        </w:rPr>
        <w:t>the</w:t>
      </w:r>
      <w:r>
        <w:rPr>
          <w:rFonts w:ascii="Times New Roman" w:hAnsi="Times New Roman"/>
          <w:bCs/>
          <w:szCs w:val="20"/>
          <w:lang w:eastAsia="zh-CN"/>
        </w:rPr>
        <w:t xml:space="preserve"> parameter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m:nor/>
                <m:sty m:val="p"/>
              </m:rPr>
              <w:rPr>
                <w:rFonts w:ascii="Cambria Math" w:hAnsi="Cambria Math" w:eastAsia="宋体"/>
                <w:b w:val="0"/>
                <w:i w:val="0"/>
              </w:rPr>
              <m:t>ID,seq</m:t>
            </m:r>
            <m:ctrlPr>
              <w:rPr>
                <w:rFonts w:ascii="Cambria Math" w:hAnsi="Cambria Math" w:eastAsia="宋体"/>
              </w:rPr>
            </m:ctrlPr>
          </m:sub>
          <m:sup>
            <m:r>
              <m:rPr>
                <m:nor/>
                <m:sty m:val="p"/>
              </m:rPr>
              <w:rPr>
                <w:rFonts w:ascii="Cambria Math" w:hAnsi="Cambria Math" w:eastAsia="宋体"/>
                <w:b w:val="0"/>
                <w:i w:val="0"/>
              </w:rPr>
              <m:t>SL-PRS</m:t>
            </m:r>
            <m:ctrlPr>
              <w:rPr>
                <w:rFonts w:ascii="Cambria Math" w:hAnsi="Cambria Math" w:eastAsia="宋体"/>
              </w:rPr>
            </m:ctrlPr>
          </m:sup>
        </m:sSubSup>
      </m:oMath>
      <w:r>
        <w:rPr>
          <w:rFonts w:hint="eastAsia" w:hAnsi="Cambria Math" w:eastAsia="宋体"/>
          <w:i w:val="0"/>
          <w:lang w:val="en-US" w:eastAsia="zh-CN"/>
        </w:rPr>
        <w:t>, support Option 2</w:t>
      </w:r>
      <w:r>
        <w:rPr>
          <w:rFonts w:ascii="Times New Roman" w:hAnsi="Times New Roman"/>
          <w:szCs w:val="20"/>
          <w:lang w:eastAsia="zh-CN"/>
        </w:rPr>
        <w:t>:</w:t>
      </w:r>
    </w:p>
    <w:p>
      <w:pPr>
        <w:keepNext w:val="0"/>
        <w:keepLines w:val="0"/>
        <w:pageBreakBefore w:val="0"/>
        <w:widowControl/>
        <w:numPr>
          <w:ilvl w:val="0"/>
          <w:numId w:val="16"/>
        </w:numPr>
        <w:tabs>
          <w:tab w:val="left" w:pos="0"/>
        </w:tabs>
        <w:kinsoku/>
        <w:wordWrap/>
        <w:overflowPunct/>
        <w:topLinePunct w:val="0"/>
        <w:autoSpaceDE/>
        <w:autoSpaceDN/>
        <w:bidi w:val="0"/>
        <w:adjustRightInd/>
        <w:snapToGrid w:val="0"/>
        <w:spacing w:after="0" w:afterAutospacing="0"/>
        <w:contextualSpacing/>
        <w:textAlignment w:val="auto"/>
        <w:rPr>
          <w:rFonts w:ascii="Times New Roman" w:hAnsi="Times New Roman" w:eastAsia="Calibri"/>
          <w:bCs/>
          <w:iCs/>
          <w:szCs w:val="20"/>
        </w:rPr>
      </w:pPr>
      <w:r>
        <w:rPr>
          <w:rFonts w:ascii="Times New Roman" w:hAnsi="Times New Roman" w:eastAsia="Calibri"/>
          <w:iCs/>
          <w:szCs w:val="20"/>
        </w:rPr>
        <w:t>Option 2:</w:t>
      </w:r>
      <w:r>
        <w:rPr>
          <w:rFonts w:ascii="Times New Roman" w:hAnsi="Times New Roman" w:eastAsia="Calibri"/>
          <w:szCs w:val="20"/>
        </w:rPr>
        <w:t xml:space="preserve"> </w:t>
      </w:r>
      <m:oMath>
        <m:sSubSup>
          <m:sSubSupPr>
            <m:ctrlPr>
              <w:rPr>
                <w:rFonts w:ascii="Cambria Math" w:hAnsi="Cambria Math" w:eastAsia="宋体"/>
              </w:rPr>
            </m:ctrlPr>
          </m:sSubSupPr>
          <m:e>
            <m:r>
              <m:rPr/>
              <w:rPr>
                <w:rFonts w:ascii="Cambria Math" w:hAnsi="Cambria Math" w:eastAsia="宋体"/>
              </w:rPr>
              <m:t>n</m:t>
            </m:r>
            <m:ctrlPr>
              <w:rPr>
                <w:rFonts w:ascii="Cambria Math" w:hAnsi="Cambria Math" w:eastAsia="宋体"/>
              </w:rPr>
            </m:ctrlPr>
          </m:e>
          <m:sub>
            <m:r>
              <m:rPr>
                <m:nor/>
                <m:sty m:val="p"/>
              </m:rPr>
              <w:rPr>
                <w:rFonts w:ascii="Cambria Math" w:hAnsi="Cambria Math" w:eastAsia="宋体"/>
                <w:b w:val="0"/>
                <w:i w:val="0"/>
              </w:rPr>
              <m:t>ID,seq</m:t>
            </m:r>
            <m:ctrlPr>
              <w:rPr>
                <w:rFonts w:ascii="Cambria Math" w:hAnsi="Cambria Math" w:eastAsia="宋体"/>
              </w:rPr>
            </m:ctrlPr>
          </m:sub>
          <m:sup>
            <m:r>
              <m:rPr>
                <m:nor/>
                <m:sty m:val="p"/>
              </m:rPr>
              <w:rPr>
                <w:rFonts w:ascii="Cambria Math" w:hAnsi="Cambria Math" w:eastAsia="宋体"/>
                <w:b w:val="0"/>
                <w:i w:val="0"/>
              </w:rPr>
              <m:t>SL-PRS</m:t>
            </m:r>
            <m:ctrlPr>
              <w:rPr>
                <w:rFonts w:ascii="Cambria Math" w:hAnsi="Cambria Math" w:eastAsia="宋体"/>
              </w:rPr>
            </m:ctrlPr>
          </m:sup>
        </m:sSubSup>
      </m:oMath>
      <w:r>
        <w:rPr>
          <w:position w:val="-9"/>
        </w:rPr>
        <w:t xml:space="preserve"> </w:t>
      </w:r>
      <w:r>
        <w:rPr>
          <w:rFonts w:ascii="Times New Roman" w:hAnsi="Times New Roman" w:eastAsia="Calibri"/>
          <w:szCs w:val="20"/>
        </w:rPr>
        <w:t xml:space="preserve">is </w:t>
      </w:r>
      <w:r>
        <w:rPr>
          <w:rFonts w:ascii="Times New Roman" w:hAnsi="Times New Roman" w:eastAsia="Calibri"/>
          <w:iCs/>
          <w:szCs w:val="20"/>
        </w:rPr>
        <w:t xml:space="preserve">based on 12 LSB bits CRC of PSCCH associated with the SL PRS. </w:t>
      </w:r>
    </w:p>
    <w:p>
      <w:pPr>
        <w:spacing w:before="100" w:beforeAutospacing="1"/>
        <w:rPr>
          <w:rFonts w:hint="eastAsia" w:hAnsi="Cambria Math" w:eastAsia="宋体" w:cs="宋体"/>
          <w:i w:val="0"/>
          <w:sz w:val="24"/>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SL-PRS resource ID is not defined for a shared resource pool</w:t>
      </w:r>
      <w:r>
        <w:rPr>
          <w:rFonts w:hint="eastAsia" w:hAnsi="Cambria Math" w:eastAsia="宋体" w:cs="宋体"/>
          <w:i w:val="0"/>
          <w:sz w:val="24"/>
          <w:lang w:val="en-US" w:eastAsia="zh-CN"/>
        </w:rPr>
        <w:t>.</w:t>
      </w:r>
    </w:p>
    <w:p>
      <w:pPr>
        <w:spacing w:before="100" w:beforeAutospacing="1"/>
        <w:rPr>
          <w:rFonts w:hint="default" w:eastAsia="Malgun Gothic"/>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For periodic reservation of SL-PRS resources, the periodicity values supported in legacy SL communications are considered as a baseline</w:t>
      </w:r>
      <w:r>
        <w:rPr>
          <w:rFonts w:eastAsia="Malgun Gothic"/>
          <w:lang w:eastAsia="ko-KR"/>
        </w:rPr>
        <w:t>.</w:t>
      </w:r>
    </w:p>
    <w:p>
      <w:pPr>
        <w:spacing w:before="100" w:beforeAutospacing="1"/>
        <w:rPr>
          <w:rFonts w:hint="default" w:eastAsia="Malgun Gothic"/>
          <w:lang w:val="en-US"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eastAsia="宋体"/>
          <w:lang w:val="en-US" w:eastAsia="zh-CN"/>
        </w:rPr>
        <w:t>For both dedicated resource pools and shared resource pools, no additional comb sizes are supported.</w:t>
      </w:r>
    </w:p>
    <w:p>
      <w:pPr>
        <w:spacing w:before="100" w:beforeAutospacing="1"/>
        <w:rPr>
          <w:rFonts w:eastAsia="Malgun Gothic"/>
          <w:lang w:eastAsia="ko-KR"/>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A single </w:t>
      </w:r>
      <w:r>
        <w:rPr>
          <w:rFonts w:hint="eastAsia" w:eastAsia="宋体"/>
          <w:lang w:val="en-US" w:eastAsia="zh-CN"/>
        </w:rPr>
        <w:t xml:space="preserve">pair </w:t>
      </w:r>
      <w:r>
        <w:t>of (M, N) is configured in a dedicated resource pool or a shared resource pool</w:t>
      </w:r>
      <w:r>
        <w:rPr>
          <w:rFonts w:eastAsia="Malgun Gothic"/>
          <w:lang w:eastAsia="ko-KR"/>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6</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n a dedicated resource pool, a</w:t>
      </w:r>
      <w:r>
        <w:rPr>
          <w:rFonts w:ascii="Times New Roman" w:hAnsi="Times New Roman" w:cs="Times New Roman"/>
          <w:i w:val="0"/>
          <w:iCs w:val="0"/>
          <w:color w:val="auto"/>
        </w:rPr>
        <w:t xml:space="preserve"> SL</w:t>
      </w:r>
      <w:r>
        <w:rPr>
          <w:rFonts w:hint="eastAsia" w:eastAsia="宋体" w:cs="Times New Roman"/>
          <w:i w:val="0"/>
          <w:iCs w:val="0"/>
          <w:color w:val="auto"/>
          <w:lang w:val="en-US" w:eastAsia="zh-CN"/>
        </w:rPr>
        <w:t>-</w:t>
      </w:r>
      <w:r>
        <w:rPr>
          <w:rFonts w:ascii="Times New Roman" w:hAnsi="Times New Roman" w:cs="Times New Roman"/>
          <w:i w:val="0"/>
          <w:iCs w:val="0"/>
          <w:color w:val="auto"/>
        </w:rPr>
        <w:t>PRS resource is immediately preceded by an AGC symbol</w:t>
      </w:r>
      <w:r>
        <w:rPr>
          <w:rFonts w:eastAsia="Malgun Gothic"/>
          <w:color w:val="auto"/>
          <w:lang w:eastAsia="ko-KR"/>
        </w:rPr>
        <w:t>.</w:t>
      </w:r>
    </w:p>
    <w:p>
      <w:pPr>
        <w:spacing w:before="100" w:beforeAutospacing="1"/>
        <w:rPr>
          <w:rFonts w:hint="default" w:eastAsia="Malgun Gothic"/>
          <w:color w:val="auto"/>
          <w:lang w:val="en-US" w:eastAsia="zh-CN"/>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7</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n a dedicated resource pool, a</w:t>
      </w:r>
      <w:r>
        <w:rPr>
          <w:rFonts w:ascii="Times New Roman" w:hAnsi="Times New Roman" w:cs="Times New Roman"/>
          <w:i w:val="0"/>
          <w:iCs w:val="0"/>
          <w:color w:val="auto"/>
        </w:rPr>
        <w:t xml:space="preserve"> 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is immediately </w:t>
      </w:r>
      <w:r>
        <w:rPr>
          <w:rFonts w:hint="eastAsia" w:eastAsia="宋体" w:cs="Times New Roman"/>
          <w:i w:val="0"/>
          <w:iCs w:val="0"/>
          <w:color w:val="auto"/>
          <w:lang w:val="en-US" w:eastAsia="zh-CN"/>
        </w:rPr>
        <w:t xml:space="preserve">followed </w:t>
      </w:r>
      <w:r>
        <w:rPr>
          <w:rFonts w:ascii="Times New Roman" w:hAnsi="Times New Roman" w:cs="Times New Roman"/>
          <w:i w:val="0"/>
          <w:iCs w:val="0"/>
          <w:color w:val="auto"/>
        </w:rPr>
        <w:t xml:space="preserve">by a </w:t>
      </w:r>
      <w:r>
        <w:rPr>
          <w:rFonts w:hint="eastAsia" w:eastAsia="宋体" w:cs="Times New Roman"/>
          <w:i w:val="0"/>
          <w:iCs w:val="0"/>
          <w:color w:val="auto"/>
          <w:lang w:val="en-US" w:eastAsia="zh-CN"/>
        </w:rPr>
        <w:t>GAP</w:t>
      </w:r>
      <w:r>
        <w:rPr>
          <w:rFonts w:ascii="Times New Roman" w:hAnsi="Times New Roman" w:cs="Times New Roman"/>
          <w:i w:val="0"/>
          <w:iCs w:val="0"/>
          <w:color w:val="auto"/>
        </w:rPr>
        <w:t xml:space="preserve"> symbol</w:t>
      </w:r>
      <w:r>
        <w:rPr>
          <w:rFonts w:eastAsia="Malgun Gothic"/>
          <w:color w:val="auto"/>
          <w:lang w:eastAsia="ko-KR"/>
        </w:rPr>
        <w:t>.</w:t>
      </w:r>
    </w:p>
    <w:p>
      <w:pPr>
        <w:spacing w:before="100" w:beforeAutospacing="1"/>
        <w:rPr>
          <w:rFonts w:eastAsia="Malgun Gothic"/>
          <w:color w:val="auto"/>
          <w:lang w:eastAsia="ko-KR"/>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8</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hint="eastAsia" w:eastAsia="宋体" w:cs="Times New Roman"/>
          <w:i w:val="0"/>
          <w:iCs w:val="0"/>
          <w:color w:val="auto"/>
          <w:lang w:val="en-US" w:eastAsia="zh-CN"/>
        </w:rPr>
        <w:t xml:space="preserve">the index of </w:t>
      </w:r>
      <w:r>
        <w:rPr>
          <w:rFonts w:ascii="Times New Roman" w:hAnsi="Times New Roman" w:eastAsia="Calibri" w:cs="Times New Roman"/>
          <w:i w:val="0"/>
          <w:iCs w:val="0"/>
          <w:color w:val="auto"/>
        </w:rPr>
        <w:t>a</w:t>
      </w:r>
      <w:r>
        <w:rPr>
          <w:rFonts w:hint="eastAsia" w:eastAsia="宋体" w:cs="Times New Roman"/>
          <w:i w:val="0"/>
          <w:iCs w:val="0"/>
          <w:color w:val="auto"/>
          <w:lang w:val="en-US" w:eastAsia="zh-CN"/>
        </w:rPr>
        <w:t xml:space="preserve"> PSCCH</w:t>
      </w:r>
      <w:r>
        <w:rPr>
          <w:rFonts w:ascii="Times New Roman" w:hAnsi="Times New Roman" w:cs="Times New Roman"/>
          <w:i w:val="0"/>
          <w:iCs w:val="0"/>
          <w:color w:val="auto"/>
        </w:rPr>
        <w:t xml:space="preserve"> resource </w:t>
      </w:r>
      <w:r>
        <w:rPr>
          <w:rFonts w:hint="eastAsia" w:eastAsia="宋体" w:cs="Times New Roman"/>
          <w:i w:val="0"/>
          <w:iCs w:val="0"/>
          <w:color w:val="auto"/>
          <w:lang w:val="en-US" w:eastAsia="zh-CN"/>
        </w:rPr>
        <w:t>is mapped to a corresponding SL-PRS resource ID in a same slot</w:t>
      </w:r>
      <w:r>
        <w:rPr>
          <w:rFonts w:eastAsia="Malgun Gothic"/>
          <w:color w:val="auto"/>
          <w:lang w:eastAsia="ko-KR"/>
        </w:rPr>
        <w:t>.</w:t>
      </w:r>
    </w:p>
    <w:p>
      <w:pPr>
        <w:spacing w:before="100" w:beforeAutospacing="1"/>
        <w:rPr>
          <w:rFonts w:hint="default" w:eastAsia="Malgun Gothic"/>
          <w:color w:val="auto"/>
          <w:lang w:val="en-US" w:eastAsia="zh-CN"/>
        </w:rPr>
      </w:pPr>
      <w:r>
        <w:rPr>
          <w:b/>
          <w:bCs/>
          <w:color w:val="auto"/>
        </w:rPr>
        <w:t xml:space="preserve">Proposal </w:t>
      </w:r>
      <w:r>
        <w:rPr>
          <w:b/>
          <w:bCs/>
          <w:color w:val="auto"/>
        </w:rPr>
        <w:fldChar w:fldCharType="begin"/>
      </w:r>
      <w:r>
        <w:rPr>
          <w:b/>
          <w:bCs/>
          <w:color w:val="auto"/>
        </w:rPr>
        <w:instrText xml:space="preserve"> SEQ Proposal \* ARABIC </w:instrText>
      </w:r>
      <w:r>
        <w:rPr>
          <w:b/>
          <w:bCs/>
          <w:color w:val="auto"/>
        </w:rPr>
        <w:fldChar w:fldCharType="separate"/>
      </w:r>
      <w:r>
        <w:rPr>
          <w:b/>
          <w:bCs/>
          <w:color w:val="auto"/>
        </w:rPr>
        <w:t>9</w:t>
      </w:r>
      <w:r>
        <w:rPr>
          <w:b/>
          <w:bCs/>
          <w:color w:val="auto"/>
        </w:rPr>
        <w:fldChar w:fldCharType="end"/>
      </w:r>
      <w:r>
        <w:rPr>
          <w:b/>
          <w:bCs/>
          <w:color w:val="auto"/>
        </w:rPr>
        <w:t>:</w:t>
      </w:r>
      <w:r>
        <w:rPr>
          <w:color w:val="auto"/>
        </w:rPr>
        <w:t xml:space="preserve"> </w:t>
      </w:r>
      <w:r>
        <w:rPr>
          <w:rFonts w:hint="eastAsia" w:eastAsia="宋体"/>
          <w:i w:val="0"/>
          <w:iCs w:val="0"/>
          <w:color w:val="auto"/>
          <w:lang w:val="en-US" w:eastAsia="zh-CN"/>
        </w:rPr>
        <w:t>I</w:t>
      </w:r>
      <w:r>
        <w:rPr>
          <w:rFonts w:ascii="Times New Roman" w:hAnsi="Times New Roman" w:eastAsia="Calibri" w:cs="Times New Roman"/>
          <w:i w:val="0"/>
          <w:iCs w:val="0"/>
          <w:color w:val="auto"/>
        </w:rPr>
        <w:t xml:space="preserve">n a dedicated resource pool, </w:t>
      </w:r>
      <w:r>
        <w:rPr>
          <w:rFonts w:ascii="Times New Roman" w:hAnsi="Times New Roman" w:cs="Times New Roman"/>
          <w:i w:val="0"/>
          <w:iCs w:val="0"/>
          <w:color w:val="auto"/>
        </w:rPr>
        <w:t>SL</w:t>
      </w:r>
      <w:r>
        <w:rPr>
          <w:rFonts w:hint="eastAsia" w:eastAsia="宋体" w:cs="Times New Roman"/>
          <w:i w:val="0"/>
          <w:iCs w:val="0"/>
          <w:color w:val="auto"/>
          <w:lang w:val="en-US" w:eastAsia="zh-CN"/>
        </w:rPr>
        <w:t>-</w:t>
      </w:r>
      <w:r>
        <w:rPr>
          <w:rFonts w:ascii="Times New Roman" w:hAnsi="Times New Roman" w:cs="Times New Roman"/>
          <w:i w:val="0"/>
          <w:iCs w:val="0"/>
          <w:color w:val="auto"/>
        </w:rPr>
        <w:t xml:space="preserve">PRS resource </w:t>
      </w:r>
      <w:r>
        <w:rPr>
          <w:rFonts w:hint="eastAsia" w:eastAsia="宋体" w:cs="Times New Roman"/>
          <w:i w:val="0"/>
          <w:iCs w:val="0"/>
          <w:color w:val="auto"/>
          <w:lang w:val="en-US" w:eastAsia="zh-CN"/>
        </w:rPr>
        <w:t>IDs in a slot are</w:t>
      </w:r>
      <w:r>
        <w:rPr>
          <w:rFonts w:ascii="Times New Roman" w:hAnsi="Times New Roman" w:cs="Times New Roman"/>
          <w:i w:val="0"/>
          <w:iCs w:val="0"/>
          <w:color w:val="auto"/>
        </w:rPr>
        <w:t xml:space="preserve"> </w:t>
      </w:r>
      <w:r>
        <w:rPr>
          <w:rFonts w:hint="eastAsia" w:eastAsiaTheme="minorEastAsia"/>
          <w:color w:val="auto"/>
          <w:lang w:val="en-US" w:eastAsia="zh-CN"/>
        </w:rPr>
        <w:t>derived by indexing the SL-PRS resources for all TDM</w:t>
      </w:r>
      <w:r>
        <w:rPr>
          <w:rFonts w:hint="default" w:eastAsiaTheme="minorEastAsia"/>
          <w:color w:val="auto"/>
          <w:lang w:val="en-US" w:eastAsia="zh-CN"/>
        </w:rPr>
        <w:t>’</w:t>
      </w:r>
      <w:r>
        <w:rPr>
          <w:rFonts w:hint="eastAsia" w:eastAsiaTheme="minorEastAsia"/>
          <w:color w:val="auto"/>
          <w:lang w:val="en-US" w:eastAsia="zh-CN"/>
        </w:rPr>
        <w:t>ed SL-PRS occasions in the slot in an RE offset first, SL-PRS occasion second manner</w:t>
      </w:r>
      <w:r>
        <w:rPr>
          <w:rFonts w:eastAsia="Malgun Gothic"/>
          <w:color w:val="auto"/>
          <w:lang w:eastAsia="ko-KR"/>
        </w:rP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w:t>
      </w:r>
      <w:r>
        <w:t xml:space="preserve"> </w:t>
      </w:r>
      <w:r>
        <w:rPr>
          <w:rFonts w:hint="eastAsia"/>
        </w:rPr>
        <w:t>For dedicated resource pools, SL PRS bandwidth is same as resource pool bandwidth</w:t>
      </w:r>
      <w:r>
        <w:rPr>
          <w:rFonts w:eastAsiaTheme="minorEastAsia"/>
          <w:lang w:eastAsia="zh-CN"/>
        </w:rPr>
        <w:t>.</w:t>
      </w:r>
    </w:p>
    <w:p>
      <w:pPr>
        <w:pStyle w:val="2"/>
        <w:spacing w:after="180"/>
        <w:rPr>
          <w:rStyle w:val="60"/>
          <w:b w:val="0"/>
        </w:rPr>
      </w:pPr>
      <w:r>
        <w:t>References</w:t>
      </w:r>
    </w:p>
    <w:p>
      <w:pPr>
        <w:pStyle w:val="162"/>
      </w:pPr>
      <w:bookmarkStart w:id="4" w:name="_Ref124764504"/>
      <w:r>
        <w:t>RP-223549, “New WI: Expanded and Improved NR Positioning”, Intel Corporation, CATT, Ericsson, RAN#98e.</w:t>
      </w:r>
      <w:bookmarkEnd w:id="4"/>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MS UI Gothic"/>
    <w:panose1 w:val="02020609040205080304"/>
    <w:charset w:val="80"/>
    <w:family w:val="modern"/>
    <w:pitch w:val="default"/>
    <w:sig w:usb0="00000000" w:usb1="00000000"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UI Gothic">
    <w:panose1 w:val="020B0600070205080204"/>
    <w:charset w:val="80"/>
    <w:family w:val="auto"/>
    <w:pitch w:val="default"/>
    <w:sig w:usb0="E00002FF" w:usb1="6AC7FDFB" w:usb2="08000012" w:usb3="00000000" w:csb0="4002009F" w:csb1="DFD7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7">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8B12C7D"/>
    <w:multiLevelType w:val="multilevel"/>
    <w:tmpl w:val="68B12C7D"/>
    <w:lvl w:ilvl="0" w:tentative="0">
      <w:start w:val="1"/>
      <w:numFmt w:val="bullet"/>
      <w:lvlText w:val=""/>
      <w:lvlJc w:val="left"/>
      <w:pPr>
        <w:tabs>
          <w:tab w:val="left" w:pos="0"/>
        </w:tabs>
        <w:ind w:left="360" w:hanging="360"/>
      </w:pPr>
      <w:rPr>
        <w:rFonts w:hint="default" w:ascii="Symbol" w:hAnsi="Symbol" w:cs="Symbol"/>
        <w:color w:val="auto"/>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2">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4">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3"/>
  </w:num>
  <w:num w:numId="2">
    <w:abstractNumId w:val="2"/>
  </w:num>
  <w:num w:numId="3">
    <w:abstractNumId w:val="14"/>
  </w:num>
  <w:num w:numId="4">
    <w:abstractNumId w:val="1"/>
  </w:num>
  <w:num w:numId="5">
    <w:abstractNumId w:val="8"/>
  </w:num>
  <w:num w:numId="6">
    <w:abstractNumId w:val="9"/>
  </w:num>
  <w:num w:numId="7">
    <w:abstractNumId w:val="10"/>
  </w:num>
  <w:num w:numId="8">
    <w:abstractNumId w:val="16"/>
  </w:num>
  <w:num w:numId="9">
    <w:abstractNumId w:val="3"/>
  </w:num>
  <w:num w:numId="10">
    <w:abstractNumId w:val="6"/>
  </w:num>
  <w:num w:numId="11">
    <w:abstractNumId w:val="0"/>
  </w:num>
  <w:num w:numId="12">
    <w:abstractNumId w:val="7"/>
  </w:num>
  <w:num w:numId="13">
    <w:abstractNumId w:val="5"/>
  </w:num>
  <w:num w:numId="14">
    <w:abstractNumId w:val="12"/>
  </w:num>
  <w:num w:numId="15">
    <w:abstractNumId w:val="15"/>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2C34D3B"/>
    <w:rsid w:val="09856B38"/>
    <w:rsid w:val="0A364DC5"/>
    <w:rsid w:val="0CF4164C"/>
    <w:rsid w:val="0E3C21FB"/>
    <w:rsid w:val="115C1832"/>
    <w:rsid w:val="15545009"/>
    <w:rsid w:val="15E66E0B"/>
    <w:rsid w:val="1C8A2C92"/>
    <w:rsid w:val="1CBD59F2"/>
    <w:rsid w:val="1E8D52DB"/>
    <w:rsid w:val="20195055"/>
    <w:rsid w:val="21C449A9"/>
    <w:rsid w:val="26F423C5"/>
    <w:rsid w:val="29383FB8"/>
    <w:rsid w:val="2A1E1ABF"/>
    <w:rsid w:val="2FBD0A96"/>
    <w:rsid w:val="35344135"/>
    <w:rsid w:val="358B185E"/>
    <w:rsid w:val="363A25BC"/>
    <w:rsid w:val="3A841927"/>
    <w:rsid w:val="42E77377"/>
    <w:rsid w:val="43F03EA1"/>
    <w:rsid w:val="44A64316"/>
    <w:rsid w:val="481E653D"/>
    <w:rsid w:val="492472E2"/>
    <w:rsid w:val="4A4F009C"/>
    <w:rsid w:val="4B316422"/>
    <w:rsid w:val="4FFF4726"/>
    <w:rsid w:val="53634C01"/>
    <w:rsid w:val="53A47CF4"/>
    <w:rsid w:val="53AA2CFB"/>
    <w:rsid w:val="54E201AA"/>
    <w:rsid w:val="550F7A79"/>
    <w:rsid w:val="55574DA3"/>
    <w:rsid w:val="578C3520"/>
    <w:rsid w:val="5EA407EE"/>
    <w:rsid w:val="650E3D63"/>
    <w:rsid w:val="66D85847"/>
    <w:rsid w:val="6CBB5ECA"/>
    <w:rsid w:val="77F923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1854</Words>
  <Characters>9294</Characters>
  <Lines>67</Lines>
  <Paragraphs>19</Paragraphs>
  <TotalTime>7</TotalTime>
  <ScaleCrop>false</ScaleCrop>
  <LinksUpToDate>false</LinksUpToDate>
  <CharactersWithSpaces>11048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LC0515O2</cp:lastModifiedBy>
  <cp:lastPrinted>2013-09-26T07:23:00Z</cp:lastPrinted>
  <dcterms:modified xsi:type="dcterms:W3CDTF">2023-05-15T07:47:19Z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DF1E54DD64C84724835DF27745FBF3A2_12</vt:lpwstr>
  </property>
</Properties>
</file>