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AEA7E" w14:textId="7C3ED840" w:rsidR="009A21D9" w:rsidRPr="00605129" w:rsidRDefault="009A21D9" w:rsidP="009A21D9">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C40F92">
        <w:rPr>
          <w:rFonts w:ascii="Arial" w:hAnsi="Arial" w:cs="Arial"/>
          <w:b/>
          <w:bCs/>
          <w:snapToGrid w:val="0"/>
          <w:sz w:val="24"/>
          <w:lang w:val="en-GB"/>
        </w:rPr>
        <w:t>3</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1F7EB9">
        <w:rPr>
          <w:rFonts w:ascii="Arial" w:hAnsi="Arial" w:cs="Arial"/>
          <w:b/>
          <w:bCs/>
          <w:snapToGrid w:val="0"/>
          <w:sz w:val="24"/>
          <w:lang w:val="en-GB"/>
        </w:rPr>
        <w:t xml:space="preserve">  </w:t>
      </w:r>
      <w:r>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30</w:t>
      </w:r>
      <w:r w:rsidR="00C40F92">
        <w:rPr>
          <w:rFonts w:ascii="Arial" w:hAnsi="Arial" w:cs="Arial"/>
          <w:b/>
          <w:bCs/>
          <w:snapToGrid w:val="0"/>
          <w:sz w:val="24"/>
          <w:lang w:val="en-GB"/>
        </w:rPr>
        <w:t>5391</w:t>
      </w:r>
    </w:p>
    <w:p w14:paraId="4C388534" w14:textId="4C12EFB2" w:rsidR="009A21D9" w:rsidRPr="009A21D9" w:rsidRDefault="00C40F92" w:rsidP="00761643">
      <w:pPr>
        <w:pBdr>
          <w:bottom w:val="single" w:sz="12" w:space="1" w:color="auto"/>
        </w:pBdr>
        <w:rPr>
          <w:rFonts w:ascii="Arial" w:hAnsi="Arial" w:cs="Arial"/>
          <w:b/>
          <w:sz w:val="24"/>
          <w:lang w:val="en-GB"/>
        </w:rPr>
      </w:pPr>
      <w:r w:rsidRPr="00321B6D">
        <w:rPr>
          <w:rFonts w:ascii="Arial" w:eastAsia="MS Mincho" w:hAnsi="Arial" w:cs="Arial"/>
          <w:b/>
          <w:bCs/>
          <w:sz w:val="24"/>
          <w:lang w:eastAsia="ja-JP"/>
        </w:rPr>
        <w:t>Incheon, Korea, May 22nd – May 26th, 2023</w:t>
      </w:r>
    </w:p>
    <w:p w14:paraId="5CF13E63" w14:textId="223F8FA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9A21D9">
        <w:rPr>
          <w:rFonts w:ascii="Arial" w:hAnsi="Arial" w:cs="Arial"/>
          <w:sz w:val="24"/>
        </w:rPr>
        <w:t>9</w:t>
      </w:r>
      <w:r w:rsidRPr="00F06030">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453EEAB0"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730A84" w:rsidRPr="00730A84">
        <w:rPr>
          <w:rFonts w:ascii="Arial" w:hAnsi="Arial" w:cs="Arial"/>
          <w:sz w:val="24"/>
        </w:rPr>
        <w:t>Discussion on network verified UE location for NR NTN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1819316E" w14:textId="360E0033" w:rsidR="00B142D1" w:rsidRDefault="0002749D" w:rsidP="002C3187">
      <w:pPr>
        <w:spacing w:line="360" w:lineRule="auto"/>
        <w:ind w:firstLineChars="150" w:firstLine="330"/>
        <w:contextualSpacing/>
      </w:pPr>
      <w:r>
        <w:rPr>
          <w:rFonts w:hint="eastAsia"/>
        </w:rPr>
        <w:t>In RAN1#11</w:t>
      </w:r>
      <w:r w:rsidR="00561D34">
        <w:t>2</w:t>
      </w:r>
      <w:r w:rsidR="009C05AF">
        <w:t>b-e</w:t>
      </w:r>
      <w:r>
        <w:rPr>
          <w:rFonts w:hint="eastAsia"/>
        </w:rPr>
        <w:t xml:space="preserve"> meeting, </w:t>
      </w:r>
      <w:r w:rsidR="002C3187">
        <w:t xml:space="preserve">agreement related to UE and gNB Rx-Tx time difference for </w:t>
      </w:r>
      <w:r w:rsidR="00AF1BC5">
        <w:t>a</w:t>
      </w:r>
      <w:r w:rsidR="00431D3A">
        <w:t xml:space="preserve"> single satellite based multi-RTT </w:t>
      </w:r>
      <w:r>
        <w:t>for network verified UE location.</w:t>
      </w:r>
      <w:r w:rsidR="002C3187">
        <w:t xml:space="preserve"> </w:t>
      </w:r>
      <w:r w:rsidR="000B45E0">
        <w:t>T</w:t>
      </w:r>
      <w:r w:rsidR="000B45E0">
        <w:rPr>
          <w:rFonts w:hint="eastAsia"/>
        </w:rPr>
        <w:t xml:space="preserve">his </w:t>
      </w:r>
      <w:r w:rsidR="000B45E0">
        <w:t xml:space="preserve">contribution discusses and provides our view on </w:t>
      </w:r>
      <w:r w:rsidR="00F81A6F">
        <w:t>network verified UE location for NR NTN.</w:t>
      </w:r>
      <w:r w:rsidR="000B45E0">
        <w:t xml:space="preserve"> </w:t>
      </w:r>
    </w:p>
    <w:p w14:paraId="0B205F98" w14:textId="77777777" w:rsidR="0038385B" w:rsidRDefault="0038385B" w:rsidP="00F25AE7">
      <w:pPr>
        <w:spacing w:line="360" w:lineRule="auto"/>
        <w:contextualSpacing/>
      </w:pPr>
    </w:p>
    <w:p w14:paraId="198A141E" w14:textId="363FD55B" w:rsidR="00F06030" w:rsidRDefault="00F06030" w:rsidP="00F06030">
      <w:pPr>
        <w:pStyle w:val="1"/>
      </w:pPr>
      <w:r w:rsidRPr="00F06030">
        <w:t>Discussion</w:t>
      </w:r>
      <w:r w:rsidR="00592A4B">
        <w:t>s</w:t>
      </w:r>
      <w:r w:rsidR="00A72AB5">
        <w:t xml:space="preserve"> on single satellite based Multi-RTT positioning</w:t>
      </w:r>
    </w:p>
    <w:p w14:paraId="329D4A58" w14:textId="558D52C8" w:rsidR="00E73004" w:rsidRDefault="009E03CA" w:rsidP="00E73004">
      <w:pPr>
        <w:pStyle w:val="2"/>
      </w:pPr>
      <w:r>
        <w:t>RTT</w:t>
      </w:r>
      <w:r w:rsidR="00572858">
        <w:t xml:space="preserve"> determination</w:t>
      </w:r>
    </w:p>
    <w:p w14:paraId="558CDC21" w14:textId="4E25AEC2" w:rsidR="00A72AB5" w:rsidRDefault="00A72AB5" w:rsidP="00A72AB5">
      <w:pPr>
        <w:spacing w:line="360" w:lineRule="auto"/>
        <w:ind w:firstLineChars="100" w:firstLine="220"/>
        <w:contextualSpacing/>
      </w:pPr>
      <w:r>
        <w:t xml:space="preserve">It was agreed to prioritize multi-RTT assuming a single satellite in view in normative phase. Illustration of multi-RTT with a single satellite is depicted in Figure 1. </w:t>
      </w:r>
    </w:p>
    <w:p w14:paraId="181E2EA3" w14:textId="1103D108" w:rsidR="00E36D0E" w:rsidRDefault="00502B31" w:rsidP="00502B31">
      <w:pPr>
        <w:jc w:val="center"/>
      </w:pPr>
      <w:r>
        <w:object w:dxaOrig="3564" w:dyaOrig="2232" w14:anchorId="04AA198E">
          <v:shape id="_x0000_i1026" type="#_x0000_t75" style="width:288.5pt;height:181.35pt" o:ole="">
            <v:imagedata r:id="rId8" o:title=""/>
          </v:shape>
          <o:OLEObject Type="Embed" ProgID="Visio.Drawing.15" ShapeID="_x0000_i1026" DrawAspect="Content" ObjectID="_1745442772" r:id="rId9"/>
        </w:object>
      </w:r>
    </w:p>
    <w:p w14:paraId="073F511E" w14:textId="3F865C07" w:rsidR="00E36D0E" w:rsidRDefault="00502B31" w:rsidP="00502B31">
      <w:pPr>
        <w:jc w:val="center"/>
        <w:rPr>
          <w:rFonts w:eastAsia="맑은 고딕"/>
          <w:b/>
        </w:rPr>
      </w:pPr>
      <w:r>
        <w:rPr>
          <w:rFonts w:eastAsia="맑은 고딕" w:hint="eastAsia"/>
          <w:b/>
        </w:rPr>
        <w:t xml:space="preserve">Figure 1. Illustration of multi-RTT with a </w:t>
      </w:r>
      <w:r>
        <w:rPr>
          <w:rFonts w:eastAsia="맑은 고딕"/>
          <w:b/>
        </w:rPr>
        <w:t>single satellite</w:t>
      </w:r>
    </w:p>
    <w:p w14:paraId="24693A62" w14:textId="492B77BE" w:rsidR="00A62AD0" w:rsidRDefault="0010057C" w:rsidP="00AE62A5">
      <w:pPr>
        <w:spacing w:line="360" w:lineRule="auto"/>
        <w:ind w:firstLineChars="100" w:firstLine="220"/>
      </w:pPr>
      <w:r>
        <w:rPr>
          <w:rFonts w:hint="eastAsia"/>
        </w:rPr>
        <w:t xml:space="preserve">In </w:t>
      </w:r>
      <w:r>
        <w:t>TN</w:t>
      </w:r>
      <w:r>
        <w:rPr>
          <w:rFonts w:hint="eastAsia"/>
        </w:rPr>
        <w:t xml:space="preserve">, in order </w:t>
      </w:r>
      <w:r>
        <w:t xml:space="preserve">to determine </w:t>
      </w:r>
      <w:r w:rsidR="00A22934">
        <w:t>RTT</w:t>
      </w:r>
      <w:r w:rsidR="00012C05">
        <w:t xml:space="preserve">, </w:t>
      </w:r>
      <w:r>
        <w:t xml:space="preserve">gNB Rx-Tx time difference measurement and UE Rx-Tx time difference measurement are defined in TS 38.215. </w:t>
      </w:r>
      <w:r w:rsidR="00A62AD0">
        <w:t xml:space="preserve">Also, the reference point for </w:t>
      </w:r>
      <w:r w:rsidR="00A62AD0">
        <w:t>gNB Rx-Tx time difference measurement</w:t>
      </w:r>
      <w:r w:rsidR="00A62AD0">
        <w:t xml:space="preserve"> is defined in TS 38.215. For NTN, s</w:t>
      </w:r>
      <w:r>
        <w:t xml:space="preserve">imilar mechanism can be employed for </w:t>
      </w:r>
      <w:r w:rsidR="00B84E9E">
        <w:t xml:space="preserve">a </w:t>
      </w:r>
      <w:r>
        <w:t xml:space="preserve">single satellite based multi-RTT positioning. </w:t>
      </w:r>
    </w:p>
    <w:p w14:paraId="6F45E80C" w14:textId="62B49F19" w:rsidR="00012C05" w:rsidRDefault="00A62AD0" w:rsidP="00A62AD0">
      <w:pPr>
        <w:spacing w:line="360" w:lineRule="auto"/>
        <w:ind w:firstLineChars="100" w:firstLine="220"/>
      </w:pPr>
      <w:r>
        <w:t>First</w:t>
      </w:r>
      <w:r w:rsidR="0010057C">
        <w:t xml:space="preserve">, </w:t>
      </w:r>
      <w:r>
        <w:t>for the reference of</w:t>
      </w:r>
      <w:r>
        <w:t xml:space="preserve"> gNB Rx-Tx time difference measurement</w:t>
      </w:r>
      <w:r>
        <w:t>,</w:t>
      </w:r>
      <w:r>
        <w:t xml:space="preserve"> </w:t>
      </w:r>
      <w:r>
        <w:t xml:space="preserve">it was intensively discussed during previous meetings, but it was failed to achieve consensus. </w:t>
      </w:r>
      <w:r w:rsidR="00562E4B">
        <w:t xml:space="preserve">During the discussion, </w:t>
      </w:r>
      <w:r w:rsidR="00930E3A">
        <w:t>two</w:t>
      </w:r>
      <w:r w:rsidR="0010057C">
        <w:t xml:space="preserve"> options </w:t>
      </w:r>
      <w:r w:rsidR="0010057C">
        <w:lastRenderedPageBreak/>
        <w:t>for gNB Rx-Tx time difference</w:t>
      </w:r>
      <w:r w:rsidR="00930E3A">
        <w:t xml:space="preserve"> </w:t>
      </w:r>
      <w:r w:rsidR="00AE62A5">
        <w:t xml:space="preserve">are </w:t>
      </w:r>
      <w:r w:rsidR="00930E3A">
        <w:t xml:space="preserve">listed </w:t>
      </w:r>
      <w:r w:rsidR="00562E4B">
        <w:t xml:space="preserve">[1] </w:t>
      </w:r>
      <w:r w:rsidR="00AE62A5">
        <w:t>as follows.</w:t>
      </w:r>
      <w:r w:rsidR="00930E3A">
        <w:t xml:space="preserve"> </w:t>
      </w:r>
    </w:p>
    <w:p w14:paraId="53BDDD74" w14:textId="77777777" w:rsidR="00B84E9E" w:rsidRDefault="00B84E9E" w:rsidP="00B84E9E">
      <w:pPr>
        <w:pStyle w:val="a6"/>
        <w:numPr>
          <w:ilvl w:val="0"/>
          <w:numId w:val="23"/>
        </w:numPr>
        <w:spacing w:line="360" w:lineRule="auto"/>
        <w:ind w:leftChars="0"/>
      </w:pPr>
      <w:r>
        <w:t>Option 1: The uplink time synchronization reference point</w:t>
      </w:r>
    </w:p>
    <w:p w14:paraId="18175520" w14:textId="06CEB3BE" w:rsidR="00930E3A" w:rsidRDefault="00B84E9E" w:rsidP="00B84E9E">
      <w:pPr>
        <w:pStyle w:val="a6"/>
        <w:numPr>
          <w:ilvl w:val="0"/>
          <w:numId w:val="23"/>
        </w:numPr>
        <w:spacing w:line="360" w:lineRule="auto"/>
        <w:ind w:leftChars="0"/>
      </w:pPr>
      <w:r>
        <w:t>Option</w:t>
      </w:r>
      <w:r w:rsidR="00AE62A5">
        <w:t xml:space="preserve"> </w:t>
      </w:r>
      <w:r>
        <w:t>2: The reference point for performing gNB receive-transmit time difference measurement which is on the gNB</w:t>
      </w:r>
    </w:p>
    <w:p w14:paraId="45E69699" w14:textId="05C8AF54" w:rsidR="00012C05" w:rsidRPr="00F852E5" w:rsidRDefault="00AE62A5" w:rsidP="002C3187">
      <w:pPr>
        <w:spacing w:line="360" w:lineRule="auto"/>
      </w:pPr>
      <w:r>
        <w:rPr>
          <w:rFonts w:hint="eastAsia"/>
        </w:rPr>
        <w:t xml:space="preserve">  </w:t>
      </w:r>
      <w:r w:rsidR="00562E4B">
        <w:t xml:space="preserve">In our view, two options can work well for a single satellite based multi-RTT positioning. The difference is </w:t>
      </w:r>
      <w:r w:rsidR="002C3187">
        <w:t>required</w:t>
      </w:r>
      <w:r w:rsidR="00562E4B">
        <w:t xml:space="preserve"> additional signaling</w:t>
      </w:r>
      <w:r w:rsidR="002C3187">
        <w:t>/information at LMF</w:t>
      </w:r>
      <w:r w:rsidR="0060730A">
        <w:t xml:space="preserve">, e.g., </w:t>
      </w:r>
      <w:r w:rsidR="002C3187">
        <w:t>Common TA, K_mac, feederlink delay, etc</w:t>
      </w:r>
      <w:r w:rsidR="00562E4B">
        <w:t>.</w:t>
      </w:r>
      <w:r w:rsidR="002C3187">
        <w:t xml:space="preserve"> </w:t>
      </w:r>
      <w:r w:rsidR="00572858">
        <w:rPr>
          <w:lang w:eastAsia="x-none"/>
        </w:rPr>
        <w:t xml:space="preserve">In our view, legacy definition of reference point </w:t>
      </w:r>
      <w:r w:rsidR="00572858" w:rsidRPr="00572858">
        <w:rPr>
          <w:lang w:eastAsia="x-none"/>
        </w:rPr>
        <w:t>for definition of gNB Rx–Tx time difference measurement</w:t>
      </w:r>
      <w:r w:rsidR="00572858">
        <w:rPr>
          <w:lang w:eastAsia="x-none"/>
        </w:rPr>
        <w:t xml:space="preserve"> can be reused since the measurement is taken at the gNB at least for transparent payload. So, option </w:t>
      </w:r>
      <w:r w:rsidR="002C3187">
        <w:rPr>
          <w:lang w:eastAsia="x-none"/>
        </w:rPr>
        <w:t>2</w:t>
      </w:r>
      <w:r w:rsidR="00572858">
        <w:rPr>
          <w:lang w:eastAsia="x-none"/>
        </w:rPr>
        <w:t xml:space="preserve"> (on the gNB) is preferred. </w:t>
      </w:r>
    </w:p>
    <w:p w14:paraId="7F9C76C1" w14:textId="7F280960" w:rsidR="00F852E5" w:rsidRDefault="00572858" w:rsidP="00572858">
      <w:pPr>
        <w:spacing w:line="360" w:lineRule="auto"/>
      </w:pPr>
      <w:r w:rsidRPr="001E3B8D">
        <w:rPr>
          <w:rFonts w:eastAsia="맑은 고딕" w:hint="eastAsia"/>
          <w:b/>
        </w:rPr>
        <w:t>Proposal #</w:t>
      </w:r>
      <w:r>
        <w:rPr>
          <w:rFonts w:eastAsia="맑은 고딕"/>
          <w:b/>
        </w:rPr>
        <w:t>1</w:t>
      </w:r>
      <w:r w:rsidRPr="001E3B8D">
        <w:rPr>
          <w:rFonts w:eastAsia="맑은 고딕" w:hint="eastAsia"/>
          <w:b/>
        </w:rPr>
        <w:t xml:space="preserve">: </w:t>
      </w:r>
      <w:r>
        <w:rPr>
          <w:rFonts w:eastAsia="맑은 고딕"/>
          <w:b/>
        </w:rPr>
        <w:t xml:space="preserve">Support option </w:t>
      </w:r>
      <w:r w:rsidR="002C3187">
        <w:rPr>
          <w:rFonts w:eastAsia="맑은 고딕"/>
          <w:b/>
        </w:rPr>
        <w:t>2</w:t>
      </w:r>
      <w:r>
        <w:rPr>
          <w:rFonts w:eastAsia="맑은 고딕"/>
          <w:b/>
        </w:rPr>
        <w:t xml:space="preserve"> </w:t>
      </w:r>
      <w:r w:rsidRPr="00572858">
        <w:rPr>
          <w:rFonts w:eastAsia="맑은 고딕"/>
          <w:b/>
        </w:rPr>
        <w:t>(on the gNB</w:t>
      </w:r>
      <w:r>
        <w:rPr>
          <w:rFonts w:eastAsia="맑은 고딕"/>
          <w:b/>
        </w:rPr>
        <w:t xml:space="preserve">) for the </w:t>
      </w:r>
      <w:r w:rsidRPr="00572858">
        <w:rPr>
          <w:rFonts w:eastAsia="맑은 고딕"/>
          <w:b/>
        </w:rPr>
        <w:t>reference point for defin</w:t>
      </w:r>
      <w:r>
        <w:rPr>
          <w:rFonts w:eastAsia="맑은 고딕"/>
          <w:b/>
        </w:rPr>
        <w:t xml:space="preserve">ing </w:t>
      </w:r>
      <w:r w:rsidRPr="00572858">
        <w:rPr>
          <w:rFonts w:eastAsia="맑은 고딕"/>
          <w:b/>
        </w:rPr>
        <w:t>gNB Rx–Tx time difference measurement</w:t>
      </w:r>
      <w:r>
        <w:rPr>
          <w:rFonts w:eastAsia="맑은 고딕"/>
          <w:b/>
        </w:rPr>
        <w:t xml:space="preserve">. </w:t>
      </w:r>
    </w:p>
    <w:p w14:paraId="350F308B" w14:textId="10655AD5" w:rsidR="009831F4" w:rsidRDefault="002C3187" w:rsidP="009831F4">
      <w:pPr>
        <w:spacing w:line="360" w:lineRule="auto"/>
        <w:ind w:firstLine="228"/>
      </w:pPr>
      <w:r>
        <mc:AlternateContent>
          <mc:Choice Requires="wps">
            <w:drawing>
              <wp:anchor distT="45720" distB="45720" distL="114300" distR="114300" simplePos="0" relativeHeight="251661312" behindDoc="0" locked="0" layoutInCell="1" allowOverlap="1" wp14:anchorId="0D25989D" wp14:editId="5D660F91">
                <wp:simplePos x="0" y="0"/>
                <wp:positionH relativeFrom="column">
                  <wp:posOffset>30480</wp:posOffset>
                </wp:positionH>
                <wp:positionV relativeFrom="paragraph">
                  <wp:posOffset>200660</wp:posOffset>
                </wp:positionV>
                <wp:extent cx="5730240" cy="1404620"/>
                <wp:effectExtent l="0" t="0" r="22860" b="13335"/>
                <wp:wrapTopAndBottom/>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1404620"/>
                        </a:xfrm>
                        <a:prstGeom prst="rect">
                          <a:avLst/>
                        </a:prstGeom>
                        <a:solidFill>
                          <a:srgbClr val="FFFFFF"/>
                        </a:solidFill>
                        <a:ln w="9525">
                          <a:solidFill>
                            <a:srgbClr val="000000"/>
                          </a:solidFill>
                          <a:miter lim="800000"/>
                          <a:headEnd/>
                          <a:tailEnd/>
                        </a:ln>
                      </wps:spPr>
                      <wps:txbx>
                        <w:txbxContent>
                          <w:p w14:paraId="0A04F532" w14:textId="77777777" w:rsidR="002C3187" w:rsidRPr="00EC3473" w:rsidRDefault="002C3187" w:rsidP="002C3187">
                            <w:pPr>
                              <w:tabs>
                                <w:tab w:val="left" w:pos="1064"/>
                              </w:tabs>
                              <w:rPr>
                                <w:b/>
                                <w:highlight w:val="green"/>
                                <w:lang w:eastAsia="x-none"/>
                              </w:rPr>
                            </w:pPr>
                            <w:r w:rsidRPr="00EC3473">
                              <w:rPr>
                                <w:rFonts w:hint="eastAsia"/>
                                <w:b/>
                                <w:highlight w:val="green"/>
                                <w:lang w:eastAsia="x-none"/>
                              </w:rPr>
                              <w:t>Agreement</w:t>
                            </w:r>
                          </w:p>
                          <w:p w14:paraId="7B3F3555" w14:textId="77777777" w:rsidR="002C3187" w:rsidRPr="00DE27CE" w:rsidRDefault="002C3187" w:rsidP="002C3187">
                            <w:pPr>
                              <w:pStyle w:val="ae"/>
                              <w:spacing w:before="0" w:beforeAutospacing="0" w:after="0" w:afterAutospacing="0"/>
                              <w:rPr>
                                <w:rFonts w:ascii="Times New Roman" w:hAnsi="Times New Roman" w:cs="Times New Roman"/>
                                <w:bCs/>
                                <w:sz w:val="20"/>
                                <w:szCs w:val="20"/>
                              </w:rPr>
                            </w:pPr>
                            <w:r w:rsidRPr="00DE27CE">
                              <w:rPr>
                                <w:rFonts w:ascii="Times New Roman" w:hAnsi="Times New Roman" w:cs="Times New Roman"/>
                                <w:sz w:val="20"/>
                                <w:szCs w:val="20"/>
                              </w:rPr>
                              <w:t>For RTT determination in NTN, discuss further the accuracy, and reporting details of combinations of the following UE and gNB receive-transmit time difference measurements:</w:t>
                            </w:r>
                          </w:p>
                          <w:p w14:paraId="42EE0A98" w14:textId="77777777" w:rsidR="002C3187" w:rsidRPr="00DE27CE" w:rsidRDefault="002C3187" w:rsidP="002C3187">
                            <w:pPr>
                              <w:widowControl/>
                              <w:numPr>
                                <w:ilvl w:val="0"/>
                                <w:numId w:val="22"/>
                              </w:numPr>
                              <w:wordWrap/>
                              <w:autoSpaceDE/>
                              <w:autoSpaceDN/>
                              <w:spacing w:after="0" w:line="240" w:lineRule="auto"/>
                              <w:jc w:val="left"/>
                              <w:rPr>
                                <w:bCs/>
                                <w:szCs w:val="20"/>
                              </w:rPr>
                            </w:pPr>
                            <w:r w:rsidRPr="00DE27CE">
                              <w:rPr>
                                <w:bCs/>
                                <w:szCs w:val="20"/>
                              </w:rPr>
                              <w:t>Alt-1: UE Rx-Tx time difference based on Option 3 and gNB Rx-Tx time difference as defined in TS 38.215.</w:t>
                            </w:r>
                            <w:r w:rsidRPr="00DE27CE">
                              <w:rPr>
                                <w:szCs w:val="20"/>
                              </w:rPr>
                              <w:t xml:space="preserve"> </w:t>
                            </w:r>
                          </w:p>
                          <w:p w14:paraId="411947DA" w14:textId="77777777" w:rsidR="002C3187" w:rsidRPr="00DE27CE" w:rsidRDefault="002C3187" w:rsidP="002C3187">
                            <w:pPr>
                              <w:widowControl/>
                              <w:numPr>
                                <w:ilvl w:val="1"/>
                                <w:numId w:val="22"/>
                              </w:numPr>
                              <w:wordWrap/>
                              <w:autoSpaceDE/>
                              <w:autoSpaceDN/>
                              <w:spacing w:after="0" w:line="240" w:lineRule="auto"/>
                              <w:ind w:left="1288"/>
                              <w:jc w:val="left"/>
                              <w:rPr>
                                <w:bCs/>
                                <w:szCs w:val="20"/>
                              </w:rPr>
                            </w:pPr>
                            <w:r w:rsidRPr="00DE27CE">
                              <w:rPr>
                                <w:bCs/>
                                <w:szCs w:val="20"/>
                              </w:rPr>
                              <w:t>Note 1: The signaling method of UE Rx-Tx time difference definition option 1 is not precluded if Alt1 is adopted</w:t>
                            </w:r>
                          </w:p>
                          <w:p w14:paraId="01E65FD9" w14:textId="77777777" w:rsidR="002C3187" w:rsidRPr="00FC3854" w:rsidRDefault="002C3187" w:rsidP="002C3187">
                            <w:pPr>
                              <w:widowControl/>
                              <w:numPr>
                                <w:ilvl w:val="0"/>
                                <w:numId w:val="22"/>
                              </w:numPr>
                              <w:wordWrap/>
                              <w:autoSpaceDE/>
                              <w:autoSpaceDN/>
                              <w:spacing w:after="0" w:line="240" w:lineRule="auto"/>
                              <w:jc w:val="left"/>
                              <w:rPr>
                                <w:bCs/>
                                <w:szCs w:val="20"/>
                              </w:rPr>
                            </w:pPr>
                            <w:r w:rsidRPr="00FC3854">
                              <w:rPr>
                                <w:bCs/>
                                <w:szCs w:val="20"/>
                              </w:rPr>
                              <w:t>Alt-2: UE Rx-Tx time difference based on Option 2 and gNB Rx-Tx time difference as defined in TS 38.215.</w:t>
                            </w:r>
                            <w:r w:rsidRPr="00FC3854">
                              <w:rPr>
                                <w:szCs w:val="20"/>
                              </w:rPr>
                              <w:t xml:space="preserve"> </w:t>
                            </w:r>
                          </w:p>
                          <w:p w14:paraId="7DF7BFA6" w14:textId="77777777" w:rsidR="002C3187" w:rsidRPr="00FC3854" w:rsidRDefault="002C3187" w:rsidP="002C3187">
                            <w:pPr>
                              <w:widowControl/>
                              <w:numPr>
                                <w:ilvl w:val="1"/>
                                <w:numId w:val="22"/>
                              </w:numPr>
                              <w:wordWrap/>
                              <w:autoSpaceDE/>
                              <w:autoSpaceDN/>
                              <w:spacing w:after="0" w:line="240" w:lineRule="auto"/>
                              <w:ind w:left="1288"/>
                              <w:jc w:val="left"/>
                              <w:rPr>
                                <w:bCs/>
                                <w:szCs w:val="20"/>
                              </w:rPr>
                            </w:pPr>
                            <w:r w:rsidRPr="00FC3854">
                              <w:rPr>
                                <w:bCs/>
                                <w:szCs w:val="20"/>
                              </w:rPr>
                              <w:t>Note 2: The LMF will use the time stamp of the PRS and the time stamp of SRS to calculate the time difference between the transmission of PRS and the reception of SRS</w:t>
                            </w:r>
                          </w:p>
                          <w:p w14:paraId="24804FE0" w14:textId="77777777" w:rsidR="002C3187" w:rsidRPr="00FC3854" w:rsidRDefault="002C3187" w:rsidP="002C3187">
                            <w:pPr>
                              <w:pStyle w:val="a6"/>
                              <w:widowControl/>
                              <w:numPr>
                                <w:ilvl w:val="0"/>
                                <w:numId w:val="22"/>
                              </w:numPr>
                              <w:wordWrap/>
                              <w:autoSpaceDE/>
                              <w:autoSpaceDN/>
                              <w:spacing w:after="0" w:line="240" w:lineRule="auto"/>
                              <w:ind w:leftChars="0"/>
                              <w:jc w:val="left"/>
                              <w:rPr>
                                <w:bCs/>
                                <w:szCs w:val="20"/>
                              </w:rPr>
                            </w:pPr>
                            <w:r w:rsidRPr="00FC3854">
                              <w:rPr>
                                <w:bCs/>
                                <w:szCs w:val="20"/>
                              </w:rPr>
                              <w:t>Alt-3: UE Rx-Tx time difference based on Option 2 and gNB Rx-Tx time difference based on Option 4</w:t>
                            </w:r>
                          </w:p>
                          <w:p w14:paraId="698505A3" w14:textId="77777777" w:rsidR="002C3187" w:rsidRPr="00FC3854" w:rsidRDefault="002C3187" w:rsidP="002C3187">
                            <w:pPr>
                              <w:pStyle w:val="ae"/>
                              <w:spacing w:before="0" w:beforeAutospacing="0" w:after="0" w:afterAutospacing="0"/>
                              <w:rPr>
                                <w:rFonts w:ascii="Times New Roman" w:hAnsi="Times New Roman" w:cs="Times New Roman"/>
                                <w:bCs/>
                                <w:color w:val="auto"/>
                                <w:sz w:val="20"/>
                                <w:szCs w:val="20"/>
                              </w:rPr>
                            </w:pPr>
                            <w:r w:rsidRPr="00FC3854">
                              <w:rPr>
                                <w:rFonts w:ascii="Times New Roman" w:hAnsi="Times New Roman" w:cs="Times New Roman"/>
                                <w:color w:val="auto"/>
                                <w:sz w:val="20"/>
                                <w:szCs w:val="20"/>
                              </w:rPr>
                              <w:t>      FFS: One or multiple SRS can be used in determining the arrival time</w:t>
                            </w:r>
                          </w:p>
                          <w:p w14:paraId="2F362013" w14:textId="77777777" w:rsidR="002C3187" w:rsidRPr="00FC3854" w:rsidRDefault="002C3187" w:rsidP="002C3187">
                            <w:pPr>
                              <w:pStyle w:val="ae"/>
                              <w:spacing w:before="0" w:beforeAutospacing="0" w:after="0" w:afterAutospacing="0"/>
                              <w:rPr>
                                <w:rFonts w:ascii="Times New Roman" w:hAnsi="Times New Roman" w:cs="Times New Roman"/>
                                <w:bCs/>
                                <w:color w:val="auto"/>
                                <w:sz w:val="20"/>
                                <w:szCs w:val="20"/>
                              </w:rPr>
                            </w:pPr>
                            <w:r w:rsidRPr="00FC3854">
                              <w:rPr>
                                <w:rFonts w:ascii="Times New Roman" w:hAnsi="Times New Roman" w:cs="Times New Roman"/>
                                <w:color w:val="auto"/>
                                <w:sz w:val="20"/>
                                <w:szCs w:val="20"/>
                              </w:rPr>
                              <w:t>      FFS: Additional enhancement including additional information to be reported, if justified</w:t>
                            </w:r>
                          </w:p>
                          <w:p w14:paraId="4A7934EB" w14:textId="77777777" w:rsidR="002C3187" w:rsidRPr="00FC3854" w:rsidRDefault="002C3187" w:rsidP="002C3187">
                            <w:pPr>
                              <w:rPr>
                                <w:bCs/>
                                <w:szCs w:val="20"/>
                              </w:rPr>
                            </w:pPr>
                            <w:r w:rsidRPr="00FC3854">
                              <w:rPr>
                                <w:bCs/>
                                <w:szCs w:val="20"/>
                              </w:rPr>
                              <w:t>Note 3: The impact of UE autonomous adjustment of TA (when applied) should be taken into account</w:t>
                            </w:r>
                          </w:p>
                          <w:p w14:paraId="26F0082B" w14:textId="77777777" w:rsidR="002C3187" w:rsidRDefault="002C3187" w:rsidP="002C3187">
                            <w:r w:rsidRPr="00DE27CE">
                              <w:rPr>
                                <w:bCs/>
                                <w:szCs w:val="20"/>
                              </w:rPr>
                              <w:t>Note 4: The gNB Rx-Tx time difference option in the above alternatives may need updates accordingly based on the outcome of discussion on reference point for the gNB Rx – Tx time difference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25989D" id="_x0000_t202" coordsize="21600,21600" o:spt="202" path="m,l,21600r21600,l21600,xe">
                <v:stroke joinstyle="miter"/>
                <v:path gradientshapeok="t" o:connecttype="rect"/>
              </v:shapetype>
              <v:shape id="텍스트 상자 2" o:spid="_x0000_s1026" type="#_x0000_t202" style="position:absolute;left:0;text-align:left;margin-left:2.4pt;margin-top:15.8pt;width:451.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">
                <v:textbox style="mso-fit-shape-to-text:t">
                  <w:txbxContent>
                    <w:p w14:paraId="0A04F532" w14:textId="77777777" w:rsidR="002C3187" w:rsidRPr="00EC3473" w:rsidRDefault="002C3187" w:rsidP="002C3187">
                      <w:pPr>
                        <w:tabs>
                          <w:tab w:val="left" w:pos="1064"/>
                        </w:tabs>
                        <w:rPr>
                          <w:b/>
                          <w:highlight w:val="green"/>
                          <w:lang w:eastAsia="x-none"/>
                        </w:rPr>
                      </w:pPr>
                      <w:r w:rsidRPr="00EC3473">
                        <w:rPr>
                          <w:rFonts w:hint="eastAsia"/>
                          <w:b/>
                          <w:highlight w:val="green"/>
                          <w:lang w:eastAsia="x-none"/>
                        </w:rPr>
                        <w:t>Agreement</w:t>
                      </w:r>
                    </w:p>
                    <w:p w14:paraId="7B3F3555" w14:textId="77777777" w:rsidR="002C3187" w:rsidRPr="00DE27CE" w:rsidRDefault="002C3187" w:rsidP="002C3187">
                      <w:pPr>
                        <w:pStyle w:val="ae"/>
                        <w:spacing w:before="0" w:beforeAutospacing="0" w:after="0" w:afterAutospacing="0"/>
                        <w:rPr>
                          <w:rFonts w:ascii="Times New Roman" w:hAnsi="Times New Roman" w:cs="Times New Roman"/>
                          <w:bCs/>
                          <w:sz w:val="20"/>
                          <w:szCs w:val="20"/>
                        </w:rPr>
                      </w:pPr>
                      <w:r w:rsidRPr="00DE27CE">
                        <w:rPr>
                          <w:rFonts w:ascii="Times New Roman" w:hAnsi="Times New Roman" w:cs="Times New Roman"/>
                          <w:sz w:val="20"/>
                          <w:szCs w:val="20"/>
                        </w:rPr>
                        <w:t>For RTT determination in NTN, discuss further the accuracy, and reporting details of combinations of the following UE and gNB receive-transmit time difference measurements:</w:t>
                      </w:r>
                    </w:p>
                    <w:p w14:paraId="42EE0A98" w14:textId="77777777" w:rsidR="002C3187" w:rsidRPr="00DE27CE" w:rsidRDefault="002C3187" w:rsidP="002C3187">
                      <w:pPr>
                        <w:widowControl/>
                        <w:numPr>
                          <w:ilvl w:val="0"/>
                          <w:numId w:val="22"/>
                        </w:numPr>
                        <w:wordWrap/>
                        <w:autoSpaceDE/>
                        <w:autoSpaceDN/>
                        <w:spacing w:after="0" w:line="240" w:lineRule="auto"/>
                        <w:jc w:val="left"/>
                        <w:rPr>
                          <w:bCs/>
                          <w:szCs w:val="20"/>
                        </w:rPr>
                      </w:pPr>
                      <w:r w:rsidRPr="00DE27CE">
                        <w:rPr>
                          <w:bCs/>
                          <w:szCs w:val="20"/>
                        </w:rPr>
                        <w:t>Alt-1: UE Rx-Tx time difference based on Option 3 and gNB Rx-Tx time difference as defined in TS 38.215.</w:t>
                      </w:r>
                      <w:r w:rsidRPr="00DE27CE">
                        <w:rPr>
                          <w:szCs w:val="20"/>
                        </w:rPr>
                        <w:t xml:space="preserve"> </w:t>
                      </w:r>
                    </w:p>
                    <w:p w14:paraId="411947DA" w14:textId="77777777" w:rsidR="002C3187" w:rsidRPr="00DE27CE" w:rsidRDefault="002C3187" w:rsidP="002C3187">
                      <w:pPr>
                        <w:widowControl/>
                        <w:numPr>
                          <w:ilvl w:val="1"/>
                          <w:numId w:val="22"/>
                        </w:numPr>
                        <w:wordWrap/>
                        <w:autoSpaceDE/>
                        <w:autoSpaceDN/>
                        <w:spacing w:after="0" w:line="240" w:lineRule="auto"/>
                        <w:ind w:left="1288"/>
                        <w:jc w:val="left"/>
                        <w:rPr>
                          <w:bCs/>
                          <w:szCs w:val="20"/>
                        </w:rPr>
                      </w:pPr>
                      <w:r w:rsidRPr="00DE27CE">
                        <w:rPr>
                          <w:bCs/>
                          <w:szCs w:val="20"/>
                        </w:rPr>
                        <w:t>Note 1: The signaling method of UE Rx-Tx time difference definition option 1 is not precluded if Alt1 is adopted</w:t>
                      </w:r>
                    </w:p>
                    <w:p w14:paraId="01E65FD9" w14:textId="77777777" w:rsidR="002C3187" w:rsidRPr="00FC3854" w:rsidRDefault="002C3187" w:rsidP="002C3187">
                      <w:pPr>
                        <w:widowControl/>
                        <w:numPr>
                          <w:ilvl w:val="0"/>
                          <w:numId w:val="22"/>
                        </w:numPr>
                        <w:wordWrap/>
                        <w:autoSpaceDE/>
                        <w:autoSpaceDN/>
                        <w:spacing w:after="0" w:line="240" w:lineRule="auto"/>
                        <w:jc w:val="left"/>
                        <w:rPr>
                          <w:bCs/>
                          <w:szCs w:val="20"/>
                        </w:rPr>
                      </w:pPr>
                      <w:r w:rsidRPr="00FC3854">
                        <w:rPr>
                          <w:bCs/>
                          <w:szCs w:val="20"/>
                        </w:rPr>
                        <w:t>Alt-2: UE Rx-Tx time difference based on Option 2 and gNB Rx-Tx time difference as defined in TS 38.215.</w:t>
                      </w:r>
                      <w:r w:rsidRPr="00FC3854">
                        <w:rPr>
                          <w:szCs w:val="20"/>
                        </w:rPr>
                        <w:t xml:space="preserve"> </w:t>
                      </w:r>
                    </w:p>
                    <w:p w14:paraId="7DF7BFA6" w14:textId="77777777" w:rsidR="002C3187" w:rsidRPr="00FC3854" w:rsidRDefault="002C3187" w:rsidP="002C3187">
                      <w:pPr>
                        <w:widowControl/>
                        <w:numPr>
                          <w:ilvl w:val="1"/>
                          <w:numId w:val="22"/>
                        </w:numPr>
                        <w:wordWrap/>
                        <w:autoSpaceDE/>
                        <w:autoSpaceDN/>
                        <w:spacing w:after="0" w:line="240" w:lineRule="auto"/>
                        <w:ind w:left="1288"/>
                        <w:jc w:val="left"/>
                        <w:rPr>
                          <w:bCs/>
                          <w:szCs w:val="20"/>
                        </w:rPr>
                      </w:pPr>
                      <w:r w:rsidRPr="00FC3854">
                        <w:rPr>
                          <w:bCs/>
                          <w:szCs w:val="20"/>
                        </w:rPr>
                        <w:t>Note 2: The LMF will use the time stamp of the PRS and the time stamp of SRS to calculate the time difference between the transmission of PRS and the reception of SRS</w:t>
                      </w:r>
                    </w:p>
                    <w:p w14:paraId="24804FE0" w14:textId="77777777" w:rsidR="002C3187" w:rsidRPr="00FC3854" w:rsidRDefault="002C3187" w:rsidP="002C3187">
                      <w:pPr>
                        <w:pStyle w:val="a6"/>
                        <w:widowControl/>
                        <w:numPr>
                          <w:ilvl w:val="0"/>
                          <w:numId w:val="22"/>
                        </w:numPr>
                        <w:wordWrap/>
                        <w:autoSpaceDE/>
                        <w:autoSpaceDN/>
                        <w:spacing w:after="0" w:line="240" w:lineRule="auto"/>
                        <w:ind w:leftChars="0"/>
                        <w:jc w:val="left"/>
                        <w:rPr>
                          <w:bCs/>
                          <w:szCs w:val="20"/>
                        </w:rPr>
                      </w:pPr>
                      <w:r w:rsidRPr="00FC3854">
                        <w:rPr>
                          <w:bCs/>
                          <w:szCs w:val="20"/>
                        </w:rPr>
                        <w:t>Alt-3: UE Rx-Tx time difference based on Option 2 and gNB Rx-Tx time difference based on Option 4</w:t>
                      </w:r>
                    </w:p>
                    <w:p w14:paraId="698505A3" w14:textId="77777777" w:rsidR="002C3187" w:rsidRPr="00FC3854" w:rsidRDefault="002C3187" w:rsidP="002C3187">
                      <w:pPr>
                        <w:pStyle w:val="ae"/>
                        <w:spacing w:before="0" w:beforeAutospacing="0" w:after="0" w:afterAutospacing="0"/>
                        <w:rPr>
                          <w:rFonts w:ascii="Times New Roman" w:hAnsi="Times New Roman" w:cs="Times New Roman"/>
                          <w:bCs/>
                          <w:color w:val="auto"/>
                          <w:sz w:val="20"/>
                          <w:szCs w:val="20"/>
                        </w:rPr>
                      </w:pPr>
                      <w:r w:rsidRPr="00FC3854">
                        <w:rPr>
                          <w:rFonts w:ascii="Times New Roman" w:hAnsi="Times New Roman" w:cs="Times New Roman"/>
                          <w:color w:val="auto"/>
                          <w:sz w:val="20"/>
                          <w:szCs w:val="20"/>
                        </w:rPr>
                        <w:t>      FFS: One or multiple SRS can be used in determining the arrival time</w:t>
                      </w:r>
                    </w:p>
                    <w:p w14:paraId="2F362013" w14:textId="77777777" w:rsidR="002C3187" w:rsidRPr="00FC3854" w:rsidRDefault="002C3187" w:rsidP="002C3187">
                      <w:pPr>
                        <w:pStyle w:val="ae"/>
                        <w:spacing w:before="0" w:beforeAutospacing="0" w:after="0" w:afterAutospacing="0"/>
                        <w:rPr>
                          <w:rFonts w:ascii="Times New Roman" w:hAnsi="Times New Roman" w:cs="Times New Roman"/>
                          <w:bCs/>
                          <w:color w:val="auto"/>
                          <w:sz w:val="20"/>
                          <w:szCs w:val="20"/>
                        </w:rPr>
                      </w:pPr>
                      <w:r w:rsidRPr="00FC3854">
                        <w:rPr>
                          <w:rFonts w:ascii="Times New Roman" w:hAnsi="Times New Roman" w:cs="Times New Roman"/>
                          <w:color w:val="auto"/>
                          <w:sz w:val="20"/>
                          <w:szCs w:val="20"/>
                        </w:rPr>
                        <w:t>      FFS: Additional enhancement including additional information to be reported, if justified</w:t>
                      </w:r>
                    </w:p>
                    <w:p w14:paraId="4A7934EB" w14:textId="77777777" w:rsidR="002C3187" w:rsidRPr="00FC3854" w:rsidRDefault="002C3187" w:rsidP="002C3187">
                      <w:pPr>
                        <w:rPr>
                          <w:bCs/>
                          <w:szCs w:val="20"/>
                        </w:rPr>
                      </w:pPr>
                      <w:r w:rsidRPr="00FC3854">
                        <w:rPr>
                          <w:bCs/>
                          <w:szCs w:val="20"/>
                        </w:rPr>
                        <w:t>Note 3: The impact of UE autonomous adjustment of TA (when applied) should be taken into account</w:t>
                      </w:r>
                    </w:p>
                    <w:p w14:paraId="26F0082B" w14:textId="77777777" w:rsidR="002C3187" w:rsidRDefault="002C3187" w:rsidP="002C3187">
                      <w:r w:rsidRPr="00DE27CE">
                        <w:rPr>
                          <w:bCs/>
                          <w:szCs w:val="20"/>
                        </w:rPr>
                        <w:t>Note 4: The gNB Rx-Tx time difference option in the above alternatives may need updates accordingly based on the outcome of discussion on reference point for the gNB Rx – Tx time difference</w:t>
                      </w:r>
                    </w:p>
                  </w:txbxContent>
                </v:textbox>
                <w10:wrap type="topAndBottom"/>
              </v:shape>
            </w:pict>
          </mc:Fallback>
        </mc:AlternateContent>
      </w:r>
      <w:r w:rsidR="00A56E37">
        <w:rPr>
          <w:rFonts w:hint="eastAsia"/>
        </w:rPr>
        <w:t>I</w:t>
      </w:r>
      <w:r w:rsidR="00A56E37">
        <w:t xml:space="preserve">n the last meeting, combinations of UE and gNB Rx-Tx time difference measurement was agreed as captured above. </w:t>
      </w:r>
      <w:r w:rsidR="00A65889">
        <w:t xml:space="preserve">For Alt-1, </w:t>
      </w:r>
      <w:r w:rsidR="00AB5442">
        <w:t xml:space="preserve">it relies on legacy definition with potential offset values, therefore it may not need to change the definition of </w:t>
      </w:r>
      <w:r w:rsidR="00AB5442">
        <w:t>UE and gNB Rx-Tx time difference measurement</w:t>
      </w:r>
      <w:r w:rsidR="00AB5442">
        <w:t xml:space="preserve">. </w:t>
      </w:r>
      <w:r w:rsidR="005D4DAF">
        <w:t>Alt</w:t>
      </w:r>
      <w:r w:rsidR="0073132F">
        <w:t>-</w:t>
      </w:r>
      <w:r w:rsidR="005D4DAF">
        <w:t>2 and Alt</w:t>
      </w:r>
      <w:r w:rsidR="0073132F">
        <w:t>-</w:t>
      </w:r>
      <w:r w:rsidR="005D4DAF">
        <w:t xml:space="preserve">3 employ option 2 for UE Rx-Tx time difference where </w:t>
      </w:r>
      <w:r w:rsidR="005D4DAF" w:rsidRPr="005D4DAF">
        <w:t>UE report that indicates the time difference between the arrival time of a DL RS for positioning and the transmit time of an SRS</w:t>
      </w:r>
      <w:r w:rsidR="005D4DAF">
        <w:t xml:space="preserve">. For this type of measurement/reporting, more signaling overhead </w:t>
      </w:r>
      <w:r w:rsidR="009831F4">
        <w:t xml:space="preserve">seems to be </w:t>
      </w:r>
      <w:r w:rsidR="005D4DAF">
        <w:t>required compare</w:t>
      </w:r>
      <w:r w:rsidR="009831F4">
        <w:t>d</w:t>
      </w:r>
      <w:r w:rsidR="005D4DAF">
        <w:t xml:space="preserve"> to that of Alt 1, since </w:t>
      </w:r>
      <w:r w:rsidR="009831F4" w:rsidRPr="009831F4">
        <w:lastRenderedPageBreak/>
        <w:t xml:space="preserve">the </w:t>
      </w:r>
      <w:r w:rsidR="009831F4">
        <w:t xml:space="preserve">value </w:t>
      </w:r>
      <w:r w:rsidR="009831F4" w:rsidRPr="009831F4">
        <w:t xml:space="preserve">range can vary depending on which combination of PRS and SRS </w:t>
      </w:r>
      <w:r w:rsidR="009831F4">
        <w:t xml:space="preserve">(pair) </w:t>
      </w:r>
      <w:r w:rsidR="009831F4" w:rsidRPr="009831F4">
        <w:t>is utilized.</w:t>
      </w:r>
      <w:r w:rsidR="009831F4">
        <w:t xml:space="preserve"> </w:t>
      </w:r>
      <w:r w:rsidR="0073132F">
        <w:t>For gNB Rx-Tx time difference</w:t>
      </w:r>
      <w:r w:rsidR="0073132F">
        <w:t xml:space="preserve">, Alt-3 is based on the option 4 where </w:t>
      </w:r>
      <w:r w:rsidR="0073132F" w:rsidRPr="0073132F">
        <w:t>gNB report that indicates the time difference between the transmit time of a DL RS for positioning and the arrival time of an SRS.</w:t>
      </w:r>
      <w:r w:rsidR="0073132F">
        <w:t xml:space="preserve"> Therefore, this alternative has the same issue as UE Rx-Tx measurement based on option 2. Based on the above discussion, Alt-1 is preferred due to the </w:t>
      </w:r>
      <w:r w:rsidR="00DD5758">
        <w:t xml:space="preserve">benefit in terms of </w:t>
      </w:r>
      <w:r w:rsidR="0073132F">
        <w:t xml:space="preserve">signaling overhead. </w:t>
      </w:r>
    </w:p>
    <w:p w14:paraId="6067871C" w14:textId="75D8E2DB" w:rsidR="000F46DC" w:rsidRDefault="000F46DC" w:rsidP="000F46DC">
      <w:pPr>
        <w:spacing w:line="360" w:lineRule="auto"/>
        <w:rPr>
          <w:rFonts w:eastAsia="맑은 고딕"/>
          <w:b/>
        </w:rPr>
      </w:pPr>
      <w:r w:rsidRPr="001E3B8D">
        <w:rPr>
          <w:rFonts w:eastAsia="맑은 고딕" w:hint="eastAsia"/>
          <w:b/>
        </w:rPr>
        <w:t>Proposal #</w:t>
      </w:r>
      <w:r w:rsidR="00CF11D4">
        <w:rPr>
          <w:rFonts w:eastAsia="맑은 고딕"/>
          <w:b/>
        </w:rPr>
        <w:t>2</w:t>
      </w:r>
      <w:r w:rsidRPr="001E3B8D">
        <w:rPr>
          <w:rFonts w:eastAsia="맑은 고딕" w:hint="eastAsia"/>
          <w:b/>
        </w:rPr>
        <w:t xml:space="preserve">: </w:t>
      </w:r>
      <w:r>
        <w:rPr>
          <w:rFonts w:eastAsia="맑은 고딕"/>
          <w:b/>
        </w:rPr>
        <w:t>For</w:t>
      </w:r>
      <w:r w:rsidR="00CF11D4" w:rsidRPr="00CF11D4">
        <w:t xml:space="preserve"> </w:t>
      </w:r>
      <w:r w:rsidR="00CF11D4" w:rsidRPr="00CF11D4">
        <w:rPr>
          <w:rFonts w:eastAsia="맑은 고딕"/>
          <w:b/>
        </w:rPr>
        <w:t>combination of UE and gNB Rx-Tx time difference measurement</w:t>
      </w:r>
      <w:r w:rsidR="00CF11D4">
        <w:rPr>
          <w:rFonts w:eastAsia="맑은 고딕"/>
          <w:b/>
        </w:rPr>
        <w:t>,</w:t>
      </w:r>
      <w:r w:rsidRPr="00CF11D4">
        <w:rPr>
          <w:rFonts w:eastAsia="맑은 고딕"/>
          <w:b/>
        </w:rPr>
        <w:t xml:space="preserve"> </w:t>
      </w:r>
      <w:r>
        <w:rPr>
          <w:rFonts w:eastAsia="맑은 고딕"/>
          <w:b/>
        </w:rPr>
        <w:t xml:space="preserve">support </w:t>
      </w:r>
      <w:r w:rsidR="00CF11D4">
        <w:rPr>
          <w:rFonts w:eastAsia="맑은 고딕"/>
          <w:b/>
        </w:rPr>
        <w:t>Alt-1</w:t>
      </w:r>
      <w:r w:rsidR="00D86DE6">
        <w:rPr>
          <w:rFonts w:eastAsia="맑은 고딕"/>
          <w:b/>
        </w:rPr>
        <w:t xml:space="preserve"> (</w:t>
      </w:r>
      <w:r w:rsidR="00D86DE6" w:rsidRPr="00D86DE6">
        <w:rPr>
          <w:rFonts w:eastAsia="맑은 고딕"/>
          <w:b/>
        </w:rPr>
        <w:t>UE Rx-Tx time difference based on Option 3 and gNB Rx-Tx time difference as defined in TS 38.215</w:t>
      </w:r>
      <w:r w:rsidR="00D86DE6">
        <w:rPr>
          <w:rFonts w:eastAsia="맑은 고딕"/>
          <w:b/>
        </w:rPr>
        <w:t>)</w:t>
      </w:r>
      <w:r>
        <w:rPr>
          <w:rFonts w:eastAsia="맑은 고딕"/>
          <w:b/>
        </w:rPr>
        <w:t xml:space="preserve">. </w:t>
      </w:r>
    </w:p>
    <w:p w14:paraId="1C5CEADD" w14:textId="61362D9D" w:rsidR="007F0DD3" w:rsidRPr="007F0DD3" w:rsidRDefault="007F0DD3" w:rsidP="007F0DD3">
      <w:pPr>
        <w:spacing w:line="360" w:lineRule="auto"/>
        <w:ind w:firstLineChars="100" w:firstLine="220"/>
      </w:pPr>
      <w:r w:rsidRPr="007F0DD3">
        <w:rPr>
          <w:rFonts w:hint="eastAsia"/>
        </w:rPr>
        <w:t xml:space="preserve">If </w:t>
      </w:r>
      <w:r w:rsidR="00DD5758">
        <w:t>Alt-1</w:t>
      </w:r>
      <w:r w:rsidRPr="007F0DD3">
        <w:t xml:space="preserve"> is supported, following issues need to be further considered. One issue is </w:t>
      </w:r>
      <w:r w:rsidR="00DD5758">
        <w:t>whether/</w:t>
      </w:r>
      <w:r w:rsidRPr="007F0DD3">
        <w:t>how to reflect timing error / delay due to processing time in satellite and movement of satellite and/or UE. One way is to let LMF kn</w:t>
      </w:r>
      <w:r w:rsidR="00FF6C1B">
        <w:t>ow the information such as ephemeris, satellite/UE</w:t>
      </w:r>
      <w:r w:rsidRPr="007F0DD3">
        <w:t xml:space="preserve"> movement, etc. In this way, LMF can handle delay/error caused by satellite and/or UE movement. Also, feeder link delay (e.g., Kmac and/or common TA) needs to be signaled to LMF for the RTT calculation. </w:t>
      </w:r>
    </w:p>
    <w:p w14:paraId="080A1E84" w14:textId="07415F09" w:rsidR="000F46DC" w:rsidRDefault="000F46DC" w:rsidP="000F46DC">
      <w:pPr>
        <w:spacing w:line="360" w:lineRule="auto"/>
        <w:rPr>
          <w:rFonts w:eastAsia="맑은 고딕"/>
          <w:b/>
        </w:rPr>
      </w:pPr>
    </w:p>
    <w:p w14:paraId="190C608D" w14:textId="18000ADD" w:rsidR="002E092D" w:rsidRDefault="002E092D" w:rsidP="002E092D">
      <w:pPr>
        <w:pStyle w:val="2"/>
      </w:pPr>
      <w:r w:rsidRPr="002E092D">
        <w:rPr>
          <w:rFonts w:eastAsia="맑은 고딕"/>
          <w:noProof/>
        </w:rPr>
        <mc:AlternateContent>
          <mc:Choice Requires="wps">
            <w:drawing>
              <wp:anchor distT="45720" distB="45720" distL="114300" distR="114300" simplePos="0" relativeHeight="251659264" behindDoc="0" locked="0" layoutInCell="1" allowOverlap="1" wp14:anchorId="7194B99F" wp14:editId="1168D8CA">
                <wp:simplePos x="0" y="0"/>
                <wp:positionH relativeFrom="column">
                  <wp:posOffset>-45720</wp:posOffset>
                </wp:positionH>
                <wp:positionV relativeFrom="paragraph">
                  <wp:posOffset>480060</wp:posOffset>
                </wp:positionV>
                <wp:extent cx="5775960" cy="2491740"/>
                <wp:effectExtent l="0" t="0" r="15240" b="2286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2491740"/>
                        </a:xfrm>
                        <a:prstGeom prst="rect">
                          <a:avLst/>
                        </a:prstGeom>
                        <a:solidFill>
                          <a:srgbClr val="FFFFFF"/>
                        </a:solidFill>
                        <a:ln w="9525">
                          <a:solidFill>
                            <a:srgbClr val="000000"/>
                          </a:solidFill>
                          <a:miter lim="800000"/>
                          <a:headEnd/>
                          <a:tailEnd/>
                        </a:ln>
                      </wps:spPr>
                      <wps:txbx>
                        <w:txbxContent>
                          <w:p w14:paraId="0A112C32" w14:textId="4EC4A1E2" w:rsidR="00057949" w:rsidRPr="00EA1D95" w:rsidRDefault="00057949" w:rsidP="002E092D">
                            <w:pPr>
                              <w:rPr>
                                <w:b/>
                                <w:bCs/>
                                <w:szCs w:val="20"/>
                                <w:lang w:eastAsia="x-none"/>
                              </w:rPr>
                            </w:pPr>
                            <w:r w:rsidRPr="00EA1D95">
                              <w:rPr>
                                <w:b/>
                                <w:bCs/>
                                <w:szCs w:val="20"/>
                                <w:highlight w:val="green"/>
                                <w:lang w:eastAsia="x-none"/>
                              </w:rPr>
                              <w:t>Agreement</w:t>
                            </w:r>
                          </w:p>
                          <w:p w14:paraId="4FD92519" w14:textId="77777777" w:rsidR="00057949" w:rsidRPr="00EA1D95" w:rsidRDefault="00057949" w:rsidP="002E092D">
                            <w:pPr>
                              <w:pStyle w:val="3GPPNormalText"/>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58710CFE"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1: gNB or LMF implementation to solve the mirror error issue.</w:t>
                            </w:r>
                          </w:p>
                          <w:p w14:paraId="040C4F1C" w14:textId="77777777" w:rsidR="00057949" w:rsidRPr="00EA1D95" w:rsidRDefault="00057949" w:rsidP="002E092D">
                            <w:pPr>
                              <w:widowControl/>
                              <w:numPr>
                                <w:ilvl w:val="1"/>
                                <w:numId w:val="17"/>
                              </w:numPr>
                              <w:wordWrap/>
                              <w:autoSpaceDE/>
                              <w:autoSpaceDN/>
                              <w:snapToGrid w:val="0"/>
                              <w:spacing w:after="0" w:line="240" w:lineRule="auto"/>
                              <w:jc w:val="left"/>
                              <w:rPr>
                                <w:szCs w:val="20"/>
                              </w:rPr>
                            </w:pPr>
                            <w:r w:rsidRPr="00EA1D95">
                              <w:rPr>
                                <w:szCs w:val="20"/>
                              </w:rPr>
                              <w:t>FFS: whether there is spec impact</w:t>
                            </w:r>
                          </w:p>
                          <w:p w14:paraId="674388B0"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2: Reuse existing ECID method (e.g. combine UE neighbor measurements to solve the ambiguity between mirror positions), with potential enhancements</w:t>
                            </w:r>
                          </w:p>
                          <w:p w14:paraId="24DFA586"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3: NR NTN UE should report the Doppler calculated on the service link</w:t>
                            </w:r>
                          </w:p>
                          <w:p w14:paraId="32DDDA80"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4: a VSAT UE should report its beam pointing in respect to satellite beam line of sight</w:t>
                            </w:r>
                          </w:p>
                          <w:p w14:paraId="04142BA8" w14:textId="77777777" w:rsidR="00057949" w:rsidRPr="001744CB"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 xml:space="preserve">Option 5: </w:t>
                            </w:r>
                            <w:r w:rsidRPr="001744CB">
                              <w:rPr>
                                <w:szCs w:val="20"/>
                              </w:rPr>
                              <w:t>Reporting of cell coverage information (e.g. cell footprint and reference point, or antenna pattern) to the LMF</w:t>
                            </w:r>
                          </w:p>
                          <w:p w14:paraId="14DB86A1" w14:textId="77777777" w:rsidR="00057949" w:rsidRPr="001744CB"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6:</w:t>
                            </w:r>
                            <w:r w:rsidRPr="001744CB">
                              <w:rPr>
                                <w:szCs w:val="20"/>
                              </w:rPr>
                              <w:t xml:space="preserve"> Support and potentially enhance the optional Rel-17 UL-AoA measurements defined for multi-RTT positioning</w:t>
                            </w:r>
                            <w:r w:rsidRPr="00EA1D95">
                              <w:rPr>
                                <w:szCs w:val="20"/>
                              </w:rPr>
                              <w:t>Other solutions are not precluded</w:t>
                            </w:r>
                          </w:p>
                          <w:p w14:paraId="08512806" w14:textId="238C0C67" w:rsidR="00057949" w:rsidRPr="002E092D" w:rsidRDefault="000579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94B99F" id="_x0000_s1027" type="#_x0000_t202" style="position:absolute;left:0;text-align:left;margin-left:-3.6pt;margin-top:37.8pt;width:454.8pt;height:196.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">
                <v:textbox>
                  <w:txbxContent>
                    <w:p w14:paraId="0A112C32" w14:textId="4EC4A1E2" w:rsidR="00057949" w:rsidRPr="00EA1D95" w:rsidRDefault="00057949" w:rsidP="002E092D">
                      <w:pPr>
                        <w:rPr>
                          <w:b/>
                          <w:bCs/>
                          <w:szCs w:val="20"/>
                          <w:lang w:eastAsia="x-none"/>
                        </w:rPr>
                      </w:pPr>
                      <w:r w:rsidRPr="00EA1D95">
                        <w:rPr>
                          <w:b/>
                          <w:bCs/>
                          <w:szCs w:val="20"/>
                          <w:highlight w:val="green"/>
                          <w:lang w:eastAsia="x-none"/>
                        </w:rPr>
                        <w:t>Agreement</w:t>
                      </w:r>
                    </w:p>
                    <w:p w14:paraId="4FD92519" w14:textId="77777777" w:rsidR="00057949" w:rsidRPr="00EA1D95" w:rsidRDefault="00057949" w:rsidP="002E092D">
                      <w:pPr>
                        <w:pStyle w:val="3GPPNormalText"/>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58710CFE"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1: gNB or LMF implementation to solve the mirror error issue.</w:t>
                      </w:r>
                    </w:p>
                    <w:p w14:paraId="040C4F1C" w14:textId="77777777" w:rsidR="00057949" w:rsidRPr="00EA1D95" w:rsidRDefault="00057949" w:rsidP="002E092D">
                      <w:pPr>
                        <w:widowControl/>
                        <w:numPr>
                          <w:ilvl w:val="1"/>
                          <w:numId w:val="17"/>
                        </w:numPr>
                        <w:wordWrap/>
                        <w:autoSpaceDE/>
                        <w:autoSpaceDN/>
                        <w:snapToGrid w:val="0"/>
                        <w:spacing w:after="0" w:line="240" w:lineRule="auto"/>
                        <w:jc w:val="left"/>
                        <w:rPr>
                          <w:szCs w:val="20"/>
                        </w:rPr>
                      </w:pPr>
                      <w:r w:rsidRPr="00EA1D95">
                        <w:rPr>
                          <w:szCs w:val="20"/>
                        </w:rPr>
                        <w:t>FFS: whether there is spec impact</w:t>
                      </w:r>
                    </w:p>
                    <w:p w14:paraId="674388B0"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2: Reuse existing ECID method (e.g. combine UE neighbor measurements to solve the ambiguity between mirror positions), with potential enhancements</w:t>
                      </w:r>
                    </w:p>
                    <w:p w14:paraId="24DFA586"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3: NR NTN UE should report the Doppler calculated on the service link</w:t>
                      </w:r>
                    </w:p>
                    <w:p w14:paraId="32DDDA80" w14:textId="77777777" w:rsidR="00057949" w:rsidRPr="00EA1D95"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4: a VSAT UE should report its beam pointing in respect to satellite beam line of sight</w:t>
                      </w:r>
                    </w:p>
                    <w:p w14:paraId="04142BA8" w14:textId="77777777" w:rsidR="00057949" w:rsidRPr="001744CB"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 xml:space="preserve">Option 5: </w:t>
                      </w:r>
                      <w:r w:rsidRPr="001744CB">
                        <w:rPr>
                          <w:szCs w:val="20"/>
                        </w:rPr>
                        <w:t>Reporting of cell coverage information (e.g. cell footprint and reference point, or antenna pattern) to the LMF</w:t>
                      </w:r>
                    </w:p>
                    <w:p w14:paraId="14DB86A1" w14:textId="77777777" w:rsidR="00057949" w:rsidRPr="001744CB" w:rsidRDefault="00057949" w:rsidP="002E092D">
                      <w:pPr>
                        <w:widowControl/>
                        <w:numPr>
                          <w:ilvl w:val="0"/>
                          <w:numId w:val="17"/>
                        </w:numPr>
                        <w:wordWrap/>
                        <w:autoSpaceDE/>
                        <w:autoSpaceDN/>
                        <w:snapToGrid w:val="0"/>
                        <w:spacing w:after="0" w:line="240" w:lineRule="auto"/>
                        <w:ind w:left="720"/>
                        <w:jc w:val="left"/>
                        <w:rPr>
                          <w:szCs w:val="20"/>
                        </w:rPr>
                      </w:pPr>
                      <w:r w:rsidRPr="00EA1D95">
                        <w:rPr>
                          <w:szCs w:val="20"/>
                        </w:rPr>
                        <w:t>Option 6:</w:t>
                      </w:r>
                      <w:r w:rsidRPr="001744CB">
                        <w:rPr>
                          <w:szCs w:val="20"/>
                        </w:rPr>
                        <w:t xml:space="preserve"> Support and potentially enhance the optional Rel-17 UL-AoA measurements defined for multi-RTT positioning</w:t>
                      </w:r>
                      <w:r w:rsidRPr="00EA1D95">
                        <w:rPr>
                          <w:szCs w:val="20"/>
                        </w:rPr>
                        <w:t>Other solutions are not precluded</w:t>
                      </w:r>
                    </w:p>
                    <w:p w14:paraId="08512806" w14:textId="238C0C67" w:rsidR="00057949" w:rsidRPr="002E092D" w:rsidRDefault="00057949"/>
                  </w:txbxContent>
                </v:textbox>
                <w10:wrap type="topAndBottom"/>
              </v:shape>
            </w:pict>
          </mc:Fallback>
        </mc:AlternateContent>
      </w:r>
      <w:r>
        <w:t xml:space="preserve">Mirror position ambiguity for single satellite based </w:t>
      </w:r>
      <w:r>
        <w:rPr>
          <w:rFonts w:hint="eastAsia"/>
        </w:rPr>
        <w:t>m</w:t>
      </w:r>
      <w:r>
        <w:t>ulti-RTT</w:t>
      </w:r>
    </w:p>
    <w:p w14:paraId="65242B9A" w14:textId="1F7D2309" w:rsidR="00F3509A" w:rsidRDefault="002E092D" w:rsidP="00DA7C27">
      <w:pPr>
        <w:tabs>
          <w:tab w:val="left" w:pos="5410"/>
        </w:tabs>
        <w:spacing w:line="360" w:lineRule="auto"/>
        <w:ind w:firstLineChars="100" w:firstLine="220"/>
        <w:rPr>
          <w:rFonts w:eastAsia="맑은 고딕"/>
          <w:b/>
        </w:rPr>
      </w:pPr>
      <w:r>
        <w:rPr>
          <w:rFonts w:eastAsia="맑은 고딕" w:hint="eastAsia"/>
        </w:rPr>
        <w:t>As captured above, potential solution</w:t>
      </w:r>
      <w:r>
        <w:rPr>
          <w:rFonts w:eastAsia="맑은 고딕"/>
        </w:rPr>
        <w:t>s</w:t>
      </w:r>
      <w:r>
        <w:rPr>
          <w:rFonts w:eastAsia="맑은 고딕" w:hint="eastAsia"/>
        </w:rPr>
        <w:t xml:space="preserve"> for mirror position ambiguity for single satellite based multi-RTT </w:t>
      </w:r>
      <w:r>
        <w:rPr>
          <w:rFonts w:eastAsia="맑은 고딕"/>
        </w:rPr>
        <w:t xml:space="preserve">were listed in </w:t>
      </w:r>
      <w:r w:rsidR="000F2224">
        <w:rPr>
          <w:rFonts w:eastAsia="맑은 고딕"/>
        </w:rPr>
        <w:t>RAN1#112</w:t>
      </w:r>
      <w:r>
        <w:rPr>
          <w:rFonts w:eastAsia="맑은 고딕"/>
        </w:rPr>
        <w:t xml:space="preserve"> meeting. Option 1 is based on the gNB or LMF implementation. For example, gNB beamforming be used to resolve this issue. With this option, it has a benefit that no or minimized specification impact is expected. </w:t>
      </w:r>
      <w:r w:rsidR="00DA7C27">
        <w:rPr>
          <w:rFonts w:eastAsia="맑은 고딕" w:hint="eastAsia"/>
        </w:rPr>
        <w:t>Other options require additional specification impact</w:t>
      </w:r>
      <w:r w:rsidR="00DA7C27">
        <w:rPr>
          <w:rFonts w:eastAsia="맑은 고딕"/>
        </w:rPr>
        <w:t xml:space="preserve"> and/or UE complexity</w:t>
      </w:r>
      <w:r w:rsidR="00DA7C27">
        <w:rPr>
          <w:rFonts w:eastAsia="맑은 고딕" w:hint="eastAsia"/>
        </w:rPr>
        <w:t xml:space="preserve"> to solve the same ambiguity problem.</w:t>
      </w:r>
      <w:r w:rsidR="00DA7C27">
        <w:rPr>
          <w:rFonts w:eastAsia="맑은 고딕"/>
        </w:rPr>
        <w:t xml:space="preserve"> Therefore, if there are no significant advantages from adopting </w:t>
      </w:r>
      <w:r w:rsidR="00AE4E5B">
        <w:rPr>
          <w:rFonts w:eastAsia="맑은 고딕"/>
        </w:rPr>
        <w:t xml:space="preserve">either </w:t>
      </w:r>
      <w:r w:rsidR="00DA7C27">
        <w:rPr>
          <w:rFonts w:eastAsia="맑은 고딕"/>
        </w:rPr>
        <w:t xml:space="preserve">option 2 to 6, option 1 should be supported. </w:t>
      </w:r>
    </w:p>
    <w:p w14:paraId="6A59F3B2" w14:textId="1CF23825" w:rsidR="007F0DD3" w:rsidRDefault="00DA7C27" w:rsidP="00A4752C">
      <w:pPr>
        <w:spacing w:line="360" w:lineRule="auto"/>
        <w:contextualSpacing/>
        <w:rPr>
          <w:rFonts w:eastAsia="맑은 고딕"/>
        </w:rPr>
      </w:pPr>
      <w:r w:rsidRPr="001E3B8D">
        <w:rPr>
          <w:rFonts w:eastAsia="맑은 고딕" w:hint="eastAsia"/>
          <w:b/>
        </w:rPr>
        <w:t>Proposal #</w:t>
      </w:r>
      <w:r w:rsidR="00CF11D4">
        <w:rPr>
          <w:rFonts w:eastAsia="맑은 고딕"/>
          <w:b/>
        </w:rPr>
        <w:t>3</w:t>
      </w:r>
      <w:r w:rsidRPr="00DA7C27">
        <w:rPr>
          <w:rFonts w:eastAsia="맑은 고딕" w:hint="eastAsia"/>
          <w:b/>
        </w:rPr>
        <w:t xml:space="preserve">: </w:t>
      </w:r>
      <w:r w:rsidRPr="00DA7C27">
        <w:rPr>
          <w:rFonts w:eastAsia="맑은 고딕"/>
          <w:b/>
        </w:rPr>
        <w:t xml:space="preserve">Support option 1 (based on </w:t>
      </w:r>
      <w:r w:rsidRPr="00DA7C27">
        <w:rPr>
          <w:b/>
          <w:szCs w:val="20"/>
        </w:rPr>
        <w:t xml:space="preserve">gNB or LMF implementation) </w:t>
      </w:r>
      <w:r w:rsidRPr="00DA7C27">
        <w:rPr>
          <w:rFonts w:eastAsia="맑은 고딕"/>
          <w:b/>
        </w:rPr>
        <w:t xml:space="preserve">for resolving mirror </w:t>
      </w:r>
      <w:r w:rsidRPr="00DA7C27">
        <w:rPr>
          <w:rFonts w:eastAsia="맑은 고딕"/>
          <w:b/>
        </w:rPr>
        <w:lastRenderedPageBreak/>
        <w:t>position</w:t>
      </w:r>
      <w:r>
        <w:rPr>
          <w:rFonts w:eastAsia="맑은 고딕"/>
          <w:b/>
        </w:rPr>
        <w:t>s</w:t>
      </w:r>
      <w:r w:rsidRPr="00DA7C27">
        <w:rPr>
          <w:rFonts w:eastAsia="맑은 고딕"/>
          <w:b/>
        </w:rPr>
        <w:t xml:space="preserve"> ambiguity </w:t>
      </w:r>
      <w:r>
        <w:rPr>
          <w:rFonts w:eastAsia="맑은 고딕"/>
          <w:b/>
        </w:rPr>
        <w:t>in</w:t>
      </w:r>
      <w:r w:rsidRPr="00DA7C27">
        <w:rPr>
          <w:rFonts w:eastAsia="맑은 고딕"/>
          <w:b/>
        </w:rPr>
        <w:t xml:space="preserve"> single satellite</w:t>
      </w:r>
      <w:r>
        <w:rPr>
          <w:rFonts w:eastAsia="맑은 고딕"/>
          <w:b/>
        </w:rPr>
        <w:t xml:space="preserve"> based</w:t>
      </w:r>
      <w:r w:rsidRPr="00DA7C27">
        <w:rPr>
          <w:rFonts w:eastAsia="맑은 고딕"/>
          <w:b/>
        </w:rPr>
        <w:t xml:space="preserve"> multi-RTT</w:t>
      </w:r>
      <w:r>
        <w:rPr>
          <w:rFonts w:eastAsia="맑은 고딕"/>
          <w:b/>
        </w:rPr>
        <w:t xml:space="preserve"> positioning. </w:t>
      </w:r>
      <w:r w:rsidRPr="00DA7C27">
        <w:rPr>
          <w:rFonts w:eastAsia="맑은 고딕"/>
        </w:rPr>
        <w:t xml:space="preserve"> </w:t>
      </w:r>
    </w:p>
    <w:p w14:paraId="1360B38B" w14:textId="6F963B2E" w:rsidR="00A4752C" w:rsidRDefault="00A4752C" w:rsidP="00A4752C">
      <w:pPr>
        <w:spacing w:line="360" w:lineRule="auto"/>
        <w:contextualSpacing/>
        <w:rPr>
          <w:rFonts w:eastAsia="맑은 고딕" w:hint="eastAsia"/>
        </w:rPr>
      </w:pPr>
    </w:p>
    <w:p w14:paraId="71693BA2" w14:textId="77777777" w:rsidR="001E4715" w:rsidRDefault="001E4715" w:rsidP="00A4752C">
      <w:pPr>
        <w:spacing w:line="360" w:lineRule="auto"/>
        <w:contextualSpacing/>
        <w:rPr>
          <w:rFonts w:eastAsia="맑은 고딕"/>
        </w:rPr>
      </w:pPr>
    </w:p>
    <w:p w14:paraId="6D9F1964" w14:textId="77777777" w:rsidR="00F06030" w:rsidRDefault="00F06030" w:rsidP="00F06030">
      <w:pPr>
        <w:pStyle w:val="1"/>
      </w:pPr>
      <w:r>
        <w:t>C</w:t>
      </w:r>
      <w:r>
        <w:rPr>
          <w:rFonts w:hint="eastAsia"/>
        </w:rPr>
        <w:t>onclusion</w:t>
      </w:r>
    </w:p>
    <w:p w14:paraId="0B9E0027" w14:textId="63F3BE2A" w:rsidR="004B6DF1" w:rsidRPr="00FA5500" w:rsidRDefault="004B6DF1" w:rsidP="00FA5500">
      <w:pPr>
        <w:spacing w:line="360" w:lineRule="auto"/>
        <w:ind w:firstLineChars="100" w:firstLine="220"/>
        <w:rPr>
          <w:rFonts w:eastAsia="맑은 고딕"/>
        </w:rPr>
      </w:pPr>
      <w:r w:rsidRPr="00FA5500">
        <w:rPr>
          <w:rFonts w:eastAsia="맑은 고딕" w:hint="eastAsia"/>
        </w:rPr>
        <w:t xml:space="preserve">In this contribution, we discussed </w:t>
      </w:r>
      <w:r w:rsidR="00EE5374" w:rsidRPr="00FA5500">
        <w:rPr>
          <w:rFonts w:eastAsia="맑은 고딕"/>
        </w:rPr>
        <w:t>on</w:t>
      </w:r>
      <w:r w:rsidRPr="00FA5500">
        <w:rPr>
          <w:rFonts w:eastAsia="맑은 고딕"/>
        </w:rPr>
        <w:t xml:space="preserve"> </w:t>
      </w:r>
      <w:r w:rsidR="003452E8" w:rsidRPr="00FA5500">
        <w:rPr>
          <w:rFonts w:eastAsia="맑은 고딕"/>
        </w:rPr>
        <w:t>network verified UE location for NR NTN</w:t>
      </w:r>
      <w:r w:rsidRPr="00FA5500">
        <w:rPr>
          <w:rFonts w:eastAsia="맑은 고딕"/>
        </w:rPr>
        <w:t>. Based on the above discussion, we have the following</w:t>
      </w:r>
      <w:r w:rsidR="00B87959" w:rsidRPr="00FA5500">
        <w:rPr>
          <w:rFonts w:eastAsia="맑은 고딕"/>
        </w:rPr>
        <w:t xml:space="preserve"> </w:t>
      </w:r>
      <w:r w:rsidRPr="00FA5500">
        <w:rPr>
          <w:rFonts w:eastAsia="맑은 고딕"/>
        </w:rPr>
        <w:t xml:space="preserve">proposals. </w:t>
      </w:r>
    </w:p>
    <w:p w14:paraId="61C70AE5" w14:textId="77777777" w:rsidR="00CF11D4" w:rsidRDefault="00CF11D4" w:rsidP="00CF11D4">
      <w:pPr>
        <w:spacing w:line="360" w:lineRule="auto"/>
      </w:pPr>
      <w:bookmarkStart w:id="0" w:name="_GoBack"/>
      <w:bookmarkEnd w:id="0"/>
      <w:r w:rsidRPr="001E3B8D">
        <w:rPr>
          <w:rFonts w:eastAsia="맑은 고딕" w:hint="eastAsia"/>
          <w:b/>
        </w:rPr>
        <w:t>Proposal #</w:t>
      </w:r>
      <w:r>
        <w:rPr>
          <w:rFonts w:eastAsia="맑은 고딕"/>
          <w:b/>
        </w:rPr>
        <w:t>1</w:t>
      </w:r>
      <w:r w:rsidRPr="001E3B8D">
        <w:rPr>
          <w:rFonts w:eastAsia="맑은 고딕" w:hint="eastAsia"/>
          <w:b/>
        </w:rPr>
        <w:t xml:space="preserve">: </w:t>
      </w:r>
      <w:r>
        <w:rPr>
          <w:rFonts w:eastAsia="맑은 고딕"/>
          <w:b/>
        </w:rPr>
        <w:t xml:space="preserve">Support option 2 </w:t>
      </w:r>
      <w:r w:rsidRPr="00572858">
        <w:rPr>
          <w:rFonts w:eastAsia="맑은 고딕"/>
          <w:b/>
        </w:rPr>
        <w:t>(on the gNB</w:t>
      </w:r>
      <w:r>
        <w:rPr>
          <w:rFonts w:eastAsia="맑은 고딕"/>
          <w:b/>
        </w:rPr>
        <w:t xml:space="preserve">) for the </w:t>
      </w:r>
      <w:r w:rsidRPr="00572858">
        <w:rPr>
          <w:rFonts w:eastAsia="맑은 고딕"/>
          <w:b/>
        </w:rPr>
        <w:t>reference point for defin</w:t>
      </w:r>
      <w:r>
        <w:rPr>
          <w:rFonts w:eastAsia="맑은 고딕"/>
          <w:b/>
        </w:rPr>
        <w:t xml:space="preserve">ing </w:t>
      </w:r>
      <w:r w:rsidRPr="00572858">
        <w:rPr>
          <w:rFonts w:eastAsia="맑은 고딕"/>
          <w:b/>
        </w:rPr>
        <w:t>gNB Rx–Tx time difference measurement</w:t>
      </w:r>
      <w:r>
        <w:rPr>
          <w:rFonts w:eastAsia="맑은 고딕"/>
          <w:b/>
        </w:rPr>
        <w:t xml:space="preserve">. </w:t>
      </w:r>
    </w:p>
    <w:p w14:paraId="4B3BA65E" w14:textId="77777777" w:rsidR="00D86DE6" w:rsidRDefault="00D86DE6" w:rsidP="00D86DE6">
      <w:pPr>
        <w:spacing w:line="360" w:lineRule="auto"/>
        <w:rPr>
          <w:rFonts w:eastAsia="맑은 고딕"/>
          <w:b/>
        </w:rPr>
      </w:pPr>
      <w:r w:rsidRPr="001E3B8D">
        <w:rPr>
          <w:rFonts w:eastAsia="맑은 고딕" w:hint="eastAsia"/>
          <w:b/>
        </w:rPr>
        <w:t>Proposal #</w:t>
      </w:r>
      <w:r>
        <w:rPr>
          <w:rFonts w:eastAsia="맑은 고딕"/>
          <w:b/>
        </w:rPr>
        <w:t>2</w:t>
      </w:r>
      <w:r w:rsidRPr="001E3B8D">
        <w:rPr>
          <w:rFonts w:eastAsia="맑은 고딕" w:hint="eastAsia"/>
          <w:b/>
        </w:rPr>
        <w:t xml:space="preserve">: </w:t>
      </w:r>
      <w:r>
        <w:rPr>
          <w:rFonts w:eastAsia="맑은 고딕"/>
          <w:b/>
        </w:rPr>
        <w:t>For</w:t>
      </w:r>
      <w:r w:rsidRPr="00CF11D4">
        <w:t xml:space="preserve"> </w:t>
      </w:r>
      <w:r w:rsidRPr="00CF11D4">
        <w:rPr>
          <w:rFonts w:eastAsia="맑은 고딕"/>
          <w:b/>
        </w:rPr>
        <w:t>combination of UE and gNB Rx-Tx time difference measurement</w:t>
      </w:r>
      <w:r>
        <w:rPr>
          <w:rFonts w:eastAsia="맑은 고딕"/>
          <w:b/>
        </w:rPr>
        <w:t>,</w:t>
      </w:r>
      <w:r w:rsidRPr="00CF11D4">
        <w:rPr>
          <w:rFonts w:eastAsia="맑은 고딕"/>
          <w:b/>
        </w:rPr>
        <w:t xml:space="preserve"> </w:t>
      </w:r>
      <w:r>
        <w:rPr>
          <w:rFonts w:eastAsia="맑은 고딕"/>
          <w:b/>
        </w:rPr>
        <w:t>support Alt-1 (</w:t>
      </w:r>
      <w:r w:rsidRPr="00D86DE6">
        <w:rPr>
          <w:rFonts w:eastAsia="맑은 고딕"/>
          <w:b/>
        </w:rPr>
        <w:t>UE Rx-Tx time difference based on Option 3 and gNB Rx-Tx time difference as defined in TS 38.215</w:t>
      </w:r>
      <w:r>
        <w:rPr>
          <w:rFonts w:eastAsia="맑은 고딕"/>
          <w:b/>
        </w:rPr>
        <w:t xml:space="preserve">). </w:t>
      </w:r>
    </w:p>
    <w:p w14:paraId="5E77BFFD" w14:textId="70E896BD" w:rsidR="00A72AB5" w:rsidRDefault="00A72AB5" w:rsidP="00A72AB5">
      <w:pPr>
        <w:spacing w:line="360" w:lineRule="auto"/>
        <w:contextualSpacing/>
        <w:rPr>
          <w:rFonts w:eastAsia="맑은 고딕"/>
        </w:rPr>
      </w:pPr>
      <w:r w:rsidRPr="001E3B8D">
        <w:rPr>
          <w:rFonts w:eastAsia="맑은 고딕" w:hint="eastAsia"/>
          <w:b/>
        </w:rPr>
        <w:t>Proposal #</w:t>
      </w:r>
      <w:r w:rsidR="00CF11D4">
        <w:rPr>
          <w:rFonts w:eastAsia="맑은 고딕"/>
          <w:b/>
        </w:rPr>
        <w:t>3</w:t>
      </w:r>
      <w:r w:rsidRPr="00DA7C27">
        <w:rPr>
          <w:rFonts w:eastAsia="맑은 고딕" w:hint="eastAsia"/>
          <w:b/>
        </w:rPr>
        <w:t xml:space="preserve">: </w:t>
      </w:r>
      <w:r w:rsidRPr="00DA7C27">
        <w:rPr>
          <w:rFonts w:eastAsia="맑은 고딕"/>
          <w:b/>
        </w:rPr>
        <w:t xml:space="preserve">Support option 1 (based on </w:t>
      </w:r>
      <w:r w:rsidRPr="00DA7C27">
        <w:rPr>
          <w:b/>
          <w:szCs w:val="20"/>
        </w:rPr>
        <w:t xml:space="preserve">gNB or LMF implementation) </w:t>
      </w:r>
      <w:r w:rsidRPr="00DA7C27">
        <w:rPr>
          <w:rFonts w:eastAsia="맑은 고딕"/>
          <w:b/>
        </w:rPr>
        <w:t>for resolving mirror position</w:t>
      </w:r>
      <w:r>
        <w:rPr>
          <w:rFonts w:eastAsia="맑은 고딕"/>
          <w:b/>
        </w:rPr>
        <w:t>s</w:t>
      </w:r>
      <w:r w:rsidRPr="00DA7C27">
        <w:rPr>
          <w:rFonts w:eastAsia="맑은 고딕"/>
          <w:b/>
        </w:rPr>
        <w:t xml:space="preserve"> ambiguity </w:t>
      </w:r>
      <w:r>
        <w:rPr>
          <w:rFonts w:eastAsia="맑은 고딕"/>
          <w:b/>
        </w:rPr>
        <w:t>in</w:t>
      </w:r>
      <w:r w:rsidRPr="00DA7C27">
        <w:rPr>
          <w:rFonts w:eastAsia="맑은 고딕"/>
          <w:b/>
        </w:rPr>
        <w:t xml:space="preserve"> single satellite</w:t>
      </w:r>
      <w:r>
        <w:rPr>
          <w:rFonts w:eastAsia="맑은 고딕"/>
          <w:b/>
        </w:rPr>
        <w:t xml:space="preserve"> based</w:t>
      </w:r>
      <w:r w:rsidRPr="00DA7C27">
        <w:rPr>
          <w:rFonts w:eastAsia="맑은 고딕"/>
          <w:b/>
        </w:rPr>
        <w:t xml:space="preserve"> multi-RTT</w:t>
      </w:r>
      <w:r>
        <w:rPr>
          <w:rFonts w:eastAsia="맑은 고딕"/>
          <w:b/>
        </w:rPr>
        <w:t xml:space="preserve"> positioning. </w:t>
      </w:r>
      <w:r w:rsidRPr="00DA7C27">
        <w:rPr>
          <w:rFonts w:eastAsia="맑은 고딕"/>
        </w:rPr>
        <w:t xml:space="preserve"> </w:t>
      </w:r>
    </w:p>
    <w:p w14:paraId="4D9EB2C3" w14:textId="5C3CB868" w:rsidR="00AE62A5" w:rsidRDefault="00AE62A5" w:rsidP="00A72AB5">
      <w:pPr>
        <w:spacing w:line="360" w:lineRule="auto"/>
        <w:contextualSpacing/>
        <w:rPr>
          <w:rFonts w:eastAsia="맑은 고딕"/>
        </w:rPr>
      </w:pPr>
    </w:p>
    <w:p w14:paraId="207B5842" w14:textId="36F593B9" w:rsidR="00AE62A5" w:rsidRDefault="00AE62A5" w:rsidP="00A72AB5">
      <w:pPr>
        <w:spacing w:line="360" w:lineRule="auto"/>
        <w:contextualSpacing/>
        <w:rPr>
          <w:rFonts w:eastAsia="맑은 고딕"/>
        </w:rPr>
      </w:pPr>
    </w:p>
    <w:p w14:paraId="078706EF" w14:textId="4340CDF2" w:rsidR="00AE62A5" w:rsidRDefault="00AE62A5" w:rsidP="00AE62A5">
      <w:pPr>
        <w:pStyle w:val="1"/>
        <w:numPr>
          <w:ilvl w:val="0"/>
          <w:numId w:val="0"/>
        </w:numPr>
      </w:pPr>
      <w:r>
        <w:t>Reference</w:t>
      </w:r>
    </w:p>
    <w:p w14:paraId="29A5846D" w14:textId="3528C9EB" w:rsidR="00AE62A5" w:rsidRDefault="00AE62A5" w:rsidP="00A72AB5">
      <w:pPr>
        <w:spacing w:line="360" w:lineRule="auto"/>
        <w:contextualSpacing/>
        <w:rPr>
          <w:rFonts w:eastAsia="맑은 고딕"/>
        </w:rPr>
      </w:pPr>
      <w:r>
        <w:rPr>
          <w:rFonts w:eastAsia="맑은 고딕" w:hint="eastAsia"/>
        </w:rPr>
        <w:t xml:space="preserve">[1] R1-2302405, </w:t>
      </w:r>
      <w:r>
        <w:rPr>
          <w:rFonts w:eastAsia="맑은 고딕"/>
        </w:rPr>
        <w:t>“</w:t>
      </w:r>
      <w:r w:rsidRPr="00AE62A5">
        <w:rPr>
          <w:rFonts w:eastAsia="맑은 고딕"/>
        </w:rPr>
        <w:t>FL Summary #4: Network verified UE location for NR NTN</w:t>
      </w:r>
      <w:r>
        <w:rPr>
          <w:rFonts w:eastAsia="맑은 고딕"/>
        </w:rPr>
        <w:t>”, Thales</w:t>
      </w:r>
    </w:p>
    <w:p w14:paraId="45001478" w14:textId="2D56A9F7" w:rsidR="00AE62A5" w:rsidRDefault="00AE62A5">
      <w:pPr>
        <w:widowControl/>
        <w:wordWrap/>
        <w:autoSpaceDE/>
        <w:autoSpaceDN/>
        <w:rPr>
          <w:rFonts w:hint="eastAsia"/>
          <w:lang w:val="en-GB"/>
        </w:rPr>
      </w:pPr>
    </w:p>
    <w:sectPr w:rsidR="00AE62A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D0C66" w14:textId="77777777" w:rsidR="000675AE" w:rsidRDefault="000675AE" w:rsidP="00A730F4">
      <w:pPr>
        <w:spacing w:after="0" w:line="240" w:lineRule="auto"/>
      </w:pPr>
      <w:r>
        <w:separator/>
      </w:r>
    </w:p>
  </w:endnote>
  <w:endnote w:type="continuationSeparator" w:id="0">
    <w:p w14:paraId="38064C6A" w14:textId="77777777" w:rsidR="000675AE" w:rsidRDefault="000675AE"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FF3BE" w14:textId="77777777" w:rsidR="000675AE" w:rsidRDefault="000675AE" w:rsidP="00A730F4">
      <w:pPr>
        <w:spacing w:after="0" w:line="240" w:lineRule="auto"/>
      </w:pPr>
      <w:r>
        <w:separator/>
      </w:r>
    </w:p>
  </w:footnote>
  <w:footnote w:type="continuationSeparator" w:id="0">
    <w:p w14:paraId="64ECEB9B" w14:textId="77777777" w:rsidR="000675AE" w:rsidRDefault="000675AE"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33.25pt;height:24pt" o:bullet="t">
        <v:imagedata r:id="rId1" o:title="artFED6"/>
      </v:shape>
    </w:pict>
  </w:numPicBullet>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080B03"/>
    <w:multiLevelType w:val="hybridMultilevel"/>
    <w:tmpl w:val="34167D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778048C"/>
    <w:multiLevelType w:val="hybridMultilevel"/>
    <w:tmpl w:val="31A62E3E"/>
    <w:lvl w:ilvl="0" w:tplc="4FE2F608">
      <w:start w:val="1"/>
      <w:numFmt w:val="bullet"/>
      <w:lvlText w:val=""/>
      <w:lvlPicBulletId w:val="0"/>
      <w:lvlJc w:val="left"/>
      <w:pPr>
        <w:tabs>
          <w:tab w:val="num" w:pos="720"/>
        </w:tabs>
        <w:ind w:left="720" w:hanging="360"/>
      </w:pPr>
      <w:rPr>
        <w:rFonts w:ascii="Symbol" w:hAnsi="Symbol" w:hint="default"/>
      </w:rPr>
    </w:lvl>
    <w:lvl w:ilvl="1" w:tplc="33ACDDE8">
      <w:start w:val="7147"/>
      <w:numFmt w:val="bullet"/>
      <w:lvlText w:val="•"/>
      <w:lvlJc w:val="left"/>
      <w:pPr>
        <w:tabs>
          <w:tab w:val="num" w:pos="1440"/>
        </w:tabs>
        <w:ind w:left="1440" w:hanging="360"/>
      </w:pPr>
      <w:rPr>
        <w:rFonts w:ascii="Arial" w:hAnsi="Arial" w:hint="default"/>
      </w:rPr>
    </w:lvl>
    <w:lvl w:ilvl="2" w:tplc="B3927314" w:tentative="1">
      <w:start w:val="1"/>
      <w:numFmt w:val="bullet"/>
      <w:lvlText w:val=""/>
      <w:lvlPicBulletId w:val="0"/>
      <w:lvlJc w:val="left"/>
      <w:pPr>
        <w:tabs>
          <w:tab w:val="num" w:pos="2160"/>
        </w:tabs>
        <w:ind w:left="2160" w:hanging="360"/>
      </w:pPr>
      <w:rPr>
        <w:rFonts w:ascii="Symbol" w:hAnsi="Symbol" w:hint="default"/>
      </w:rPr>
    </w:lvl>
    <w:lvl w:ilvl="3" w:tplc="5EE6F070" w:tentative="1">
      <w:start w:val="1"/>
      <w:numFmt w:val="bullet"/>
      <w:lvlText w:val=""/>
      <w:lvlPicBulletId w:val="0"/>
      <w:lvlJc w:val="left"/>
      <w:pPr>
        <w:tabs>
          <w:tab w:val="num" w:pos="2880"/>
        </w:tabs>
        <w:ind w:left="2880" w:hanging="360"/>
      </w:pPr>
      <w:rPr>
        <w:rFonts w:ascii="Symbol" w:hAnsi="Symbol" w:hint="default"/>
      </w:rPr>
    </w:lvl>
    <w:lvl w:ilvl="4" w:tplc="956278DE" w:tentative="1">
      <w:start w:val="1"/>
      <w:numFmt w:val="bullet"/>
      <w:lvlText w:val=""/>
      <w:lvlPicBulletId w:val="0"/>
      <w:lvlJc w:val="left"/>
      <w:pPr>
        <w:tabs>
          <w:tab w:val="num" w:pos="3600"/>
        </w:tabs>
        <w:ind w:left="3600" w:hanging="360"/>
      </w:pPr>
      <w:rPr>
        <w:rFonts w:ascii="Symbol" w:hAnsi="Symbol" w:hint="default"/>
      </w:rPr>
    </w:lvl>
    <w:lvl w:ilvl="5" w:tplc="448C3372" w:tentative="1">
      <w:start w:val="1"/>
      <w:numFmt w:val="bullet"/>
      <w:lvlText w:val=""/>
      <w:lvlPicBulletId w:val="0"/>
      <w:lvlJc w:val="left"/>
      <w:pPr>
        <w:tabs>
          <w:tab w:val="num" w:pos="4320"/>
        </w:tabs>
        <w:ind w:left="4320" w:hanging="360"/>
      </w:pPr>
      <w:rPr>
        <w:rFonts w:ascii="Symbol" w:hAnsi="Symbol" w:hint="default"/>
      </w:rPr>
    </w:lvl>
    <w:lvl w:ilvl="6" w:tplc="F730A41A" w:tentative="1">
      <w:start w:val="1"/>
      <w:numFmt w:val="bullet"/>
      <w:lvlText w:val=""/>
      <w:lvlPicBulletId w:val="0"/>
      <w:lvlJc w:val="left"/>
      <w:pPr>
        <w:tabs>
          <w:tab w:val="num" w:pos="5040"/>
        </w:tabs>
        <w:ind w:left="5040" w:hanging="360"/>
      </w:pPr>
      <w:rPr>
        <w:rFonts w:ascii="Symbol" w:hAnsi="Symbol" w:hint="default"/>
      </w:rPr>
    </w:lvl>
    <w:lvl w:ilvl="7" w:tplc="E92CDF48" w:tentative="1">
      <w:start w:val="1"/>
      <w:numFmt w:val="bullet"/>
      <w:lvlText w:val=""/>
      <w:lvlPicBulletId w:val="0"/>
      <w:lvlJc w:val="left"/>
      <w:pPr>
        <w:tabs>
          <w:tab w:val="num" w:pos="5760"/>
        </w:tabs>
        <w:ind w:left="5760" w:hanging="360"/>
      </w:pPr>
      <w:rPr>
        <w:rFonts w:ascii="Symbol" w:hAnsi="Symbol" w:hint="default"/>
      </w:rPr>
    </w:lvl>
    <w:lvl w:ilvl="8" w:tplc="888ABA0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9DE2027"/>
    <w:multiLevelType w:val="hybridMultilevel"/>
    <w:tmpl w:val="63D0AFC0"/>
    <w:lvl w:ilvl="0" w:tplc="ED8E04FA">
      <w:start w:val="1"/>
      <w:numFmt w:val="bullet"/>
      <w:lvlText w:val=""/>
      <w:lvlPicBulletId w:val="0"/>
      <w:lvlJc w:val="left"/>
      <w:pPr>
        <w:tabs>
          <w:tab w:val="num" w:pos="720"/>
        </w:tabs>
        <w:ind w:left="720" w:hanging="360"/>
      </w:pPr>
      <w:rPr>
        <w:rFonts w:ascii="Symbol" w:hAnsi="Symbol" w:hint="default"/>
      </w:rPr>
    </w:lvl>
    <w:lvl w:ilvl="1" w:tplc="3D0C503A">
      <w:start w:val="7147"/>
      <w:numFmt w:val="bullet"/>
      <w:lvlText w:val="•"/>
      <w:lvlJc w:val="left"/>
      <w:pPr>
        <w:tabs>
          <w:tab w:val="num" w:pos="1440"/>
        </w:tabs>
        <w:ind w:left="1440" w:hanging="360"/>
      </w:pPr>
      <w:rPr>
        <w:rFonts w:ascii="Arial" w:hAnsi="Arial" w:hint="default"/>
      </w:rPr>
    </w:lvl>
    <w:lvl w:ilvl="2" w:tplc="2D129496" w:tentative="1">
      <w:start w:val="1"/>
      <w:numFmt w:val="bullet"/>
      <w:lvlText w:val=""/>
      <w:lvlPicBulletId w:val="0"/>
      <w:lvlJc w:val="left"/>
      <w:pPr>
        <w:tabs>
          <w:tab w:val="num" w:pos="2160"/>
        </w:tabs>
        <w:ind w:left="2160" w:hanging="360"/>
      </w:pPr>
      <w:rPr>
        <w:rFonts w:ascii="Symbol" w:hAnsi="Symbol" w:hint="default"/>
      </w:rPr>
    </w:lvl>
    <w:lvl w:ilvl="3" w:tplc="BFCA2D6C" w:tentative="1">
      <w:start w:val="1"/>
      <w:numFmt w:val="bullet"/>
      <w:lvlText w:val=""/>
      <w:lvlPicBulletId w:val="0"/>
      <w:lvlJc w:val="left"/>
      <w:pPr>
        <w:tabs>
          <w:tab w:val="num" w:pos="2880"/>
        </w:tabs>
        <w:ind w:left="2880" w:hanging="360"/>
      </w:pPr>
      <w:rPr>
        <w:rFonts w:ascii="Symbol" w:hAnsi="Symbol" w:hint="default"/>
      </w:rPr>
    </w:lvl>
    <w:lvl w:ilvl="4" w:tplc="F86AAB52" w:tentative="1">
      <w:start w:val="1"/>
      <w:numFmt w:val="bullet"/>
      <w:lvlText w:val=""/>
      <w:lvlPicBulletId w:val="0"/>
      <w:lvlJc w:val="left"/>
      <w:pPr>
        <w:tabs>
          <w:tab w:val="num" w:pos="3600"/>
        </w:tabs>
        <w:ind w:left="3600" w:hanging="360"/>
      </w:pPr>
      <w:rPr>
        <w:rFonts w:ascii="Symbol" w:hAnsi="Symbol" w:hint="default"/>
      </w:rPr>
    </w:lvl>
    <w:lvl w:ilvl="5" w:tplc="F9446B62" w:tentative="1">
      <w:start w:val="1"/>
      <w:numFmt w:val="bullet"/>
      <w:lvlText w:val=""/>
      <w:lvlPicBulletId w:val="0"/>
      <w:lvlJc w:val="left"/>
      <w:pPr>
        <w:tabs>
          <w:tab w:val="num" w:pos="4320"/>
        </w:tabs>
        <w:ind w:left="4320" w:hanging="360"/>
      </w:pPr>
      <w:rPr>
        <w:rFonts w:ascii="Symbol" w:hAnsi="Symbol" w:hint="default"/>
      </w:rPr>
    </w:lvl>
    <w:lvl w:ilvl="6" w:tplc="16B8179C" w:tentative="1">
      <w:start w:val="1"/>
      <w:numFmt w:val="bullet"/>
      <w:lvlText w:val=""/>
      <w:lvlPicBulletId w:val="0"/>
      <w:lvlJc w:val="left"/>
      <w:pPr>
        <w:tabs>
          <w:tab w:val="num" w:pos="5040"/>
        </w:tabs>
        <w:ind w:left="5040" w:hanging="360"/>
      </w:pPr>
      <w:rPr>
        <w:rFonts w:ascii="Symbol" w:hAnsi="Symbol" w:hint="default"/>
      </w:rPr>
    </w:lvl>
    <w:lvl w:ilvl="7" w:tplc="2F1A5192" w:tentative="1">
      <w:start w:val="1"/>
      <w:numFmt w:val="bullet"/>
      <w:lvlText w:val=""/>
      <w:lvlPicBulletId w:val="0"/>
      <w:lvlJc w:val="left"/>
      <w:pPr>
        <w:tabs>
          <w:tab w:val="num" w:pos="5760"/>
        </w:tabs>
        <w:ind w:left="5760" w:hanging="360"/>
      </w:pPr>
      <w:rPr>
        <w:rFonts w:ascii="Symbol" w:hAnsi="Symbol" w:hint="default"/>
      </w:rPr>
    </w:lvl>
    <w:lvl w:ilvl="8" w:tplc="D1C03D9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FF77A45"/>
    <w:multiLevelType w:val="hybridMultilevel"/>
    <w:tmpl w:val="EC46C3B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9F0E2D"/>
    <w:multiLevelType w:val="hybridMultilevel"/>
    <w:tmpl w:val="31DE74BA"/>
    <w:lvl w:ilvl="0" w:tplc="FD3215B6">
      <w:start w:val="7147"/>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922D01"/>
    <w:multiLevelType w:val="multilevel"/>
    <w:tmpl w:val="3A922D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5D12F6"/>
    <w:multiLevelType w:val="multilevel"/>
    <w:tmpl w:val="3B5D12F6"/>
    <w:lvl w:ilvl="0">
      <w:numFmt w:val="bullet"/>
      <w:lvlText w:val="-"/>
      <w:lvlJc w:val="left"/>
      <w:pPr>
        <w:ind w:left="36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D320A9"/>
    <w:multiLevelType w:val="hybridMultilevel"/>
    <w:tmpl w:val="5A307804"/>
    <w:lvl w:ilvl="0" w:tplc="62747B2A">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6097C"/>
    <w:multiLevelType w:val="hybridMultilevel"/>
    <w:tmpl w:val="0E4CD73C"/>
    <w:lvl w:ilvl="0" w:tplc="BA3E86AC">
      <w:start w:val="1"/>
      <w:numFmt w:val="bullet"/>
      <w:lvlText w:val=""/>
      <w:lvlPicBulletId w:val="0"/>
      <w:lvlJc w:val="left"/>
      <w:pPr>
        <w:tabs>
          <w:tab w:val="num" w:pos="720"/>
        </w:tabs>
        <w:ind w:left="720" w:hanging="360"/>
      </w:pPr>
      <w:rPr>
        <w:rFonts w:ascii="Symbol" w:hAnsi="Symbol" w:hint="default"/>
      </w:rPr>
    </w:lvl>
    <w:lvl w:ilvl="1" w:tplc="FD3215B6">
      <w:start w:val="7147"/>
      <w:numFmt w:val="bullet"/>
      <w:lvlText w:val="•"/>
      <w:lvlJc w:val="left"/>
      <w:pPr>
        <w:tabs>
          <w:tab w:val="num" w:pos="1440"/>
        </w:tabs>
        <w:ind w:left="1440" w:hanging="360"/>
      </w:pPr>
      <w:rPr>
        <w:rFonts w:ascii="Arial" w:hAnsi="Arial" w:hint="default"/>
      </w:rPr>
    </w:lvl>
    <w:lvl w:ilvl="2" w:tplc="4B8C8EBC">
      <w:start w:val="7147"/>
      <w:numFmt w:val="bullet"/>
      <w:lvlText w:val="•"/>
      <w:lvlJc w:val="left"/>
      <w:pPr>
        <w:tabs>
          <w:tab w:val="num" w:pos="2160"/>
        </w:tabs>
        <w:ind w:left="2160" w:hanging="360"/>
      </w:pPr>
      <w:rPr>
        <w:rFonts w:ascii="Arial" w:hAnsi="Arial" w:hint="default"/>
      </w:rPr>
    </w:lvl>
    <w:lvl w:ilvl="3" w:tplc="3358FDA8" w:tentative="1">
      <w:start w:val="1"/>
      <w:numFmt w:val="bullet"/>
      <w:lvlText w:val=""/>
      <w:lvlPicBulletId w:val="0"/>
      <w:lvlJc w:val="left"/>
      <w:pPr>
        <w:tabs>
          <w:tab w:val="num" w:pos="2880"/>
        </w:tabs>
        <w:ind w:left="2880" w:hanging="360"/>
      </w:pPr>
      <w:rPr>
        <w:rFonts w:ascii="Symbol" w:hAnsi="Symbol" w:hint="default"/>
      </w:rPr>
    </w:lvl>
    <w:lvl w:ilvl="4" w:tplc="B41401D0" w:tentative="1">
      <w:start w:val="1"/>
      <w:numFmt w:val="bullet"/>
      <w:lvlText w:val=""/>
      <w:lvlPicBulletId w:val="0"/>
      <w:lvlJc w:val="left"/>
      <w:pPr>
        <w:tabs>
          <w:tab w:val="num" w:pos="3600"/>
        </w:tabs>
        <w:ind w:left="3600" w:hanging="360"/>
      </w:pPr>
      <w:rPr>
        <w:rFonts w:ascii="Symbol" w:hAnsi="Symbol" w:hint="default"/>
      </w:rPr>
    </w:lvl>
    <w:lvl w:ilvl="5" w:tplc="DD080644" w:tentative="1">
      <w:start w:val="1"/>
      <w:numFmt w:val="bullet"/>
      <w:lvlText w:val=""/>
      <w:lvlPicBulletId w:val="0"/>
      <w:lvlJc w:val="left"/>
      <w:pPr>
        <w:tabs>
          <w:tab w:val="num" w:pos="4320"/>
        </w:tabs>
        <w:ind w:left="4320" w:hanging="360"/>
      </w:pPr>
      <w:rPr>
        <w:rFonts w:ascii="Symbol" w:hAnsi="Symbol" w:hint="default"/>
      </w:rPr>
    </w:lvl>
    <w:lvl w:ilvl="6" w:tplc="B3622EBE" w:tentative="1">
      <w:start w:val="1"/>
      <w:numFmt w:val="bullet"/>
      <w:lvlText w:val=""/>
      <w:lvlPicBulletId w:val="0"/>
      <w:lvlJc w:val="left"/>
      <w:pPr>
        <w:tabs>
          <w:tab w:val="num" w:pos="5040"/>
        </w:tabs>
        <w:ind w:left="5040" w:hanging="360"/>
      </w:pPr>
      <w:rPr>
        <w:rFonts w:ascii="Symbol" w:hAnsi="Symbol" w:hint="default"/>
      </w:rPr>
    </w:lvl>
    <w:lvl w:ilvl="7" w:tplc="91BC8160" w:tentative="1">
      <w:start w:val="1"/>
      <w:numFmt w:val="bullet"/>
      <w:lvlText w:val=""/>
      <w:lvlPicBulletId w:val="0"/>
      <w:lvlJc w:val="left"/>
      <w:pPr>
        <w:tabs>
          <w:tab w:val="num" w:pos="5760"/>
        </w:tabs>
        <w:ind w:left="5760" w:hanging="360"/>
      </w:pPr>
      <w:rPr>
        <w:rFonts w:ascii="Symbol" w:hAnsi="Symbol" w:hint="default"/>
      </w:rPr>
    </w:lvl>
    <w:lvl w:ilvl="8" w:tplc="C1F8BEF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0"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4A1123F"/>
    <w:multiLevelType w:val="hybridMultilevel"/>
    <w:tmpl w:val="6EBCA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D8A6AF0"/>
    <w:multiLevelType w:val="hybridMultilevel"/>
    <w:tmpl w:val="805E37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4"/>
  </w:num>
  <w:num w:numId="3">
    <w:abstractNumId w:val="17"/>
  </w:num>
  <w:num w:numId="4">
    <w:abstractNumId w:val="20"/>
  </w:num>
  <w:num w:numId="5">
    <w:abstractNumId w:val="21"/>
  </w:num>
  <w:num w:numId="6">
    <w:abstractNumId w:val="11"/>
  </w:num>
  <w:num w:numId="7">
    <w:abstractNumId w:val="12"/>
  </w:num>
  <w:num w:numId="8">
    <w:abstractNumId w:val="19"/>
  </w:num>
  <w:num w:numId="9">
    <w:abstractNumId w:val="1"/>
  </w:num>
  <w:num w:numId="10">
    <w:abstractNumId w:val="23"/>
  </w:num>
  <w:num w:numId="11">
    <w:abstractNumId w:val="22"/>
  </w:num>
  <w:num w:numId="12">
    <w:abstractNumId w:val="10"/>
  </w:num>
  <w:num w:numId="13">
    <w:abstractNumId w:val="2"/>
  </w:num>
  <w:num w:numId="14">
    <w:abstractNumId w:val="16"/>
  </w:num>
  <w:num w:numId="15">
    <w:abstractNumId w:val="3"/>
  </w:num>
  <w:num w:numId="16">
    <w:abstractNumId w:val="15"/>
  </w:num>
  <w:num w:numId="17">
    <w:abstractNumId w:val="5"/>
  </w:num>
  <w:num w:numId="18">
    <w:abstractNumId w:val="9"/>
  </w:num>
  <w:num w:numId="19">
    <w:abstractNumId w:val="18"/>
  </w:num>
  <w:num w:numId="20">
    <w:abstractNumId w:val="8"/>
  </w:num>
  <w:num w:numId="21">
    <w:abstractNumId w:val="7"/>
  </w:num>
  <w:num w:numId="22">
    <w:abstractNumId w:val="0"/>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12C05"/>
    <w:rsid w:val="00023F2D"/>
    <w:rsid w:val="0002464D"/>
    <w:rsid w:val="00026D44"/>
    <w:rsid w:val="0002749D"/>
    <w:rsid w:val="00027617"/>
    <w:rsid w:val="00057949"/>
    <w:rsid w:val="000675AE"/>
    <w:rsid w:val="0007162D"/>
    <w:rsid w:val="00072542"/>
    <w:rsid w:val="000854DC"/>
    <w:rsid w:val="000A30F4"/>
    <w:rsid w:val="000B326B"/>
    <w:rsid w:val="000B45E0"/>
    <w:rsid w:val="000B540A"/>
    <w:rsid w:val="000B710C"/>
    <w:rsid w:val="000C1830"/>
    <w:rsid w:val="000C6522"/>
    <w:rsid w:val="000E369B"/>
    <w:rsid w:val="000E73A9"/>
    <w:rsid w:val="000F1B99"/>
    <w:rsid w:val="000F2224"/>
    <w:rsid w:val="000F46DC"/>
    <w:rsid w:val="000F5F6B"/>
    <w:rsid w:val="000F631D"/>
    <w:rsid w:val="0010057C"/>
    <w:rsid w:val="00105655"/>
    <w:rsid w:val="00105A0B"/>
    <w:rsid w:val="001131E7"/>
    <w:rsid w:val="00135864"/>
    <w:rsid w:val="00150687"/>
    <w:rsid w:val="001622F8"/>
    <w:rsid w:val="00166B55"/>
    <w:rsid w:val="0017266E"/>
    <w:rsid w:val="00177DB2"/>
    <w:rsid w:val="00182B51"/>
    <w:rsid w:val="00182DAE"/>
    <w:rsid w:val="001856AB"/>
    <w:rsid w:val="00193AC6"/>
    <w:rsid w:val="00195C54"/>
    <w:rsid w:val="001A4221"/>
    <w:rsid w:val="001A6428"/>
    <w:rsid w:val="001B7BD3"/>
    <w:rsid w:val="001C49B3"/>
    <w:rsid w:val="001C6A93"/>
    <w:rsid w:val="001E3B8D"/>
    <w:rsid w:val="001E4715"/>
    <w:rsid w:val="001F74EE"/>
    <w:rsid w:val="001F7EB9"/>
    <w:rsid w:val="00213919"/>
    <w:rsid w:val="00213B95"/>
    <w:rsid w:val="002238E8"/>
    <w:rsid w:val="0023186C"/>
    <w:rsid w:val="00236510"/>
    <w:rsid w:val="00245C8D"/>
    <w:rsid w:val="002629F9"/>
    <w:rsid w:val="00264A66"/>
    <w:rsid w:val="00265AA6"/>
    <w:rsid w:val="00265F6C"/>
    <w:rsid w:val="0027336F"/>
    <w:rsid w:val="00281DA5"/>
    <w:rsid w:val="00281F6F"/>
    <w:rsid w:val="002847A2"/>
    <w:rsid w:val="00286EEF"/>
    <w:rsid w:val="00295202"/>
    <w:rsid w:val="002A6902"/>
    <w:rsid w:val="002B5F99"/>
    <w:rsid w:val="002B79D1"/>
    <w:rsid w:val="002C1BE0"/>
    <w:rsid w:val="002C3187"/>
    <w:rsid w:val="002C34D1"/>
    <w:rsid w:val="002C5191"/>
    <w:rsid w:val="002D242A"/>
    <w:rsid w:val="002D6DE2"/>
    <w:rsid w:val="002E0230"/>
    <w:rsid w:val="002E092D"/>
    <w:rsid w:val="002E0A64"/>
    <w:rsid w:val="002E69DB"/>
    <w:rsid w:val="002F7946"/>
    <w:rsid w:val="0030286B"/>
    <w:rsid w:val="00304002"/>
    <w:rsid w:val="00305499"/>
    <w:rsid w:val="00312918"/>
    <w:rsid w:val="003129E9"/>
    <w:rsid w:val="00323811"/>
    <w:rsid w:val="003316E4"/>
    <w:rsid w:val="003452E8"/>
    <w:rsid w:val="00351D4B"/>
    <w:rsid w:val="0036161F"/>
    <w:rsid w:val="003717CC"/>
    <w:rsid w:val="00376F7A"/>
    <w:rsid w:val="0038385B"/>
    <w:rsid w:val="00385180"/>
    <w:rsid w:val="003A6FDD"/>
    <w:rsid w:val="003A7D88"/>
    <w:rsid w:val="003D7FAD"/>
    <w:rsid w:val="003F64C4"/>
    <w:rsid w:val="00412555"/>
    <w:rsid w:val="004276BF"/>
    <w:rsid w:val="00431D3A"/>
    <w:rsid w:val="00434567"/>
    <w:rsid w:val="00445927"/>
    <w:rsid w:val="004537B7"/>
    <w:rsid w:val="004716F6"/>
    <w:rsid w:val="004A0F43"/>
    <w:rsid w:val="004A24A1"/>
    <w:rsid w:val="004A2F31"/>
    <w:rsid w:val="004A6F9D"/>
    <w:rsid w:val="004A7AAE"/>
    <w:rsid w:val="004B1E71"/>
    <w:rsid w:val="004B6DF1"/>
    <w:rsid w:val="00502B31"/>
    <w:rsid w:val="00504554"/>
    <w:rsid w:val="005217B3"/>
    <w:rsid w:val="00526A5A"/>
    <w:rsid w:val="00527209"/>
    <w:rsid w:val="00532698"/>
    <w:rsid w:val="00533A9A"/>
    <w:rsid w:val="00534F0B"/>
    <w:rsid w:val="0055178E"/>
    <w:rsid w:val="00555BF3"/>
    <w:rsid w:val="005611E2"/>
    <w:rsid w:val="00561D34"/>
    <w:rsid w:val="00562E4B"/>
    <w:rsid w:val="00563D9D"/>
    <w:rsid w:val="00572858"/>
    <w:rsid w:val="00573048"/>
    <w:rsid w:val="005765CA"/>
    <w:rsid w:val="005775B8"/>
    <w:rsid w:val="00592A4B"/>
    <w:rsid w:val="005B0725"/>
    <w:rsid w:val="005B6CD9"/>
    <w:rsid w:val="005D4DAF"/>
    <w:rsid w:val="005E1EA5"/>
    <w:rsid w:val="005E4E90"/>
    <w:rsid w:val="005F3ED2"/>
    <w:rsid w:val="005F4660"/>
    <w:rsid w:val="00600212"/>
    <w:rsid w:val="0060730A"/>
    <w:rsid w:val="006117AC"/>
    <w:rsid w:val="00612C8E"/>
    <w:rsid w:val="006259A2"/>
    <w:rsid w:val="00627E4C"/>
    <w:rsid w:val="00636AFB"/>
    <w:rsid w:val="006711E2"/>
    <w:rsid w:val="00672CCE"/>
    <w:rsid w:val="00673B50"/>
    <w:rsid w:val="006820E4"/>
    <w:rsid w:val="00682673"/>
    <w:rsid w:val="006A6ED7"/>
    <w:rsid w:val="006B707D"/>
    <w:rsid w:val="006C7826"/>
    <w:rsid w:val="006D00DD"/>
    <w:rsid w:val="006D3BF4"/>
    <w:rsid w:val="006F1B8A"/>
    <w:rsid w:val="006F1D21"/>
    <w:rsid w:val="00700FEE"/>
    <w:rsid w:val="007047F7"/>
    <w:rsid w:val="00711E37"/>
    <w:rsid w:val="00726F11"/>
    <w:rsid w:val="00730A84"/>
    <w:rsid w:val="0073132F"/>
    <w:rsid w:val="00736E3B"/>
    <w:rsid w:val="00740825"/>
    <w:rsid w:val="00746DCD"/>
    <w:rsid w:val="00761643"/>
    <w:rsid w:val="00767C8F"/>
    <w:rsid w:val="00791128"/>
    <w:rsid w:val="007A47B7"/>
    <w:rsid w:val="007A7ED3"/>
    <w:rsid w:val="007B3BE6"/>
    <w:rsid w:val="007B4E88"/>
    <w:rsid w:val="007C1035"/>
    <w:rsid w:val="007C117B"/>
    <w:rsid w:val="007C4CF4"/>
    <w:rsid w:val="007F0DD3"/>
    <w:rsid w:val="00803882"/>
    <w:rsid w:val="008120A2"/>
    <w:rsid w:val="00822139"/>
    <w:rsid w:val="00833E7F"/>
    <w:rsid w:val="00855F6D"/>
    <w:rsid w:val="00866700"/>
    <w:rsid w:val="00876DFA"/>
    <w:rsid w:val="008800B6"/>
    <w:rsid w:val="008852AD"/>
    <w:rsid w:val="0088605C"/>
    <w:rsid w:val="00886E67"/>
    <w:rsid w:val="0089118A"/>
    <w:rsid w:val="00896D7D"/>
    <w:rsid w:val="008B7303"/>
    <w:rsid w:val="008C3651"/>
    <w:rsid w:val="008C65ED"/>
    <w:rsid w:val="008D2728"/>
    <w:rsid w:val="008E0485"/>
    <w:rsid w:val="008F7551"/>
    <w:rsid w:val="00900470"/>
    <w:rsid w:val="00902FED"/>
    <w:rsid w:val="00930E3A"/>
    <w:rsid w:val="00935C36"/>
    <w:rsid w:val="009377EC"/>
    <w:rsid w:val="00945400"/>
    <w:rsid w:val="009506F8"/>
    <w:rsid w:val="0095272F"/>
    <w:rsid w:val="00964867"/>
    <w:rsid w:val="0097056E"/>
    <w:rsid w:val="00972103"/>
    <w:rsid w:val="00972C8E"/>
    <w:rsid w:val="009804E2"/>
    <w:rsid w:val="009831F4"/>
    <w:rsid w:val="00992BE8"/>
    <w:rsid w:val="009A21D9"/>
    <w:rsid w:val="009A6D35"/>
    <w:rsid w:val="009B65F7"/>
    <w:rsid w:val="009C03DC"/>
    <w:rsid w:val="009C05AF"/>
    <w:rsid w:val="009E03CA"/>
    <w:rsid w:val="009F4328"/>
    <w:rsid w:val="009F43F7"/>
    <w:rsid w:val="00A07180"/>
    <w:rsid w:val="00A177FC"/>
    <w:rsid w:val="00A22934"/>
    <w:rsid w:val="00A272DD"/>
    <w:rsid w:val="00A34E10"/>
    <w:rsid w:val="00A3613D"/>
    <w:rsid w:val="00A45958"/>
    <w:rsid w:val="00A4752C"/>
    <w:rsid w:val="00A539EA"/>
    <w:rsid w:val="00A56E37"/>
    <w:rsid w:val="00A578E5"/>
    <w:rsid w:val="00A60DFF"/>
    <w:rsid w:val="00A62AD0"/>
    <w:rsid w:val="00A64EA8"/>
    <w:rsid w:val="00A656EC"/>
    <w:rsid w:val="00A65889"/>
    <w:rsid w:val="00A65E89"/>
    <w:rsid w:val="00A702E6"/>
    <w:rsid w:val="00A72AB5"/>
    <w:rsid w:val="00A730F4"/>
    <w:rsid w:val="00A7409C"/>
    <w:rsid w:val="00AA5587"/>
    <w:rsid w:val="00AB5442"/>
    <w:rsid w:val="00AC1222"/>
    <w:rsid w:val="00AC4E96"/>
    <w:rsid w:val="00AD449F"/>
    <w:rsid w:val="00AD7EEE"/>
    <w:rsid w:val="00AE4E5B"/>
    <w:rsid w:val="00AE62A5"/>
    <w:rsid w:val="00AE6B99"/>
    <w:rsid w:val="00AF1BC5"/>
    <w:rsid w:val="00AF1C44"/>
    <w:rsid w:val="00AF4B9D"/>
    <w:rsid w:val="00AF4CBA"/>
    <w:rsid w:val="00AF6871"/>
    <w:rsid w:val="00AF6D90"/>
    <w:rsid w:val="00B1268D"/>
    <w:rsid w:val="00B12AA2"/>
    <w:rsid w:val="00B142D1"/>
    <w:rsid w:val="00B25AFE"/>
    <w:rsid w:val="00B26101"/>
    <w:rsid w:val="00B53B78"/>
    <w:rsid w:val="00B5728E"/>
    <w:rsid w:val="00B62CF2"/>
    <w:rsid w:val="00B6329D"/>
    <w:rsid w:val="00B803A9"/>
    <w:rsid w:val="00B84E9E"/>
    <w:rsid w:val="00B87959"/>
    <w:rsid w:val="00BC1042"/>
    <w:rsid w:val="00BC125D"/>
    <w:rsid w:val="00BE060D"/>
    <w:rsid w:val="00BE31B4"/>
    <w:rsid w:val="00C0138D"/>
    <w:rsid w:val="00C10299"/>
    <w:rsid w:val="00C16E36"/>
    <w:rsid w:val="00C2580B"/>
    <w:rsid w:val="00C36365"/>
    <w:rsid w:val="00C40F92"/>
    <w:rsid w:val="00C46179"/>
    <w:rsid w:val="00C461B4"/>
    <w:rsid w:val="00C56F31"/>
    <w:rsid w:val="00C574E9"/>
    <w:rsid w:val="00C6466F"/>
    <w:rsid w:val="00C665C1"/>
    <w:rsid w:val="00C842AC"/>
    <w:rsid w:val="00C84D21"/>
    <w:rsid w:val="00C920FA"/>
    <w:rsid w:val="00CA684B"/>
    <w:rsid w:val="00CB1D07"/>
    <w:rsid w:val="00CC2022"/>
    <w:rsid w:val="00CD2CD0"/>
    <w:rsid w:val="00CD6F3B"/>
    <w:rsid w:val="00CF11D4"/>
    <w:rsid w:val="00CF7703"/>
    <w:rsid w:val="00D112D4"/>
    <w:rsid w:val="00D20A76"/>
    <w:rsid w:val="00D34C99"/>
    <w:rsid w:val="00D50A37"/>
    <w:rsid w:val="00D52DA4"/>
    <w:rsid w:val="00D5760B"/>
    <w:rsid w:val="00D63BEE"/>
    <w:rsid w:val="00D66875"/>
    <w:rsid w:val="00D767C3"/>
    <w:rsid w:val="00D86DE6"/>
    <w:rsid w:val="00DA3D35"/>
    <w:rsid w:val="00DA7C27"/>
    <w:rsid w:val="00DB39C3"/>
    <w:rsid w:val="00DC48F2"/>
    <w:rsid w:val="00DD3AD0"/>
    <w:rsid w:val="00DD5758"/>
    <w:rsid w:val="00E02B90"/>
    <w:rsid w:val="00E04A5B"/>
    <w:rsid w:val="00E10464"/>
    <w:rsid w:val="00E36D0E"/>
    <w:rsid w:val="00E4670D"/>
    <w:rsid w:val="00E46F1D"/>
    <w:rsid w:val="00E5031D"/>
    <w:rsid w:val="00E507E9"/>
    <w:rsid w:val="00E53F55"/>
    <w:rsid w:val="00E5631E"/>
    <w:rsid w:val="00E73004"/>
    <w:rsid w:val="00E863C7"/>
    <w:rsid w:val="00E95CAC"/>
    <w:rsid w:val="00EA27B4"/>
    <w:rsid w:val="00EB4F75"/>
    <w:rsid w:val="00EC40FE"/>
    <w:rsid w:val="00EC4E22"/>
    <w:rsid w:val="00ED04C4"/>
    <w:rsid w:val="00ED3FDB"/>
    <w:rsid w:val="00EE0952"/>
    <w:rsid w:val="00EE5374"/>
    <w:rsid w:val="00EF1E08"/>
    <w:rsid w:val="00F01D30"/>
    <w:rsid w:val="00F06030"/>
    <w:rsid w:val="00F06774"/>
    <w:rsid w:val="00F0692F"/>
    <w:rsid w:val="00F22BCC"/>
    <w:rsid w:val="00F23DCE"/>
    <w:rsid w:val="00F25AE7"/>
    <w:rsid w:val="00F3509A"/>
    <w:rsid w:val="00F357B7"/>
    <w:rsid w:val="00F365F3"/>
    <w:rsid w:val="00F375FC"/>
    <w:rsid w:val="00F40728"/>
    <w:rsid w:val="00F42FAB"/>
    <w:rsid w:val="00F43C13"/>
    <w:rsid w:val="00F54DA5"/>
    <w:rsid w:val="00F6090F"/>
    <w:rsid w:val="00F613C9"/>
    <w:rsid w:val="00F63FFE"/>
    <w:rsid w:val="00F66E48"/>
    <w:rsid w:val="00F73992"/>
    <w:rsid w:val="00F81A6F"/>
    <w:rsid w:val="00F852E5"/>
    <w:rsid w:val="00FA4354"/>
    <w:rsid w:val="00FA4597"/>
    <w:rsid w:val="00FA5500"/>
    <w:rsid w:val="00FB0104"/>
    <w:rsid w:val="00FB1A3B"/>
    <w:rsid w:val="00FB24A3"/>
    <w:rsid w:val="00FB3C53"/>
    <w:rsid w:val="00FD4E93"/>
    <w:rsid w:val="00FD55FC"/>
    <w:rsid w:val="00FF64E3"/>
    <w:rsid w:val="00FF6C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DE6"/>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Lista1,R4_bullets,- Bullets,?? ??,?????,????,列出段落1,中等深浅网格 1 - 着色 21,列表段落,列表段落1,—ño’i—Ž,¥¡¡¡¡ì¬º¥¹¥È¶ÎÂä,ÁÐ³ö¶ÎÂä,¥ê¥¹¥È¶ÎÂä,1st level - Bullet List Paragraph,Lettre d'introduction,Paragrafo elenco,Normal bullet 2,목록단락,列,列出段落,リスト段落,Bullet list"/>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Lista1 Char,R4_bullets Char,- Bullets Char,?? ?? Char,????? Char,???? Char,列出段落1 Char,中等深浅网格 1 - 着色 21 Char,列表段落 Char,列表段落1 Char,—ño’i—Ž Char,¥¡¡¡¡ì¬º¥¹¥È¶ÎÂä Char,ÁÐ³ö¶ÎÂä Char,¥ê¥¹¥È¶ÎÂä Char,1st level - Bullet List Paragraph Char,列 Char"/>
    <w:link w:val="a6"/>
    <w:uiPriority w:val="34"/>
    <w:qFormat/>
    <w:locked/>
    <w:rsid w:val="00C10299"/>
    <w:rPr>
      <w:rFonts w:ascii="Times New Roman" w:hAnsi="Times New Roman" w:cs="Times New Roman"/>
      <w:sz w:val="22"/>
    </w:rPr>
  </w:style>
  <w:style w:type="paragraph" w:customStyle="1" w:styleId="B1">
    <w:name w:val="B1"/>
    <w:basedOn w:val="ad"/>
    <w:link w:val="B1Char1"/>
    <w:qFormat/>
    <w:rsid w:val="00592A4B"/>
    <w:pPr>
      <w:widowControl/>
      <w:wordWrap/>
      <w:autoSpaceDE/>
      <w:autoSpaceDN/>
      <w:spacing w:after="180" w:line="240" w:lineRule="auto"/>
      <w:ind w:leftChars="0" w:left="568" w:firstLineChars="0" w:hanging="284"/>
      <w:contextualSpacing w:val="0"/>
      <w:jc w:val="left"/>
    </w:pPr>
    <w:rPr>
      <w:kern w:val="0"/>
      <w:sz w:val="20"/>
      <w:szCs w:val="20"/>
      <w:lang w:val="en-GB" w:eastAsia="en-US"/>
    </w:rPr>
  </w:style>
  <w:style w:type="paragraph" w:customStyle="1" w:styleId="B2">
    <w:name w:val="B2"/>
    <w:basedOn w:val="20"/>
    <w:rsid w:val="00592A4B"/>
    <w:pPr>
      <w:widowControl/>
      <w:wordWrap/>
      <w:autoSpaceDE/>
      <w:autoSpaceDN/>
      <w:spacing w:after="180" w:line="240" w:lineRule="auto"/>
      <w:ind w:leftChars="0" w:left="851" w:firstLineChars="0" w:hanging="284"/>
      <w:contextualSpacing w:val="0"/>
      <w:jc w:val="left"/>
    </w:pPr>
    <w:rPr>
      <w:kern w:val="0"/>
      <w:sz w:val="20"/>
      <w:szCs w:val="20"/>
      <w:lang w:val="en-GB" w:eastAsia="en-US"/>
    </w:rPr>
  </w:style>
  <w:style w:type="character" w:customStyle="1" w:styleId="B1Char1">
    <w:name w:val="B1 Char1"/>
    <w:link w:val="B1"/>
    <w:qFormat/>
    <w:rsid w:val="00592A4B"/>
    <w:rPr>
      <w:rFonts w:ascii="Times New Roman" w:hAnsi="Times New Roman" w:cs="Times New Roman"/>
      <w:kern w:val="0"/>
      <w:szCs w:val="20"/>
      <w:lang w:val="en-GB" w:eastAsia="en-US"/>
    </w:rPr>
  </w:style>
  <w:style w:type="paragraph" w:styleId="ad">
    <w:name w:val="List"/>
    <w:basedOn w:val="a"/>
    <w:uiPriority w:val="99"/>
    <w:semiHidden/>
    <w:unhideWhenUsed/>
    <w:rsid w:val="00592A4B"/>
    <w:pPr>
      <w:ind w:leftChars="200" w:left="100" w:hangingChars="200" w:hanging="200"/>
      <w:contextualSpacing/>
    </w:pPr>
  </w:style>
  <w:style w:type="paragraph" w:styleId="20">
    <w:name w:val="List 2"/>
    <w:basedOn w:val="a"/>
    <w:uiPriority w:val="99"/>
    <w:semiHidden/>
    <w:unhideWhenUsed/>
    <w:rsid w:val="00592A4B"/>
    <w:pPr>
      <w:ind w:leftChars="400" w:left="100" w:hangingChars="200" w:hanging="200"/>
      <w:contextualSpacing/>
    </w:pPr>
  </w:style>
  <w:style w:type="paragraph" w:styleId="ae">
    <w:name w:val="Normal (Web)"/>
    <w:basedOn w:val="a"/>
    <w:uiPriority w:val="99"/>
    <w:qFormat/>
    <w:rsid w:val="00E5031D"/>
    <w:pPr>
      <w:widowControl/>
      <w:wordWrap/>
      <w:autoSpaceDE/>
      <w:autoSpaceDN/>
      <w:spacing w:before="100" w:beforeAutospacing="1" w:after="100" w:afterAutospacing="1" w:line="240" w:lineRule="auto"/>
      <w:jc w:val="left"/>
    </w:pPr>
    <w:rPr>
      <w:rFonts w:ascii="Arial" w:eastAsia="SimSun" w:hAnsi="Arial" w:cs="Arial"/>
      <w:color w:val="493118"/>
      <w:kern w:val="0"/>
      <w:sz w:val="18"/>
      <w:szCs w:val="18"/>
      <w:lang w:eastAsia="zh-CN"/>
    </w:rPr>
  </w:style>
  <w:style w:type="paragraph" w:customStyle="1" w:styleId="Prop1">
    <w:name w:val="Prop1"/>
    <w:basedOn w:val="a6"/>
    <w:qFormat/>
    <w:rsid w:val="00193AC6"/>
    <w:pPr>
      <w:widowControl/>
      <w:wordWrap/>
      <w:autoSpaceDE/>
      <w:autoSpaceDN/>
      <w:spacing w:after="0" w:line="240" w:lineRule="auto"/>
      <w:ind w:leftChars="0" w:left="0"/>
      <w:jc w:val="left"/>
    </w:pPr>
    <w:rPr>
      <w:rFonts w:cs="Calibri"/>
      <w:b/>
      <w:kern w:val="0"/>
      <w:szCs w:val="21"/>
      <w:lang w:eastAsia="zh-CN"/>
    </w:rPr>
  </w:style>
  <w:style w:type="paragraph" w:customStyle="1" w:styleId="3GPPNormalText">
    <w:name w:val="3GPP Normal Text"/>
    <w:basedOn w:val="af"/>
    <w:link w:val="3GPPNormalTextChar"/>
    <w:qFormat/>
    <w:rsid w:val="00561D34"/>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561D34"/>
    <w:rPr>
      <w:rFonts w:ascii="Times New Roman" w:eastAsia="MS Mincho" w:hAnsi="Times New Roman" w:cs="Times New Roman"/>
      <w:kern w:val="0"/>
      <w:sz w:val="22"/>
      <w:szCs w:val="24"/>
      <w:lang w:val="x-none" w:eastAsia="x-none"/>
    </w:rPr>
  </w:style>
  <w:style w:type="paragraph" w:styleId="af">
    <w:name w:val="Body Text"/>
    <w:basedOn w:val="a"/>
    <w:link w:val="Char6"/>
    <w:uiPriority w:val="99"/>
    <w:semiHidden/>
    <w:unhideWhenUsed/>
    <w:rsid w:val="00561D34"/>
    <w:pPr>
      <w:spacing w:after="180"/>
    </w:pPr>
  </w:style>
  <w:style w:type="character" w:customStyle="1" w:styleId="Char6">
    <w:name w:val="본문 Char"/>
    <w:basedOn w:val="a0"/>
    <w:link w:val="af"/>
    <w:uiPriority w:val="99"/>
    <w:semiHidden/>
    <w:rsid w:val="00561D34"/>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444821">
      <w:bodyDiv w:val="1"/>
      <w:marLeft w:val="0"/>
      <w:marRight w:val="0"/>
      <w:marTop w:val="0"/>
      <w:marBottom w:val="0"/>
      <w:divBdr>
        <w:top w:val="none" w:sz="0" w:space="0" w:color="auto"/>
        <w:left w:val="none" w:sz="0" w:space="0" w:color="auto"/>
        <w:bottom w:val="none" w:sz="0" w:space="0" w:color="auto"/>
        <w:right w:val="none" w:sz="0" w:space="0" w:color="auto"/>
      </w:divBdr>
      <w:divsChild>
        <w:div w:id="314841403">
          <w:marLeft w:val="547"/>
          <w:marRight w:val="0"/>
          <w:marTop w:val="96"/>
          <w:marBottom w:val="0"/>
          <w:divBdr>
            <w:top w:val="none" w:sz="0" w:space="0" w:color="auto"/>
            <w:left w:val="none" w:sz="0" w:space="0" w:color="auto"/>
            <w:bottom w:val="none" w:sz="0" w:space="0" w:color="auto"/>
            <w:right w:val="none" w:sz="0" w:space="0" w:color="auto"/>
          </w:divBdr>
        </w:div>
        <w:div w:id="426508837">
          <w:marLeft w:val="1166"/>
          <w:marRight w:val="0"/>
          <w:marTop w:val="86"/>
          <w:marBottom w:val="0"/>
          <w:divBdr>
            <w:top w:val="none" w:sz="0" w:space="0" w:color="auto"/>
            <w:left w:val="none" w:sz="0" w:space="0" w:color="auto"/>
            <w:bottom w:val="none" w:sz="0" w:space="0" w:color="auto"/>
            <w:right w:val="none" w:sz="0" w:space="0" w:color="auto"/>
          </w:divBdr>
        </w:div>
        <w:div w:id="772893831">
          <w:marLeft w:val="1800"/>
          <w:marRight w:val="0"/>
          <w:marTop w:val="77"/>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543982447">
      <w:bodyDiv w:val="1"/>
      <w:marLeft w:val="0"/>
      <w:marRight w:val="0"/>
      <w:marTop w:val="0"/>
      <w:marBottom w:val="0"/>
      <w:divBdr>
        <w:top w:val="none" w:sz="0" w:space="0" w:color="auto"/>
        <w:left w:val="none" w:sz="0" w:space="0" w:color="auto"/>
        <w:bottom w:val="none" w:sz="0" w:space="0" w:color="auto"/>
        <w:right w:val="none" w:sz="0" w:space="0" w:color="auto"/>
      </w:divBdr>
      <w:divsChild>
        <w:div w:id="1371808106">
          <w:marLeft w:val="547"/>
          <w:marRight w:val="0"/>
          <w:marTop w:val="96"/>
          <w:marBottom w:val="0"/>
          <w:divBdr>
            <w:top w:val="none" w:sz="0" w:space="0" w:color="auto"/>
            <w:left w:val="none" w:sz="0" w:space="0" w:color="auto"/>
            <w:bottom w:val="none" w:sz="0" w:space="0" w:color="auto"/>
            <w:right w:val="none" w:sz="0" w:space="0" w:color="auto"/>
          </w:divBdr>
        </w:div>
        <w:div w:id="1815640989">
          <w:marLeft w:val="1166"/>
          <w:marRight w:val="0"/>
          <w:marTop w:val="86"/>
          <w:marBottom w:val="0"/>
          <w:divBdr>
            <w:top w:val="none" w:sz="0" w:space="0" w:color="auto"/>
            <w:left w:val="none" w:sz="0" w:space="0" w:color="auto"/>
            <w:bottom w:val="none" w:sz="0" w:space="0" w:color="auto"/>
            <w:right w:val="none" w:sz="0" w:space="0" w:color="auto"/>
          </w:divBdr>
        </w:div>
      </w:divsChild>
    </w:div>
    <w:div w:id="1733624567">
      <w:bodyDiv w:val="1"/>
      <w:marLeft w:val="0"/>
      <w:marRight w:val="0"/>
      <w:marTop w:val="0"/>
      <w:marBottom w:val="0"/>
      <w:divBdr>
        <w:top w:val="none" w:sz="0" w:space="0" w:color="auto"/>
        <w:left w:val="none" w:sz="0" w:space="0" w:color="auto"/>
        <w:bottom w:val="none" w:sz="0" w:space="0" w:color="auto"/>
        <w:right w:val="none" w:sz="0" w:space="0" w:color="auto"/>
      </w:divBdr>
      <w:divsChild>
        <w:div w:id="700130676">
          <w:marLeft w:val="547"/>
          <w:marRight w:val="0"/>
          <w:marTop w:val="96"/>
          <w:marBottom w:val="0"/>
          <w:divBdr>
            <w:top w:val="none" w:sz="0" w:space="0" w:color="auto"/>
            <w:left w:val="none" w:sz="0" w:space="0" w:color="auto"/>
            <w:bottom w:val="none" w:sz="0" w:space="0" w:color="auto"/>
            <w:right w:val="none" w:sz="0" w:space="0" w:color="auto"/>
          </w:divBdr>
        </w:div>
        <w:div w:id="586962636">
          <w:marLeft w:val="1166"/>
          <w:marRight w:val="0"/>
          <w:marTop w:val="86"/>
          <w:marBottom w:val="0"/>
          <w:divBdr>
            <w:top w:val="none" w:sz="0" w:space="0" w:color="auto"/>
            <w:left w:val="none" w:sz="0" w:space="0" w:color="auto"/>
            <w:bottom w:val="none" w:sz="0" w:space="0" w:color="auto"/>
            <w:right w:val="none" w:sz="0" w:space="0" w:color="auto"/>
          </w:divBdr>
        </w:div>
        <w:div w:id="491991556">
          <w:marLeft w:val="1800"/>
          <w:marRight w:val="0"/>
          <w:marTop w:val="77"/>
          <w:marBottom w:val="0"/>
          <w:divBdr>
            <w:top w:val="none" w:sz="0" w:space="0" w:color="auto"/>
            <w:left w:val="none" w:sz="0" w:space="0" w:color="auto"/>
            <w:bottom w:val="none" w:sz="0" w:space="0" w:color="auto"/>
            <w:right w:val="none" w:sz="0" w:space="0" w:color="auto"/>
          </w:divBdr>
        </w:div>
      </w:divsChild>
    </w:div>
    <w:div w:id="1827624614">
      <w:bodyDiv w:val="1"/>
      <w:marLeft w:val="0"/>
      <w:marRight w:val="0"/>
      <w:marTop w:val="0"/>
      <w:marBottom w:val="0"/>
      <w:divBdr>
        <w:top w:val="none" w:sz="0" w:space="0" w:color="auto"/>
        <w:left w:val="none" w:sz="0" w:space="0" w:color="auto"/>
        <w:bottom w:val="none" w:sz="0" w:space="0" w:color="auto"/>
        <w:right w:val="none" w:sz="0" w:space="0" w:color="auto"/>
      </w:divBdr>
      <w:divsChild>
        <w:div w:id="410783145">
          <w:marLeft w:val="547"/>
          <w:marRight w:val="0"/>
          <w:marTop w:val="96"/>
          <w:marBottom w:val="0"/>
          <w:divBdr>
            <w:top w:val="none" w:sz="0" w:space="0" w:color="auto"/>
            <w:left w:val="none" w:sz="0" w:space="0" w:color="auto"/>
            <w:bottom w:val="none" w:sz="0" w:space="0" w:color="auto"/>
            <w:right w:val="none" w:sz="0" w:space="0" w:color="auto"/>
          </w:divBdr>
        </w:div>
        <w:div w:id="1267807967">
          <w:marLeft w:val="1166"/>
          <w:marRight w:val="0"/>
          <w:marTop w:val="96"/>
          <w:marBottom w:val="0"/>
          <w:divBdr>
            <w:top w:val="none" w:sz="0" w:space="0" w:color="auto"/>
            <w:left w:val="none" w:sz="0" w:space="0" w:color="auto"/>
            <w:bottom w:val="none" w:sz="0" w:space="0" w:color="auto"/>
            <w:right w:val="none" w:sz="0" w:space="0" w:color="auto"/>
          </w:divBdr>
        </w:div>
        <w:div w:id="1948267605">
          <w:marLeft w:val="1166"/>
          <w:marRight w:val="0"/>
          <w:marTop w:val="96"/>
          <w:marBottom w:val="0"/>
          <w:divBdr>
            <w:top w:val="none" w:sz="0" w:space="0" w:color="auto"/>
            <w:left w:val="none" w:sz="0" w:space="0" w:color="auto"/>
            <w:bottom w:val="none" w:sz="0" w:space="0" w:color="auto"/>
            <w:right w:val="none" w:sz="0" w:space="0" w:color="auto"/>
          </w:divBdr>
        </w:div>
        <w:div w:id="1018852865">
          <w:marLeft w:val="1166"/>
          <w:marRight w:val="0"/>
          <w:marTop w:val="96"/>
          <w:marBottom w:val="0"/>
          <w:divBdr>
            <w:top w:val="none" w:sz="0" w:space="0" w:color="auto"/>
            <w:left w:val="none" w:sz="0" w:space="0" w:color="auto"/>
            <w:bottom w:val="none" w:sz="0" w:space="0" w:color="auto"/>
            <w:right w:val="none" w:sz="0" w:space="0" w:color="auto"/>
          </w:divBdr>
        </w:div>
        <w:div w:id="2105033567">
          <w:marLeft w:val="1166"/>
          <w:marRight w:val="0"/>
          <w:marTop w:val="96"/>
          <w:marBottom w:val="0"/>
          <w:divBdr>
            <w:top w:val="none" w:sz="0" w:space="0" w:color="auto"/>
            <w:left w:val="none" w:sz="0" w:space="0" w:color="auto"/>
            <w:bottom w:val="none" w:sz="0" w:space="0" w:color="auto"/>
            <w:right w:val="none" w:sz="0" w:space="0" w:color="auto"/>
          </w:divBdr>
        </w:div>
        <w:div w:id="875577433">
          <w:marLeft w:val="1166"/>
          <w:marRight w:val="0"/>
          <w:marTop w:val="96"/>
          <w:marBottom w:val="0"/>
          <w:divBdr>
            <w:top w:val="none" w:sz="0" w:space="0" w:color="auto"/>
            <w:left w:val="none" w:sz="0" w:space="0" w:color="auto"/>
            <w:bottom w:val="none" w:sz="0" w:space="0" w:color="auto"/>
            <w:right w:val="none" w:sz="0" w:space="0" w:color="auto"/>
          </w:divBdr>
        </w:div>
        <w:div w:id="413403830">
          <w:marLeft w:val="1166"/>
          <w:marRight w:val="0"/>
          <w:marTop w:val="96"/>
          <w:marBottom w:val="0"/>
          <w:divBdr>
            <w:top w:val="none" w:sz="0" w:space="0" w:color="auto"/>
            <w:left w:val="none" w:sz="0" w:space="0" w:color="auto"/>
            <w:bottom w:val="none" w:sz="0" w:space="0" w:color="auto"/>
            <w:right w:val="none" w:sz="0" w:space="0" w:color="auto"/>
          </w:divBdr>
        </w:div>
      </w:divsChild>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15298-8767-41E2-8DC4-05692CB00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2441</TotalTime>
  <Pages>4</Pages>
  <Words>811</Words>
  <Characters>4629</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148</cp:revision>
  <dcterms:created xsi:type="dcterms:W3CDTF">2022-04-29T05:19:00Z</dcterms:created>
  <dcterms:modified xsi:type="dcterms:W3CDTF">2023-05-12T15:24:00Z</dcterms:modified>
</cp:coreProperties>
</file>