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r>
              <w:rPr>
                <w:rFonts w:eastAsia="Yu Mincho"/>
                <w:sz w:val="20"/>
                <w:szCs w:val="20"/>
                <w:lang w:eastAsia="ja-JP"/>
              </w:rPr>
              <w:t>Haruhi Echigo</w:t>
            </w:r>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r>
              <w:rPr>
                <w:rFonts w:eastAsiaTheme="minorEastAsia" w:hint="eastAsia"/>
                <w:sz w:val="20"/>
                <w:szCs w:val="20"/>
              </w:rPr>
              <w:t>Yongqiang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r>
              <w:rPr>
                <w:rFonts w:eastAsiaTheme="minorEastAsia"/>
                <w:sz w:val="20"/>
                <w:szCs w:val="20"/>
              </w:rPr>
              <w:t>Spreadtrum</w:t>
            </w:r>
          </w:p>
        </w:tc>
        <w:tc>
          <w:tcPr>
            <w:tcW w:w="2340" w:type="dxa"/>
          </w:tcPr>
          <w:p w14:paraId="06180271" w14:textId="77777777" w:rsidR="00B2161E" w:rsidRDefault="00C46B7C">
            <w:pPr>
              <w:rPr>
                <w:rFonts w:eastAsiaTheme="minorEastAsia"/>
                <w:sz w:val="20"/>
                <w:szCs w:val="20"/>
              </w:rPr>
            </w:pPr>
            <w:r>
              <w:rPr>
                <w:rFonts w:eastAsiaTheme="minorEastAsia"/>
                <w:sz w:val="20"/>
                <w:szCs w:val="20"/>
              </w:rPr>
              <w:t>Hualei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r>
              <w:rPr>
                <w:rFonts w:eastAsiaTheme="minorEastAsia"/>
                <w:sz w:val="20"/>
                <w:szCs w:val="20"/>
              </w:rPr>
              <w:t>Ameha</w:t>
            </w:r>
          </w:p>
        </w:tc>
        <w:tc>
          <w:tcPr>
            <w:tcW w:w="4245" w:type="dxa"/>
          </w:tcPr>
          <w:p w14:paraId="3BA4C84C" w14:textId="77777777" w:rsidR="00B2161E" w:rsidRDefault="00C44832">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r>
              <w:rPr>
                <w:rFonts w:eastAsiaTheme="minorEastAsia"/>
                <w:sz w:val="20"/>
                <w:szCs w:val="20"/>
              </w:rPr>
              <w:t>Yuhua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1325B3"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C44832">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C44832">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r>
              <w:rPr>
                <w:rFonts w:eastAsiaTheme="minorEastAsia"/>
                <w:sz w:val="20"/>
                <w:szCs w:val="20"/>
              </w:rPr>
              <w:t>Zhengxuan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Sam Atungsiri</w:t>
            </w:r>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r>
              <w:rPr>
                <w:rFonts w:eastAsia="Yu Mincho"/>
                <w:sz w:val="20"/>
                <w:szCs w:val="20"/>
                <w:lang w:eastAsia="ja-JP"/>
              </w:rPr>
              <w:t>Isfar Tariq</w:t>
            </w:r>
          </w:p>
          <w:p w14:paraId="2760D159" w14:textId="77777777" w:rsidR="00B2161E" w:rsidRDefault="00C46B7C">
            <w:pPr>
              <w:rPr>
                <w:rFonts w:eastAsia="Yu Mincho"/>
                <w:sz w:val="20"/>
                <w:szCs w:val="20"/>
                <w:lang w:eastAsia="ja-JP"/>
              </w:rPr>
            </w:pPr>
            <w:r>
              <w:rPr>
                <w:rFonts w:eastAsia="Yu Mincho"/>
                <w:sz w:val="20"/>
                <w:szCs w:val="20"/>
                <w:lang w:eastAsia="ja-JP"/>
              </w:rPr>
              <w:t>Salam Akoum</w:t>
            </w:r>
          </w:p>
        </w:tc>
        <w:tc>
          <w:tcPr>
            <w:tcW w:w="4245" w:type="dxa"/>
          </w:tcPr>
          <w:p w14:paraId="484C026C" w14:textId="77777777" w:rsidR="00B2161E" w:rsidRDefault="00C44832">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C44832">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r>
              <w:rPr>
                <w:rFonts w:eastAsiaTheme="minorEastAsia"/>
                <w:sz w:val="20"/>
                <w:szCs w:val="20"/>
              </w:rPr>
              <w:t>Keyvan Zarifi</w:t>
            </w:r>
          </w:p>
        </w:tc>
        <w:tc>
          <w:tcPr>
            <w:tcW w:w="4245" w:type="dxa"/>
          </w:tcPr>
          <w:p w14:paraId="3D6832E5" w14:textId="77777777" w:rsidR="00B2161E" w:rsidRDefault="00C44832">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r>
              <w:rPr>
                <w:rFonts w:eastAsiaTheme="minorEastAsia"/>
                <w:sz w:val="20"/>
                <w:szCs w:val="20"/>
              </w:rPr>
              <w:t>Futurewei</w:t>
            </w:r>
          </w:p>
        </w:tc>
        <w:tc>
          <w:tcPr>
            <w:tcW w:w="2340" w:type="dxa"/>
          </w:tcPr>
          <w:p w14:paraId="325D5BB8" w14:textId="77777777" w:rsidR="00B2161E" w:rsidRDefault="00C46B7C">
            <w:pPr>
              <w:rPr>
                <w:rFonts w:eastAsiaTheme="minorEastAsia"/>
                <w:sz w:val="20"/>
                <w:szCs w:val="20"/>
              </w:rPr>
            </w:pPr>
            <w:r>
              <w:rPr>
                <w:rFonts w:eastAsiaTheme="minorEastAsia"/>
                <w:sz w:val="20"/>
                <w:szCs w:val="20"/>
              </w:rPr>
              <w:t>Baoling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C44832">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r>
              <w:rPr>
                <w:rFonts w:eastAsiaTheme="minorEastAsia" w:hint="eastAsia"/>
                <w:sz w:val="20"/>
                <w:szCs w:val="20"/>
              </w:rPr>
              <w:t>Lun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r>
              <w:rPr>
                <w:rFonts w:eastAsia="Yu Mincho" w:hint="eastAsia"/>
                <w:sz w:val="20"/>
                <w:szCs w:val="20"/>
                <w:lang w:eastAsia="ja-JP"/>
              </w:rPr>
              <w:t>J</w:t>
            </w:r>
            <w:r>
              <w:rPr>
                <w:rFonts w:eastAsia="Yu Mincho"/>
                <w:sz w:val="20"/>
                <w:szCs w:val="20"/>
                <w:lang w:eastAsia="ja-JP"/>
              </w:rPr>
              <w:t>ianming Wu</w:t>
            </w:r>
          </w:p>
        </w:tc>
        <w:tc>
          <w:tcPr>
            <w:tcW w:w="4245" w:type="dxa"/>
          </w:tcPr>
          <w:p w14:paraId="19EE2301" w14:textId="77777777" w:rsidR="00B2161E" w:rsidRDefault="00C46B7C">
            <w:pPr>
              <w:rPr>
                <w:rFonts w:eastAsia="Yu Mincho"/>
                <w:sz w:val="20"/>
                <w:szCs w:val="20"/>
                <w:lang w:eastAsia="ja-JP"/>
              </w:rPr>
            </w:pPr>
            <w:r>
              <w:rPr>
                <w:rFonts w:eastAsia="Yu Mincho"/>
                <w:sz w:val="20"/>
                <w:szCs w:val="20"/>
                <w:lang w:eastAsia="ja-JP"/>
              </w:rPr>
              <w:t>jianming.wu@vivo.com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Performance will degrade if shared dataset is insufficient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r>
              <w:rPr>
                <w:iCs/>
                <w:sz w:val="20"/>
                <w:szCs w:val="20"/>
              </w:rPr>
              <w:t>Spreadtrum</w:t>
            </w:r>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t xml:space="preserve">Ericsson </w:t>
            </w:r>
          </w:p>
        </w:tc>
        <w:tc>
          <w:tcPr>
            <w:tcW w:w="7395" w:type="dxa"/>
          </w:tcPr>
          <w:p w14:paraId="23AB7F2C" w14:textId="77777777" w:rsidR="00B2161E" w:rsidRDefault="00C46B7C">
            <w:pPr>
              <w:pStyle w:val="TOC1"/>
              <w:rPr>
                <w:rFonts w:eastAsiaTheme="minorEastAsia"/>
                <w:b/>
                <w:sz w:val="20"/>
              </w:rPr>
            </w:pPr>
            <w:r>
              <w:rPr>
                <w:sz w:val="20"/>
              </w:rPr>
              <w:t>Observation 1: Type 1 training collaboration seem not feasible in near term</w:t>
            </w:r>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3699A65" w14:textId="77777777" w:rsidR="00B2161E" w:rsidRDefault="00C44832">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C44832">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C44832">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C44832">
            <w:pPr>
              <w:spacing w:after="120"/>
              <w:jc w:val="both"/>
              <w:rPr>
                <w:rFonts w:eastAsia="SimSun"/>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So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placehold, since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implementation based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Huawei/HiSi: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depending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We have some comments for HW’s view “For “Whether gNB can maintain/store a single/unified model” – For Type 1-NW side, due to the software/hardware compatibility issue at UE, different UE/chipset vendors may have different flavors on the model structure, so the gNB has to store multiple CSI generation parts from different UE vendors/versions. So it should be changed to “No” ”:</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have to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Thus we believe it is possible to maintain a single model at the  network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you FL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r>
              <w:rPr>
                <w:rFonts w:eastAsiaTheme="minorEastAsia" w:hint="eastAsia"/>
                <w:bCs/>
                <w:sz w:val="20"/>
                <w:szCs w:val="20"/>
              </w:rPr>
              <w:t xml:space="preserve">Thanks FL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model,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e.g.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is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have to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 xml:space="preserve">Not sure Type 1 has any additional flexibility over Type 3. The model update may still require further considerations (e.g. data collection for the model update, delivery for Type 1, etc..) and does not seem to be having addtional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similar to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r>
              <w:rPr>
                <w:rFonts w:eastAsia="SimSun"/>
                <w:sz w:val="20"/>
                <w:szCs w:val="20"/>
              </w:rPr>
              <w:t>Futurewei</w:t>
            </w:r>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side,  at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Futurewei and Xiaomo’s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to keep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should be swap with</w:t>
            </w:r>
            <w:r>
              <w:rPr>
                <w:rFonts w:eastAsiaTheme="minorEastAsia"/>
                <w:b/>
                <w:bCs/>
                <w:sz w:val="20"/>
                <w:szCs w:val="20"/>
              </w:rPr>
              <w:t xml:space="preserve">  “</w:t>
            </w:r>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at the Type 3-UE first coloumn?</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UE  in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tdoc,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side(consider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(if  it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information(e.g.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this falls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Regarding flexibility to support site-specific model, UE-sided Type 1 and UE-first Type 3 mention “assisted information signaling”. But UE-sided/UE-first training need not imply UE-side data collection. Similarly, NW-side/NW-first training need not imply NW-side data collection, and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these two specific case.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3</w:t>
            </w:r>
            <w:r>
              <w:rPr>
                <w:rFonts w:eastAsia="SimSun" w:hint="eastAsia"/>
                <w:sz w:val="20"/>
                <w:szCs w:val="20"/>
              </w:rPr>
              <w:t xml:space="preserve">,  we are not clear why it is conditional semi-flexible, compared with UE-first. To our understanding, it should be aligned with UE-first (i.e.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e.g.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77777777" w:rsidR="00B2161E" w:rsidRDefault="00C46B7C">
      <w:pPr>
        <w:pStyle w:val="Heading3"/>
        <w:numPr>
          <w:ilvl w:val="0"/>
          <w:numId w:val="0"/>
        </w:numPr>
        <w:ind w:left="720" w:hanging="720"/>
        <w:rPr>
          <w:b/>
          <w:bCs/>
          <w:i/>
          <w:iCs/>
          <w:sz w:val="20"/>
          <w:szCs w:val="20"/>
        </w:rPr>
      </w:pPr>
      <w:r>
        <w:rPr>
          <w:b/>
          <w:bCs/>
          <w:i/>
          <w:iCs/>
          <w:sz w:val="20"/>
          <w:szCs w:val="20"/>
        </w:rPr>
        <w:t>Proposal 2-1-1</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r>
              <w:rPr>
                <w:rFonts w:eastAsiaTheme="minorEastAsia"/>
                <w:bCs/>
                <w:sz w:val="20"/>
                <w:szCs w:val="20"/>
              </w:rPr>
              <w:t>agnostic</w:t>
            </w:r>
            <w:r>
              <w:rPr>
                <w:sz w:val="20"/>
                <w:szCs w:val="20"/>
              </w:rPr>
              <w:t xml:space="preserve">  vs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is to be discussed at 9.2.1, so what we need to do here is to say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r>
              <w:rPr>
                <w:rFonts w:eastAsiaTheme="minorEastAsia"/>
                <w:bCs/>
                <w:sz w:val="20"/>
                <w:szCs w:val="20"/>
              </w:rPr>
              <w:t xml:space="preserve">” </w:t>
            </w:r>
            <w:r>
              <w:rPr>
                <w:rFonts w:eastAsiaTheme="minorEastAsia" w:hint="eastAsia"/>
                <w:bCs/>
                <w:sz w:val="20"/>
                <w:szCs w:val="20"/>
              </w:rPr>
              <w:t>,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(i.e.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thank the moderator for incorporating our comment, but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location (NW, UE, Other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Multi-vendor related assumptions, e.g., meaning of UE-sided when there are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537383D7" w14:textId="3C9D9A8D" w:rsidR="00B8434E" w:rsidRDefault="00B8434E" w:rsidP="008853B8">
            <w:pPr>
              <w:jc w:val="both"/>
              <w:rPr>
                <w:rFonts w:eastAsiaTheme="minorEastAsia"/>
                <w:bCs/>
                <w:sz w:val="20"/>
                <w:szCs w:val="20"/>
              </w:rPr>
            </w:pPr>
          </w:p>
        </w:tc>
      </w:tr>
    </w:tbl>
    <w:p w14:paraId="7444A4A5" w14:textId="77777777" w:rsidR="00B2161E" w:rsidRDefault="00B2161E">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77777777" w:rsidR="00B2161E" w:rsidRDefault="00C46B7C">
      <w:pPr>
        <w:pStyle w:val="Heading3"/>
        <w:numPr>
          <w:ilvl w:val="0"/>
          <w:numId w:val="0"/>
        </w:numPr>
        <w:ind w:left="720" w:hanging="720"/>
        <w:rPr>
          <w:b/>
          <w:bCs/>
          <w:i/>
          <w:iCs/>
          <w:sz w:val="20"/>
          <w:szCs w:val="20"/>
        </w:rPr>
      </w:pPr>
      <w:r>
        <w:rPr>
          <w:b/>
          <w:bCs/>
          <w:i/>
          <w:iCs/>
          <w:sz w:val="20"/>
          <w:szCs w:val="20"/>
        </w:rPr>
        <w:t>Proposal 2-1-2</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7CA24C1B"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ujitsu, Futurewei</w:t>
            </w:r>
            <w:r w:rsidR="00231847">
              <w:rPr>
                <w:rFonts w:eastAsiaTheme="minorEastAsia"/>
                <w:color w:val="000000" w:themeColor="text1"/>
                <w:sz w:val="20"/>
                <w:szCs w:val="20"/>
              </w:rPr>
              <w:t>, Qualcomm</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to handle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Support. If the gradient-exchange is performed over the air interface, it should be deprioritized, it is also the intention why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77777777" w:rsidR="00B2161E" w:rsidRDefault="00C46B7C">
      <w:pPr>
        <w:pStyle w:val="Heading3"/>
        <w:numPr>
          <w:ilvl w:val="0"/>
          <w:numId w:val="0"/>
        </w:numPr>
        <w:ind w:left="720" w:hanging="720"/>
        <w:rPr>
          <w:b/>
          <w:bCs/>
          <w:i/>
          <w:iCs/>
          <w:sz w:val="20"/>
          <w:szCs w:val="20"/>
        </w:rPr>
      </w:pPr>
      <w:r>
        <w:rPr>
          <w:b/>
          <w:bCs/>
          <w:i/>
          <w:iCs/>
          <w:sz w:val="20"/>
          <w:szCs w:val="20"/>
        </w:rPr>
        <w:t>Proposal 2-1-3</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77777777" w:rsidR="00B2161E" w:rsidRDefault="00B2161E">
            <w:pPr>
              <w:rPr>
                <w:color w:val="000000" w:themeColor="text1"/>
                <w:sz w:val="20"/>
                <w:szCs w:val="20"/>
              </w:rPr>
            </w:pP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uawei/HiSi</w:t>
            </w:r>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2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2834DF15" w14:textId="4D119ABD" w:rsidR="000C52C1" w:rsidRDefault="000C52C1" w:rsidP="00323BCB">
            <w:pPr>
              <w:jc w:val="both"/>
              <w:rPr>
                <w:color w:val="000000" w:themeColor="text1"/>
                <w:sz w:val="20"/>
                <w:szCs w:val="20"/>
              </w:rPr>
            </w:pP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similar to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51242222" w14:textId="77777777" w:rsidR="00B2161E" w:rsidRDefault="00B2161E">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(note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r>
              <w:rPr>
                <w:rFonts w:eastAsia="SimSun"/>
                <w:color w:val="FF0000"/>
                <w:sz w:val="20"/>
                <w:szCs w:val="20"/>
                <w:highlight w:val="yellow"/>
              </w:rPr>
              <w:t>Yes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r>
              <w:rPr>
                <w:iCs/>
                <w:sz w:val="20"/>
                <w:szCs w:val="20"/>
              </w:rPr>
              <w:t>Spreadtrum</w:t>
            </w:r>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182FB1DF" w14:textId="77777777" w:rsidR="00B2161E" w:rsidRDefault="00C46B7C">
            <w:pPr>
              <w:rPr>
                <w:iCs/>
                <w:sz w:val="20"/>
                <w:szCs w:val="20"/>
              </w:rPr>
            </w:pPr>
            <w:r>
              <w:rPr>
                <w:iCs/>
                <w:sz w:val="20"/>
                <w:szCs w:val="20"/>
              </w:rPr>
              <w:t>Proposal 5: Offline AI/ML model training is the first priority.</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C44832">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C44832">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F43E857" w14:textId="77777777" w:rsidR="00B2161E" w:rsidRDefault="00C46B7C">
            <w:pPr>
              <w:jc w:val="both"/>
              <w:rPr>
                <w:bCs/>
                <w:iCs/>
                <w:sz w:val="20"/>
                <w:szCs w:val="20"/>
              </w:rPr>
            </w:pPr>
            <w:r>
              <w:rPr>
                <w:bCs/>
                <w:iCs/>
                <w:sz w:val="20"/>
                <w:szCs w:val="20"/>
              </w:rPr>
              <w:t>Proposal 3: The design trigger signalling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7420730" w14:textId="77777777" w:rsidR="00B2161E" w:rsidRDefault="00C46B7C">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r>
              <w:rPr>
                <w:rFonts w:eastAsia="SimSun"/>
                <w:sz w:val="20"/>
                <w:szCs w:val="20"/>
              </w:rPr>
              <w:t>InterDigital</w:t>
            </w:r>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seems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r>
              <w:rPr>
                <w:rFonts w:eastAsiaTheme="minorEastAsia"/>
                <w:bCs/>
                <w:sz w:val="20"/>
                <w:szCs w:val="20"/>
              </w:rPr>
              <w:t>‘</w:t>
            </w:r>
            <w:r>
              <w:rPr>
                <w:rFonts w:eastAsia="Malgun Gothic"/>
                <w:b/>
                <w:bCs/>
                <w:i/>
                <w:iCs/>
                <w:color w:val="FF0000"/>
                <w:sz w:val="20"/>
                <w:szCs w:val="20"/>
              </w:rPr>
              <w:t xml:space="preserve"> further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was never discussed. Would you please clarify how to decide which data sample is more significant than the other samples? Also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(IoDT test is only for alignment of the spec/signaling). We may face the risk of failing to justify the feasibility of the two-sided model in the end of the SI, if we have to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subbullets, only data transfer/deliver through 3GPP air-interface is required to study the specification impact. Therefore, we suggest the first two subbullets are reword as follows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is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r>
              <w:rPr>
                <w:rFonts w:eastAsiaTheme="minorEastAsia"/>
                <w:sz w:val="20"/>
                <w:szCs w:val="20"/>
              </w:rPr>
              <w:t>Also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In fact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are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77777777" w:rsidR="00B2161E" w:rsidRDefault="00C46B7C">
      <w:pPr>
        <w:pStyle w:val="Heading3"/>
        <w:numPr>
          <w:ilvl w:val="0"/>
          <w:numId w:val="0"/>
        </w:numPr>
        <w:ind w:left="720" w:hanging="720"/>
        <w:rPr>
          <w:b/>
          <w:bCs/>
          <w:i/>
          <w:iCs/>
          <w:sz w:val="20"/>
          <w:szCs w:val="20"/>
        </w:rPr>
      </w:pPr>
      <w:r>
        <w:rPr>
          <w:b/>
          <w:bCs/>
          <w:i/>
          <w:iCs/>
          <w:sz w:val="20"/>
          <w:szCs w:val="20"/>
        </w:rPr>
        <w:t>Proposal 2-2-1(v3)</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tc>
          <w:tcPr>
            <w:tcW w:w="2705" w:type="dxa"/>
          </w:tcPr>
          <w:p w14:paraId="2FAEFF04" w14:textId="77777777" w:rsidR="00B2161E" w:rsidRDefault="00C46B7C">
            <w:pPr>
              <w:rPr>
                <w:b/>
                <w:bCs/>
                <w:sz w:val="20"/>
                <w:szCs w:val="20"/>
                <w:lang w:eastAsia="en-US"/>
              </w:rPr>
            </w:pPr>
            <w:r>
              <w:rPr>
                <w:b/>
                <w:bCs/>
                <w:sz w:val="20"/>
                <w:szCs w:val="20"/>
                <w:lang w:eastAsia="en-US"/>
              </w:rPr>
              <w:t>Company</w:t>
            </w:r>
          </w:p>
        </w:tc>
        <w:tc>
          <w:tcPr>
            <w:tcW w:w="6305"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tc>
          <w:tcPr>
            <w:tcW w:w="2705" w:type="dxa"/>
          </w:tcPr>
          <w:p w14:paraId="2955ECD8" w14:textId="77777777" w:rsidR="00B2161E" w:rsidRDefault="00C46B7C">
            <w:pPr>
              <w:rPr>
                <w:b/>
                <w:bCs/>
                <w:sz w:val="20"/>
                <w:szCs w:val="20"/>
                <w:lang w:eastAsia="en-US"/>
              </w:rPr>
            </w:pPr>
            <w:r>
              <w:rPr>
                <w:b/>
                <w:bCs/>
                <w:sz w:val="20"/>
                <w:szCs w:val="20"/>
                <w:lang w:eastAsia="en-US"/>
              </w:rPr>
              <w:t>Lenovo</w:t>
            </w:r>
          </w:p>
        </w:tc>
        <w:tc>
          <w:tcPr>
            <w:tcW w:w="6305"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tc>
          <w:tcPr>
            <w:tcW w:w="2705" w:type="dxa"/>
          </w:tcPr>
          <w:p w14:paraId="2FE96D5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tc>
          <w:tcPr>
            <w:tcW w:w="2705"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tc>
          <w:tcPr>
            <w:tcW w:w="2705"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tc>
          <w:tcPr>
            <w:tcW w:w="2705"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tc>
          <w:tcPr>
            <w:tcW w:w="2705"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tc>
          <w:tcPr>
            <w:tcW w:w="2705"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tc>
          <w:tcPr>
            <w:tcW w:w="2705"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305"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has to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t>Lenovo</w:t>
            </w:r>
          </w:p>
        </w:tc>
        <w:tc>
          <w:tcPr>
            <w:tcW w:w="6305" w:type="dxa"/>
          </w:tcPr>
          <w:p w14:paraId="6395B6DA" w14:textId="77777777" w:rsidR="00B2161E" w:rsidRDefault="00C46B7C">
            <w:pPr>
              <w:rPr>
                <w:sz w:val="20"/>
                <w:szCs w:val="20"/>
                <w:lang w:eastAsia="en-US"/>
              </w:rPr>
            </w:pPr>
            <w:r>
              <w:rPr>
                <w:sz w:val="20"/>
                <w:szCs w:val="20"/>
                <w:lang w:eastAsia="en-US"/>
              </w:rPr>
              <w:t>We suggest to add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r>
              <w:rPr>
                <w:rFonts w:eastAsia="SimSun"/>
                <w:sz w:val="20"/>
                <w:szCs w:val="20"/>
              </w:rPr>
              <w:t>InterDigital</w:t>
            </w:r>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FFS: Parameter set enhancement of existing eType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collected  </w:t>
            </w:r>
            <w:r>
              <w:rPr>
                <w:rFonts w:eastAsia="Yu Mincho"/>
                <w:b/>
                <w:i/>
                <w:iCs/>
                <w:strike/>
                <w:color w:val="C00000"/>
                <w:szCs w:val="20"/>
                <w:lang w:eastAsia="ja-JP"/>
              </w:rPr>
              <w:t>Whether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impact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layer#3…layer#max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eType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potential specification impact on ground truth CSI report</w:t>
            </w:r>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r>
              <w:rPr>
                <w:rFonts w:eastAsiaTheme="minorEastAsia"/>
                <w:bCs/>
                <w:sz w:val="22"/>
                <w:szCs w:val="22"/>
              </w:rPr>
              <w:t>Futurewei</w:t>
            </w:r>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becomes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Still prefer the previous version. But for the sake of progress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the necessity of, and</w:t>
            </w:r>
            <w:r>
              <w:rPr>
                <w:rFonts w:eastAsiaTheme="minorEastAsia"/>
                <w:sz w:val="20"/>
                <w:szCs w:val="20"/>
              </w:rPr>
              <w:t xml:space="preserve"> ”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codebook based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r>
              <w:rPr>
                <w:rFonts w:eastAsiaTheme="minorEastAsia"/>
                <w:sz w:val="20"/>
                <w:szCs w:val="20"/>
              </w:rPr>
              <w:t>”</w:t>
            </w:r>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bulet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Givens’s rotations. If givens rotation is used to represent the eigen-vectors, instead of having amplitude and phase quantisation of complex coeff. we have only phase quantisation. Also these rotations need to be undone at the other end, to reconstruct the eigenvectors. The feedback based on givens rotation was standardized in WiFi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2-2-2(v3):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029972BA" w14:textId="77777777" w:rsidR="00B2161E" w:rsidRDefault="00C46B7C">
            <w:pPr>
              <w:rPr>
                <w:rFonts w:eastAsiaTheme="minorEastAsia"/>
                <w:sz w:val="20"/>
                <w:szCs w:val="20"/>
              </w:rPr>
            </w:pPr>
            <w:r>
              <w:rPr>
                <w:rFonts w:eastAsiaTheme="minorEastAsia" w:hint="eastAsia"/>
                <w:sz w:val="20"/>
                <w:szCs w:val="20"/>
              </w:rPr>
              <w:t>T</w:t>
            </w:r>
            <w:r>
              <w:rPr>
                <w:rFonts w:eastAsiaTheme="minorEastAsia"/>
                <w:sz w:val="20"/>
                <w:szCs w:val="20"/>
              </w:rPr>
              <w:t>hanks FL for the clarification. But we are still hesitate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uawei/HiSi.</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r>
              <w:rPr>
                <w:rFonts w:eastAsiaTheme="minorEastAsia" w:hint="eastAsia"/>
                <w:sz w:val="20"/>
                <w:szCs w:val="20"/>
              </w:rPr>
              <w:t>T</w:t>
            </w:r>
            <w:r>
              <w:rPr>
                <w:rFonts w:eastAsiaTheme="minorEastAsia"/>
                <w:sz w:val="20"/>
                <w:szCs w:val="20"/>
              </w:rPr>
              <w:t xml:space="preserve">hanks FL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bl>
    <w:p w14:paraId="3424D017" w14:textId="77777777" w:rsidR="00B2161E" w:rsidRDefault="00B2161E">
      <w:pPr>
        <w:rPr>
          <w:rFonts w:eastAsiaTheme="minorEastAsia"/>
          <w:color w:val="000000" w:themeColor="text1"/>
          <w:szCs w:val="20"/>
          <w:lang w:val="en-GB"/>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rPr>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Therefore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r>
              <w:rPr>
                <w:rFonts w:eastAsia="SimSun"/>
                <w:sz w:val="20"/>
                <w:szCs w:val="20"/>
              </w:rPr>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the necessity, complexity, overhead, latency and</w:t>
            </w:r>
            <w:r>
              <w:rPr>
                <w:rFonts w:eastAsia="Yu Mincho"/>
                <w:bCs/>
                <w:color w:val="000000" w:themeColor="text1"/>
                <w:sz w:val="20"/>
                <w:szCs w:val="20"/>
                <w:lang w:eastAsia="ja-JP"/>
              </w:rPr>
              <w:t xml:space="preserve"> </w:t>
            </w:r>
            <w:r>
              <w:rPr>
                <w:rFonts w:eastAsia="Yu Mincho"/>
                <w:bCs/>
                <w:sz w:val="20"/>
                <w:szCs w:val="20"/>
                <w:lang w:eastAsia="ja-JP"/>
              </w:rPr>
              <w:t>”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We also suggest adding an FFS under scalar quantisation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FFS: any processing applied to the ground-truth CSI before scalar quantisation</w:t>
            </w:r>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signalling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baseline, or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ZTE’s updates for clairity.</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eType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534C979D" w14:textId="7DF36BF0" w:rsidR="00904760" w:rsidRDefault="00904760">
            <w:pPr>
              <w:rPr>
                <w:rFonts w:eastAsiaTheme="minorEastAsia"/>
                <w:sz w:val="20"/>
                <w:szCs w:val="20"/>
              </w:rPr>
            </w:pP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r>
              <w:rPr>
                <w:bCs/>
                <w:sz w:val="20"/>
                <w:szCs w:val="20"/>
              </w:rPr>
              <w:t>Spreadtrum</w:t>
            </w:r>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CSI-ResourceConfig and/or CSI-ReportConfig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07892E6F" w14:textId="77777777" w:rsidR="00B2161E" w:rsidRDefault="00C46B7C">
            <w:pPr>
              <w:jc w:val="both"/>
              <w:rPr>
                <w:bCs/>
                <w:sz w:val="20"/>
                <w:szCs w:val="20"/>
              </w:rPr>
            </w:pPr>
            <w:r>
              <w:rPr>
                <w:bCs/>
                <w:sz w:val="20"/>
                <w:szCs w:val="20"/>
              </w:rPr>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quantizer/dequantizer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Study different alignment levels between quantizer and dequantizer.</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t xml:space="preserve">Ericsson </w:t>
            </w:r>
          </w:p>
        </w:tc>
        <w:tc>
          <w:tcPr>
            <w:tcW w:w="7412" w:type="dxa"/>
          </w:tcPr>
          <w:p w14:paraId="73D184DE" w14:textId="77777777" w:rsidR="00B2161E" w:rsidRDefault="00C44832">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Target CSI is standardized by use of the implicit CSI reporting principle (precoding vector) and is based on the eType-II framework. Study further the parameter values, e.g., of L, p_v, β,..</w:t>
              </w:r>
            </w:hyperlink>
          </w:p>
          <w:p w14:paraId="47E32FDC" w14:textId="77777777" w:rsidR="00B2161E" w:rsidRDefault="00C44832">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C44832">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C44832">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C44832">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C44832">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r>
              <w:rPr>
                <w:rFonts w:eastAsiaTheme="minorEastAsia"/>
                <w:sz w:val="20"/>
                <w:szCs w:val="20"/>
              </w:rPr>
              <w:t>xiaomi</w:t>
            </w:r>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t>Proposal 19:</w:t>
            </w:r>
            <w:r>
              <w:rPr>
                <w:bCs/>
                <w:iCs/>
                <w:sz w:val="20"/>
              </w:rPr>
              <w:tab/>
              <w:t>Preprocessing at UE-side is upto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Otherwise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r>
              <w:rPr>
                <w:rFonts w:eastAsia="SimSun"/>
                <w:bCs/>
                <w:sz w:val="20"/>
                <w:szCs w:val="20"/>
              </w:rPr>
              <w:t>InterDigital</w:t>
            </w:r>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Quantization method has to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Thanks FL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r>
              <w:rPr>
                <w:rFonts w:eastAsia="Batang"/>
                <w:color w:val="000000" w:themeColor="text1"/>
                <w:sz w:val="20"/>
                <w:szCs w:val="20"/>
                <w:lang w:val="en-GB"/>
              </w:rPr>
              <w:t>okia/NSB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5 float point vector quantize into 10 bits). UE vendor 2 trained float point latent output of 40, with VQ codebook of (4, 64), UE vendor 3 train float point latent output of 36, with VQ codebook of (6, 1024). When NW side received all different datasets from each UE vendor, due to mis-alignment of many parameters, train one decoder to work with all the UE side encoder can be difficult. </w:t>
      </w:r>
    </w:p>
    <w:p w14:paraId="154AD9D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(v2):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similar to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discusison.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As long as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etc,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similar to e-type 2. For example, for layer common model, when RI=2, model output size of 50 bits will be selected. When RI=4, model output size of 25 bits will be selected, so total max CSI size is similar to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are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agreement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ListParagraph"/>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t>AT&amp;T</w:t>
            </w:r>
          </w:p>
        </w:tc>
        <w:tc>
          <w:tcPr>
            <w:tcW w:w="6305" w:type="dxa"/>
          </w:tcPr>
          <w:p w14:paraId="3FFC20D0" w14:textId="77777777" w:rsidR="00B2161E" w:rsidRDefault="00C46B7C">
            <w:pPr>
              <w:pStyle w:val="ListParagraph"/>
              <w:spacing w:before="120"/>
              <w:ind w:leftChars="0" w:left="0" w:firstLine="0"/>
              <w:rPr>
                <w:rFonts w:eastAsia="SimSun"/>
                <w:szCs w:val="20"/>
              </w:rPr>
            </w:pPr>
            <w:r>
              <w:rPr>
                <w:rFonts w:eastAsiaTheme="minorEastAsia"/>
                <w:color w:val="000000" w:themeColor="text1"/>
                <w:szCs w:val="20"/>
              </w:rPr>
              <w:t>Prefer to discuss it after Model ID and functionality based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t>E</w:t>
            </w:r>
            <w:r>
              <w:rPr>
                <w:rFonts w:eastAsia="SimSun"/>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functionality based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r>
              <w:rPr>
                <w:rFonts w:eastAsia="SimSun"/>
                <w:sz w:val="20"/>
                <w:szCs w:val="20"/>
              </w:rPr>
              <w:t>InterDigital</w:t>
            </w:r>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the  CSI generation and reconstruction parts, e.g., model level (via model ID), dataset level (dataset ID), implicit manner (etc), and or no need (vendor agnostic models at both sides).  Thus, this proposal can definitely wait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This proposal is trying to move further from the previous agreement on payload size determination. As HW mentioned, it captures one possibility, i.e.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s way, we can add a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ID ?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w:t>
            </w:r>
            <w:r>
              <w:rPr>
                <w:rFonts w:ascii="Times New Roman" w:eastAsia="SimSun" w:hAnsi="Times New Roman" w:hint="eastAsia"/>
                <w:b/>
                <w:bCs/>
                <w:i/>
                <w:iCs/>
                <w:color w:val="FF0000"/>
                <w:szCs w:val="20"/>
                <w:lang w:val="en-US"/>
              </w:rPr>
              <w:t xml:space="preserve"> pairing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It is not clear why the gNB has to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Why consider any logical model ID ?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We think this bullet should be about studying the mechanism to ensure that CSI generation and reconstruction models are aligned and whether additional 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To determine the actual UCI payload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us but we can replace “logical model ID” with simply an “identifier” of which details and exact definitio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(e.g.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For aligning the actual CSI payload size between UE and gNB, the selected RI by the UE is reported to the gNB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and also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Huawei/HiSi</w:t>
            </w:r>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eType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r>
              <w:rPr>
                <w:rFonts w:eastAsiaTheme="minorEastAsia" w:hint="eastAsia"/>
                <w:sz w:val="20"/>
                <w:szCs w:val="20"/>
              </w:rPr>
              <w:t xml:space="preserve">Similar to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as long as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We suggest either remove the Note in Option 1, or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is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issues,  so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eType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identifier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to ensure rank 2, 3, and 4 has similar payload size, following eType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identifier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2-3-2(v3):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identifier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p>
        </w:tc>
        <w:tc>
          <w:tcPr>
            <w:tcW w:w="6305" w:type="dxa"/>
          </w:tcPr>
          <w:p w14:paraId="2BA4BE03" w14:textId="77777777" w:rsidR="00B2161E" w:rsidRDefault="00C46B7C">
            <w:pPr>
              <w:rPr>
                <w:rFonts w:eastAsiaTheme="minorEastAsia"/>
                <w:sz w:val="20"/>
                <w:szCs w:val="20"/>
              </w:rPr>
            </w:pPr>
            <w:r>
              <w:rPr>
                <w:rFonts w:eastAsiaTheme="minorEastAsia"/>
                <w:sz w:val="20"/>
                <w:szCs w:val="20"/>
              </w:rPr>
              <w:t xml:space="preserve">Thanks FL for the clarification. Our view is that,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Set#A = {100bits, 120bits, 140bits,…, 200bits}), after gNB indicates the model ID to UE, how can UE further understand the (set of) configured size(s) of latent spaces (e.g., gNB configures a subset including Set#B = {100bits, 140bits, 180 bits} to UE)? How can gNB understand the specific CSI payload chosen by the UE (e.g., UE selects a specific 140bits from Set#B)?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r>
              <w:rPr>
                <w:rFonts w:eastAsiaTheme="minorEastAsia"/>
                <w:sz w:val="20"/>
                <w:szCs w:val="20"/>
              </w:rPr>
              <w:t>”, but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UE can choose different model or different adaptation layer or punction bits, to ensure rank 2, 3, and 4 has similar payload size, following eType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Each identifier is associated with the information of factors that represent the a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530CD19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r>
              <w:rPr>
                <w:rFonts w:eastAsia="Yu Mincho"/>
                <w:sz w:val="20"/>
                <w:szCs w:val="20"/>
                <w:lang w:eastAsia="ja-JP"/>
              </w:rPr>
              <w:t>Futurewei</w:t>
            </w:r>
          </w:p>
        </w:tc>
        <w:tc>
          <w:tcPr>
            <w:tcW w:w="6305" w:type="dxa"/>
          </w:tcPr>
          <w:p w14:paraId="623CFEA4" w14:textId="77777777"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uawei/HiSi’s edits that “</w:t>
            </w:r>
            <w:r>
              <w:rPr>
                <w:rFonts w:eastAsia="Malgun Gothic"/>
                <w:b/>
                <w:bCs/>
                <w:i/>
                <w:iCs/>
                <w:sz w:val="20"/>
                <w:szCs w:val="20"/>
              </w:rPr>
              <w:t xml:space="preserve"> gNB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 xml:space="preserve">We prefer Option 1 as a starting point. Why is the FFS on rank-specfic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bl>
    <w:p w14:paraId="1BBC7A9C" w14:textId="77777777" w:rsidR="00B2161E" w:rsidRDefault="00B2161E">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logical model ID indicates a reference to a prior training session (e.g.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(e.g. using an API) between NW and UE, associated with a specific dataset. Hence 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 xml:space="preserve">ID indicates a reference to a prior training session (e.g.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In addition,we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5134DD64" w14:textId="77777777" w:rsidR="00B2161E" w:rsidRDefault="00C46B7C">
            <w:pPr>
              <w:rPr>
                <w:bCs/>
                <w:sz w:val="20"/>
                <w:szCs w:val="20"/>
                <w:lang w:eastAsia="en-US"/>
              </w:rPr>
            </w:pPr>
            <w:r>
              <w:rPr>
                <w:rFonts w:eastAsiaTheme="minorEastAsia"/>
                <w:sz w:val="20"/>
                <w:szCs w:val="20"/>
              </w:rPr>
              <w:t>We are fine with this proposal,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down-select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Huawei/HiSi</w:t>
            </w:r>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Observation 10: Motivation for output data drift is not clear, since the failure of AI/ML model may not be reflected by the output drift.</w:t>
            </w:r>
          </w:p>
          <w:p w14:paraId="7C99853B" w14:textId="77777777" w:rsidR="00B2161E" w:rsidRDefault="00C46B7C">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r>
              <w:rPr>
                <w:bCs/>
                <w:sz w:val="20"/>
                <w:szCs w:val="20"/>
              </w:rPr>
              <w:t>Spreadtrum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e.g., physical signaling, RRC signaling;</w:t>
            </w:r>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ListParagraph"/>
              <w:numPr>
                <w:ilvl w:val="0"/>
                <w:numId w:val="70"/>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r>
              <w:rPr>
                <w:rFonts w:eastAsiaTheme="minorEastAsia"/>
                <w:bCs/>
                <w:sz w:val="20"/>
                <w:szCs w:val="20"/>
              </w:rPr>
              <w:t>Futurewei</w:t>
            </w:r>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may not the concurrent. Non-AI/ML CSI might be feedback in separate report, and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r>
              <w:rPr>
                <w:rFonts w:eastAsia="SimSun"/>
                <w:sz w:val="20"/>
                <w:szCs w:val="20"/>
              </w:rPr>
              <w:t>InterDigital</w:t>
            </w:r>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r>
              <w:rPr>
                <w:rFonts w:eastAsiaTheme="minorEastAsia" w:hint="eastAsia"/>
                <w:bCs/>
                <w:sz w:val="20"/>
                <w:szCs w:val="20"/>
              </w:rPr>
              <w:t xml:space="preserve">So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compare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 xml:space="preserve">necessity, </w:t>
            </w:r>
            <w:r>
              <w:rPr>
                <w:rFonts w:eastAsiaTheme="minorEastAsia"/>
                <w:sz w:val="20"/>
                <w:szCs w:val="20"/>
              </w:rPr>
              <w:t>”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(v3):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r>
        <w:rPr>
          <w:rFonts w:eastAsia="Malgun Gothic"/>
          <w:b/>
          <w:bCs/>
          <w:i/>
          <w:iCs/>
          <w:sz w:val="20"/>
          <w:szCs w:val="20"/>
        </w:rPr>
        <w:t>feasibility</w:t>
      </w:r>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uawei/HiSi</w:t>
            </w:r>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(e.g. fallback, model switching/updating, etc.).  For UE-side monitoring, we should discuss the performance monitoring using the proxy model, and fallback decision can be discussed later,since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@ZTE, the proposal is about using legacy codebook, following up previous agreement in #110bis-e on performance monitoring, “Legacy CSI based monitoring: schemes using additional legacy CSI reporting”. UE reporting for UE side monitoring was agreed in Tuesday GTW, no need to duplicate it. For proxy decoder-based monitoring, it was captured in RAN1 112 agreement.  On first bullet, in previous summary of discussion, the purpose was explained. “</w:t>
      </w:r>
      <w:r>
        <w:rPr>
          <w:rFonts w:eastAsia="Malgun Gothic"/>
          <w:sz w:val="20"/>
          <w:szCs w:val="20"/>
        </w:rPr>
        <w:t>For UE side monitoring, UE can calculate additional legacy PMI by itself for intermediate KPI calculation. For eventual KPI, NW need to indicate the precoder type is AI or eType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2-4-2-2(v1):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Configuration/indication of the precoding type applied to the PDSCH transmission or CSI-RS,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 xml:space="preserve">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(i.e.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Report monitoring  metrics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model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r>
              <w:rPr>
                <w:rFonts w:eastAsia="SimSun"/>
                <w:sz w:val="20"/>
                <w:szCs w:val="20"/>
              </w:rPr>
              <w:t>InterDigital</w:t>
            </w:r>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Huawei/HiSi</w:t>
            </w:r>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Futurewei’s comment.  The last bullet of Futurewei’s comment is crossed out, as both input and output distribution will be studied.  </w:t>
      </w:r>
    </w:p>
    <w:p w14:paraId="58DA9F39"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2-4-3(v2):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uawei/HiSi</w:t>
            </w:r>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7FB177DA" w14:textId="77777777" w:rsidR="00B2161E" w:rsidRDefault="00C46B7C">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r>
              <w:rPr>
                <w:iCs/>
                <w:sz w:val="20"/>
                <w:szCs w:val="20"/>
              </w:rPr>
              <w:t>Spreadtrum</w:t>
            </w:r>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456BB2CB" w14:textId="77777777" w:rsidR="00B2161E" w:rsidRDefault="00C46B7C">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4FB701F1" w14:textId="77777777" w:rsidR="00B2161E" w:rsidRDefault="00C46B7C">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r>
              <w:rPr>
                <w:rFonts w:eastAsia="SimSun"/>
                <w:sz w:val="20"/>
                <w:szCs w:val="20"/>
              </w:rPr>
              <w:t>InterDigital</w:t>
            </w:r>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r>
              <w:rPr>
                <w:rFonts w:eastAsiaTheme="minorEastAsia"/>
                <w:sz w:val="20"/>
                <w:szCs w:val="20"/>
              </w:rPr>
              <w:t>Futurewei</w:t>
            </w:r>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r>
              <w:rPr>
                <w:sz w:val="20"/>
                <w:szCs w:val="20"/>
                <w:lang w:eastAsia="en-US"/>
              </w:rPr>
              <w:t>Spreadtrum</w:t>
            </w:r>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r>
              <w:rPr>
                <w:sz w:val="20"/>
              </w:rPr>
              <w:t>xiaomi</w:t>
            </w:r>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For AI-based CSI prediction, the specification aspect on the following 3 aspects are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r>
              <w:rPr>
                <w:rFonts w:eastAsiaTheme="minorEastAsia"/>
                <w:bCs/>
                <w:sz w:val="20"/>
                <w:szCs w:val="20"/>
              </w:rPr>
              <w:t>Futurewei</w:t>
            </w:r>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CSI report format and dimension (e.g., predictable single CSI instance or multiple CSI instance) and prediction interval. All of them in the specification belongs to UE report. It cannot mimic beam prediction, and has to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and UE reports the collected data to NW accordingly. All of them in the specification belongs to UE report. It cannot mimic beam prediction, and has to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he KPI for monitoring is either determined by NW based on UE capability or by UE-self. In the former, NW configures the KPI and informs it to UE, and in the latter, UE determines the KPI and reports it to NW. It cannot mimic beam prediction, and has to be newly 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It needs to specify the model monitoring procedure (including model adjustment) between UE and NW. However, as long as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sub-bullet,  we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measurement and report 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So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Huawei/HiSi</w:t>
            </w:r>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r>
        <w:rPr>
          <w:rFonts w:ascii="Times New Roman" w:eastAsia="SimSun"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Thus, LCM assistance from gNB such as model/functionality selection/switching and finetuning procedures, is the major differentiating factor from the implementation based solution (Level x). At the end of the day, the model selection assistance may not be explicit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applicable condition are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uawei/HiSi</w:t>
            </w:r>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Not support. Any up-scoping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measurement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02241FB8" w14:textId="77777777" w:rsidR="00B2161E" w:rsidRDefault="00B2161E">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r>
              <w:rPr>
                <w:sz w:val="20"/>
                <w:szCs w:val="20"/>
              </w:rPr>
              <w:t xml:space="preserve">Near-Optimal </w:t>
            </w:r>
          </w:p>
        </w:tc>
        <w:tc>
          <w:tcPr>
            <w:tcW w:w="1757" w:type="dxa"/>
          </w:tcPr>
          <w:p w14:paraId="35778D27" w14:textId="77777777" w:rsidR="00B2161E" w:rsidRDefault="00C46B7C">
            <w:pPr>
              <w:rPr>
                <w:sz w:val="20"/>
                <w:szCs w:val="20"/>
              </w:rPr>
            </w:pPr>
            <w:r>
              <w:rPr>
                <w:sz w:val="20"/>
                <w:szCs w:val="20"/>
              </w:rPr>
              <w:t xml:space="preserve">Suffer from losses in some cases. Near-optimal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exchanging FP/BP information is required. </w:t>
            </w:r>
          </w:p>
        </w:tc>
        <w:tc>
          <w:tcPr>
            <w:tcW w:w="1757" w:type="dxa"/>
          </w:tcPr>
          <w:p w14:paraId="5594EFD1" w14:textId="77777777" w:rsidR="00B2161E" w:rsidRDefault="00C46B7C">
            <w:pPr>
              <w:rPr>
                <w:sz w:val="20"/>
                <w:szCs w:val="20"/>
              </w:rPr>
            </w:pPr>
            <w:r>
              <w:rPr>
                <w:sz w:val="20"/>
                <w:szCs w:val="20"/>
              </w:rPr>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Support by training common encoder via collecting data from multiple gNBs</w:t>
            </w:r>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7A8A9F6C" w14:textId="77777777" w:rsidR="00B2161E" w:rsidRDefault="00C46B7C">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UE share dataset to NW. NW share encoder 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r>
              <w:t>Yes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t>Appendix: Previous meeting agreements</w:t>
      </w:r>
    </w:p>
    <w:p w14:paraId="51C3A47B" w14:textId="77777777" w:rsidR="00B2161E" w:rsidRDefault="00C46B7C">
      <w:pPr>
        <w:pStyle w:val="Heading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In CSI compression using two-sided model use case, further study potential specification impact on CSI report, including at least</w:t>
      </w:r>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0D196B67" w14:textId="77777777" w:rsidR="00B2161E" w:rsidRDefault="00C46B7C">
      <w:pPr>
        <w:rPr>
          <w:rFonts w:eastAsia="DengXian"/>
          <w:sz w:val="20"/>
          <w:szCs w:val="20"/>
        </w:rPr>
      </w:pPr>
      <w:r>
        <w:rPr>
          <w:rFonts w:eastAsia="DengXian"/>
          <w:sz w:val="20"/>
          <w:szCs w:val="20"/>
        </w:rPr>
        <w:t xml:space="preserve">Note: LCM related potential specification impact follow the high level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ADE0ADF"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525E" w14:textId="77777777" w:rsidR="00EE07FD" w:rsidRDefault="00EE07FD" w:rsidP="00EE07FD">
      <w:r>
        <w:separator/>
      </w:r>
    </w:p>
  </w:endnote>
  <w:endnote w:type="continuationSeparator" w:id="0">
    <w:p w14:paraId="1D8DE77B" w14:textId="77777777" w:rsidR="00EE07FD" w:rsidRDefault="00EE07FD"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KaiTi_GB2312">
    <w:altName w:val="SimHei"/>
    <w:panose1 w:val="02010609060101010101"/>
    <w:charset w:val="86"/>
    <w:family w:val="modern"/>
    <w:pitch w:val="default"/>
    <w:sig w:usb0="00000000" w:usb1="00000000" w:usb2="00000010" w:usb3="00000000" w:csb0="00040000" w:csb1="00000000"/>
  </w:font>
  <w:font w:name="Yu Mincho">
    <w:altName w:val="MS Gothic"/>
    <w:charset w:val="80"/>
    <w:family w:val="roman"/>
    <w:pitch w:val="variable"/>
    <w:sig w:usb0="00000000"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579A" w14:textId="77777777" w:rsidR="00EE07FD" w:rsidRDefault="00EE07FD" w:rsidP="00EE07FD">
      <w:r>
        <w:separator/>
      </w:r>
    </w:p>
  </w:footnote>
  <w:footnote w:type="continuationSeparator" w:id="0">
    <w:p w14:paraId="4C18D4AB" w14:textId="77777777" w:rsidR="00EE07FD" w:rsidRDefault="00EE07FD"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227109973">
    <w:abstractNumId w:val="5"/>
  </w:num>
  <w:num w:numId="2" w16cid:durableId="1236743154">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65271828">
    <w:abstractNumId w:val="46"/>
  </w:num>
  <w:num w:numId="4" w16cid:durableId="756561792">
    <w:abstractNumId w:val="34"/>
  </w:num>
  <w:num w:numId="5" w16cid:durableId="1178083793">
    <w:abstractNumId w:val="64"/>
  </w:num>
  <w:num w:numId="6" w16cid:durableId="1806773788">
    <w:abstractNumId w:val="101"/>
  </w:num>
  <w:num w:numId="7" w16cid:durableId="324624986">
    <w:abstractNumId w:val="4"/>
  </w:num>
  <w:num w:numId="8" w16cid:durableId="118575141">
    <w:abstractNumId w:val="8"/>
  </w:num>
  <w:num w:numId="9" w16cid:durableId="181674739">
    <w:abstractNumId w:val="96"/>
  </w:num>
  <w:num w:numId="10" w16cid:durableId="1035891756">
    <w:abstractNumId w:val="20"/>
  </w:num>
  <w:num w:numId="11" w16cid:durableId="2073697707">
    <w:abstractNumId w:val="11"/>
  </w:num>
  <w:num w:numId="12" w16cid:durableId="528689731">
    <w:abstractNumId w:val="63"/>
  </w:num>
  <w:num w:numId="13" w16cid:durableId="1107773034">
    <w:abstractNumId w:val="7"/>
  </w:num>
  <w:num w:numId="14" w16cid:durableId="406541625">
    <w:abstractNumId w:val="52"/>
  </w:num>
  <w:num w:numId="15" w16cid:durableId="1368290069">
    <w:abstractNumId w:val="104"/>
  </w:num>
  <w:num w:numId="16" w16cid:durableId="1968509999">
    <w:abstractNumId w:val="50"/>
    <w:lvlOverride w:ilvl="0">
      <w:startOverride w:val="1"/>
    </w:lvlOverride>
  </w:num>
  <w:num w:numId="17" w16cid:durableId="241262025">
    <w:abstractNumId w:val="40"/>
  </w:num>
  <w:num w:numId="18" w16cid:durableId="14961952">
    <w:abstractNumId w:val="85"/>
  </w:num>
  <w:num w:numId="19" w16cid:durableId="776560638">
    <w:abstractNumId w:val="94"/>
  </w:num>
  <w:num w:numId="20" w16cid:durableId="1034426958">
    <w:abstractNumId w:val="61"/>
  </w:num>
  <w:num w:numId="21" w16cid:durableId="197863150">
    <w:abstractNumId w:val="31"/>
  </w:num>
  <w:num w:numId="22" w16cid:durableId="1239829326">
    <w:abstractNumId w:val="19"/>
  </w:num>
  <w:num w:numId="23" w16cid:durableId="1995717334">
    <w:abstractNumId w:val="93"/>
  </w:num>
  <w:num w:numId="24" w16cid:durableId="808010270">
    <w:abstractNumId w:val="91"/>
  </w:num>
  <w:num w:numId="25" w16cid:durableId="1526090007">
    <w:abstractNumId w:val="103"/>
  </w:num>
  <w:num w:numId="26" w16cid:durableId="789669213">
    <w:abstractNumId w:val="54"/>
  </w:num>
  <w:num w:numId="27" w16cid:durableId="413161432">
    <w:abstractNumId w:val="1"/>
  </w:num>
  <w:num w:numId="28" w16cid:durableId="1004630498">
    <w:abstractNumId w:val="47"/>
  </w:num>
  <w:num w:numId="29" w16cid:durableId="1813597311">
    <w:abstractNumId w:val="37"/>
  </w:num>
  <w:num w:numId="30" w16cid:durableId="1116560178">
    <w:abstractNumId w:val="108"/>
  </w:num>
  <w:num w:numId="31" w16cid:durableId="1175657560">
    <w:abstractNumId w:val="106"/>
  </w:num>
  <w:num w:numId="32" w16cid:durableId="834733682">
    <w:abstractNumId w:val="21"/>
  </w:num>
  <w:num w:numId="33" w16cid:durableId="788664813">
    <w:abstractNumId w:val="48"/>
  </w:num>
  <w:num w:numId="34" w16cid:durableId="704521434">
    <w:abstractNumId w:val="44"/>
  </w:num>
  <w:num w:numId="35" w16cid:durableId="113058074">
    <w:abstractNumId w:val="99"/>
  </w:num>
  <w:num w:numId="36" w16cid:durableId="1912691532">
    <w:abstractNumId w:val="17"/>
  </w:num>
  <w:num w:numId="37" w16cid:durableId="239291664">
    <w:abstractNumId w:val="60"/>
  </w:num>
  <w:num w:numId="38" w16cid:durableId="1567912156">
    <w:abstractNumId w:val="87"/>
  </w:num>
  <w:num w:numId="39" w16cid:durableId="973952017">
    <w:abstractNumId w:val="6"/>
  </w:num>
  <w:num w:numId="40" w16cid:durableId="927495623">
    <w:abstractNumId w:val="65"/>
  </w:num>
  <w:num w:numId="41" w16cid:durableId="972829904">
    <w:abstractNumId w:val="0"/>
  </w:num>
  <w:num w:numId="42" w16cid:durableId="1503930582">
    <w:abstractNumId w:val="86"/>
  </w:num>
  <w:num w:numId="43" w16cid:durableId="1754204932">
    <w:abstractNumId w:val="45"/>
  </w:num>
  <w:num w:numId="44" w16cid:durableId="592789380">
    <w:abstractNumId w:val="83"/>
  </w:num>
  <w:num w:numId="45" w16cid:durableId="469249717">
    <w:abstractNumId w:val="68"/>
  </w:num>
  <w:num w:numId="46" w16cid:durableId="1123694683">
    <w:abstractNumId w:val="29"/>
  </w:num>
  <w:num w:numId="47" w16cid:durableId="1210074659">
    <w:abstractNumId w:val="74"/>
  </w:num>
  <w:num w:numId="48" w16cid:durableId="317029370">
    <w:abstractNumId w:val="84"/>
  </w:num>
  <w:num w:numId="49" w16cid:durableId="1276567">
    <w:abstractNumId w:val="35"/>
  </w:num>
  <w:num w:numId="50" w16cid:durableId="1649356701">
    <w:abstractNumId w:val="13"/>
  </w:num>
  <w:num w:numId="51" w16cid:durableId="752092911">
    <w:abstractNumId w:val="22"/>
  </w:num>
  <w:num w:numId="52" w16cid:durableId="1250501498">
    <w:abstractNumId w:val="59"/>
  </w:num>
  <w:num w:numId="53" w16cid:durableId="1213270295">
    <w:abstractNumId w:val="26"/>
  </w:num>
  <w:num w:numId="54" w16cid:durableId="629287245">
    <w:abstractNumId w:val="18"/>
  </w:num>
  <w:num w:numId="55" w16cid:durableId="42103952">
    <w:abstractNumId w:val="55"/>
  </w:num>
  <w:num w:numId="56" w16cid:durableId="132915798">
    <w:abstractNumId w:val="15"/>
  </w:num>
  <w:num w:numId="57" w16cid:durableId="1807696978">
    <w:abstractNumId w:val="38"/>
  </w:num>
  <w:num w:numId="58" w16cid:durableId="578947401">
    <w:abstractNumId w:val="71"/>
  </w:num>
  <w:num w:numId="59" w16cid:durableId="1227376201">
    <w:abstractNumId w:val="32"/>
  </w:num>
  <w:num w:numId="60" w16cid:durableId="557517038">
    <w:abstractNumId w:val="76"/>
  </w:num>
  <w:num w:numId="61" w16cid:durableId="338580798">
    <w:abstractNumId w:val="25"/>
  </w:num>
  <w:num w:numId="62" w16cid:durableId="1916473623">
    <w:abstractNumId w:val="105"/>
  </w:num>
  <w:num w:numId="63" w16cid:durableId="1277445912">
    <w:abstractNumId w:val="98"/>
  </w:num>
  <w:num w:numId="64" w16cid:durableId="1519344104">
    <w:abstractNumId w:val="41"/>
  </w:num>
  <w:num w:numId="65" w16cid:durableId="1200820777">
    <w:abstractNumId w:val="24"/>
  </w:num>
  <w:num w:numId="66" w16cid:durableId="988241764">
    <w:abstractNumId w:val="81"/>
  </w:num>
  <w:num w:numId="67" w16cid:durableId="895975136">
    <w:abstractNumId w:val="51"/>
  </w:num>
  <w:num w:numId="68" w16cid:durableId="372847727">
    <w:abstractNumId w:val="9"/>
  </w:num>
  <w:num w:numId="69" w16cid:durableId="1315068291">
    <w:abstractNumId w:val="62"/>
  </w:num>
  <w:num w:numId="70" w16cid:durableId="1257903999">
    <w:abstractNumId w:val="57"/>
  </w:num>
  <w:num w:numId="71" w16cid:durableId="1220551766">
    <w:abstractNumId w:val="67"/>
  </w:num>
  <w:num w:numId="72" w16cid:durableId="766194507">
    <w:abstractNumId w:val="107"/>
  </w:num>
  <w:num w:numId="73" w16cid:durableId="615059146">
    <w:abstractNumId w:val="58"/>
  </w:num>
  <w:num w:numId="74" w16cid:durableId="1394966074">
    <w:abstractNumId w:val="36"/>
  </w:num>
  <w:num w:numId="75" w16cid:durableId="999963029">
    <w:abstractNumId w:val="28"/>
  </w:num>
  <w:num w:numId="76" w16cid:durableId="663508537">
    <w:abstractNumId w:val="39"/>
  </w:num>
  <w:num w:numId="77" w16cid:durableId="773089114">
    <w:abstractNumId w:val="75"/>
  </w:num>
  <w:num w:numId="78" w16cid:durableId="1574388790">
    <w:abstractNumId w:val="2"/>
  </w:num>
  <w:num w:numId="79" w16cid:durableId="1267806567">
    <w:abstractNumId w:val="43"/>
  </w:num>
  <w:num w:numId="80" w16cid:durableId="2142914145">
    <w:abstractNumId w:val="23"/>
  </w:num>
  <w:num w:numId="81" w16cid:durableId="571505468">
    <w:abstractNumId w:val="80"/>
  </w:num>
  <w:num w:numId="82" w16cid:durableId="1824155964">
    <w:abstractNumId w:val="16"/>
  </w:num>
  <w:num w:numId="83" w16cid:durableId="1746104590">
    <w:abstractNumId w:val="42"/>
  </w:num>
  <w:num w:numId="84" w16cid:durableId="769012415">
    <w:abstractNumId w:val="95"/>
  </w:num>
  <w:num w:numId="85" w16cid:durableId="484974999">
    <w:abstractNumId w:val="49"/>
  </w:num>
  <w:num w:numId="86" w16cid:durableId="884410822">
    <w:abstractNumId w:val="102"/>
  </w:num>
  <w:num w:numId="87" w16cid:durableId="1253275385">
    <w:abstractNumId w:val="77"/>
  </w:num>
  <w:num w:numId="88" w16cid:durableId="1872960311">
    <w:abstractNumId w:val="56"/>
  </w:num>
  <w:num w:numId="89" w16cid:durableId="221909054">
    <w:abstractNumId w:val="88"/>
  </w:num>
  <w:num w:numId="90" w16cid:durableId="612176170">
    <w:abstractNumId w:val="30"/>
  </w:num>
  <w:num w:numId="91" w16cid:durableId="1164124724">
    <w:abstractNumId w:val="53"/>
  </w:num>
  <w:num w:numId="92" w16cid:durableId="965697591">
    <w:abstractNumId w:val="10"/>
  </w:num>
  <w:num w:numId="93" w16cid:durableId="1537430148">
    <w:abstractNumId w:val="72"/>
  </w:num>
  <w:num w:numId="94" w16cid:durableId="4602537">
    <w:abstractNumId w:val="14"/>
  </w:num>
  <w:num w:numId="95" w16cid:durableId="1985769762">
    <w:abstractNumId w:val="92"/>
  </w:num>
  <w:num w:numId="96" w16cid:durableId="2087528590">
    <w:abstractNumId w:val="100"/>
  </w:num>
  <w:num w:numId="97" w16cid:durableId="2006739661">
    <w:abstractNumId w:val="12"/>
  </w:num>
  <w:num w:numId="98" w16cid:durableId="1874229568">
    <w:abstractNumId w:val="66"/>
  </w:num>
  <w:num w:numId="99" w16cid:durableId="928467901">
    <w:abstractNumId w:val="27"/>
  </w:num>
  <w:num w:numId="100" w16cid:durableId="786629310">
    <w:abstractNumId w:val="79"/>
  </w:num>
  <w:num w:numId="101" w16cid:durableId="1355768481">
    <w:abstractNumId w:val="33"/>
  </w:num>
  <w:num w:numId="102" w16cid:durableId="1210606801">
    <w:abstractNumId w:val="89"/>
  </w:num>
  <w:num w:numId="103" w16cid:durableId="1522276830">
    <w:abstractNumId w:val="78"/>
  </w:num>
  <w:num w:numId="104" w16cid:durableId="857888554">
    <w:abstractNumId w:val="69"/>
  </w:num>
  <w:num w:numId="105" w16cid:durableId="1420103668">
    <w:abstractNumId w:val="73"/>
  </w:num>
  <w:num w:numId="106" w16cid:durableId="1285848958">
    <w:abstractNumId w:val="97"/>
  </w:num>
  <w:num w:numId="107" w16cid:durableId="1727100151">
    <w:abstractNumId w:val="90"/>
  </w:num>
  <w:num w:numId="108" w16cid:durableId="581725197">
    <w:abstractNumId w:val="70"/>
  </w:num>
  <w:num w:numId="109" w16cid:durableId="1665469361">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D9F"/>
    <w:rsid w:val="0085130D"/>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E0B"/>
    <w:rsid w:val="00CD3EEA"/>
    <w:rsid w:val="00CD48EB"/>
    <w:rsid w:val="00CD4B24"/>
    <w:rsid w:val="00CD5565"/>
    <w:rsid w:val="00CD5BE0"/>
    <w:rsid w:val="00CD6926"/>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51547</Words>
  <Characters>293819</Characters>
  <Application>Microsoft Office Word</Application>
  <DocSecurity>0</DocSecurity>
  <Lines>2448</Lines>
  <Paragraphs>689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2023-04-21T20:26:00Z</dcterms:created>
  <dcterms:modified xsi:type="dcterms:W3CDTF">2023-04-21T20:28:00Z</dcterms:modified>
</cp:coreProperties>
</file>