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2"/>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1"/>
      </w:pPr>
      <w:bookmarkStart w:id="0" w:name="_Ref178064866"/>
      <w:r>
        <w:t>2</w:t>
      </w:r>
      <w:r>
        <w:tab/>
        <w:t>Discussion</w:t>
      </w:r>
      <w:bookmarkStart w:id="1" w:name="_Ref62449171"/>
      <w:bookmarkEnd w:id="0"/>
    </w:p>
    <w:p w14:paraId="715FF6DD" w14:textId="77777777" w:rsidR="00F16B72" w:rsidRDefault="00DE121C">
      <w:pPr>
        <w:pStyle w:val="21"/>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af9"/>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31"/>
        <w:rPr>
          <w:lang w:eastAsia="zh-CN"/>
        </w:rPr>
      </w:pPr>
      <w:r>
        <w:t>2.1.1</w:t>
      </w:r>
      <w:r>
        <w:rPr>
          <w:lang w:eastAsia="zh-CN"/>
        </w:rPr>
        <w:tab/>
        <w:t>NCR (WI code: NR_netcon_repeater-Core)</w:t>
      </w:r>
    </w:p>
    <w:tbl>
      <w:tblPr>
        <w:tblStyle w:val="af4"/>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2"/>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2"/>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DengXian" w:hAnsi="Times New Roman" w:cs="Times New Roman"/>
                <w:b/>
                <w:bCs/>
                <w:sz w:val="24"/>
                <w:szCs w:val="24"/>
                <w:lang w:val="en-US"/>
              </w:rPr>
              <w:t xml:space="preserve">maxNumberOfFields”: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2"/>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2"/>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2"/>
              <w:ind w:left="0"/>
              <w:rPr>
                <w:rFonts w:ascii="Times New Roman" w:eastAsiaTheme="minorEastAsia" w:hAnsi="Times New Roman" w:cs="Times New Roman"/>
                <w:szCs w:val="20"/>
                <w:lang w:val="en-US" w:eastAsia="zh-CN"/>
              </w:rPr>
            </w:pPr>
          </w:p>
          <w:p w14:paraId="1E70C629"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t>L</w:t>
            </w:r>
            <w:r>
              <w:rPr>
                <w:rFonts w:ascii="Times New Roman" w:eastAsia="맑은 고딕" w:hAnsi="Times New Roman" w:cs="Times New Roman"/>
                <w:szCs w:val="20"/>
                <w:lang w:val="en-US" w:eastAsia="ko-KR"/>
              </w:rPr>
              <w:t>G</w:t>
            </w:r>
          </w:p>
        </w:tc>
        <w:tc>
          <w:tcPr>
            <w:tcW w:w="8139" w:type="dxa"/>
          </w:tcPr>
          <w:p w14:paraId="5ABC5AF0"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맑은 고딕" w:hAnsi="Times New Roman" w:cs="Times New Roman"/>
                <w:b/>
                <w:szCs w:val="20"/>
                <w:lang w:val="en-US" w:eastAsia="ko-KR"/>
              </w:rPr>
              <w:t>Row #54</w:t>
            </w:r>
            <w:r>
              <w:rPr>
                <w:rFonts w:ascii="Times New Roman" w:eastAsia="맑은 고딕"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afc"/>
              <w:ind w:left="0"/>
              <w:rPr>
                <w:rFonts w:ascii="Times New Roman" w:eastAsia="맑은 고딕"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afc"/>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afc"/>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2706F6">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2706F6">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afc"/>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afc"/>
              <w:ind w:left="0"/>
              <w:rPr>
                <w:rFonts w:ascii="Times New Roman" w:eastAsia="SimSun" w:hAnsi="Times New Roman" w:cs="Times New Roman"/>
                <w:b/>
                <w:lang w:val="en-US" w:eastAsia="zh-CN"/>
              </w:rPr>
            </w:pPr>
          </w:p>
          <w:p w14:paraId="352E9E72" w14:textId="77777777" w:rsidR="00F16B72" w:rsidRDefault="00DE121C">
            <w:pPr>
              <w:pStyle w:val="afc"/>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afc"/>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2706F6">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25pt;height:11.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afc"/>
              <w:ind w:left="0"/>
              <w:rPr>
                <w:rFonts w:ascii="Times New Roman" w:eastAsia="맑은 고딕"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31"/>
      </w:pPr>
      <w:r>
        <w:t>2.1.2</w:t>
      </w:r>
      <w:r>
        <w:tab/>
        <w:t>eDSS (WI code: NR_DSS_enh)</w:t>
      </w:r>
    </w:p>
    <w:tbl>
      <w:tblPr>
        <w:tblStyle w:val="af4"/>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2"/>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af4"/>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lastRenderedPageBreak/>
              <w:t>If this parameter is provided, it indicates that UE shall monitor the PDCCH candidate(s) overlapping with CRS, and in addition, which CE option to use. The parent IE could be PDCCH-Config.</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2"/>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2"/>
              <w:ind w:left="0"/>
              <w:rPr>
                <w:rFonts w:ascii="Times New Roman" w:eastAsia="Yu Mincho" w:hAnsi="Times New Roman" w:cs="Times New Roman"/>
                <w:szCs w:val="20"/>
                <w:lang w:val="en-US" w:eastAsia="ja-JP"/>
              </w:rPr>
            </w:pPr>
          </w:p>
          <w:p w14:paraId="426F03C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af4"/>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3451E62"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2"/>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2"/>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2"/>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afc"/>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afc"/>
              <w:ind w:left="0"/>
              <w:rPr>
                <w:rFonts w:ascii="Times New Roman" w:eastAsia="Yu Mincho" w:hAnsi="Times New Roman" w:cs="Times New Roman"/>
                <w:szCs w:val="20"/>
                <w:lang w:val="en-US" w:eastAsia="ja-JP"/>
              </w:rPr>
            </w:pPr>
          </w:p>
          <w:p w14:paraId="18F8F15C"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w:t>
            </w:r>
            <w:r>
              <w:rPr>
                <w:rFonts w:ascii="Times New Roman" w:eastAsia="Yu Mincho" w:hAnsi="Times New Roman" w:cs="Times New Roman"/>
                <w:szCs w:val="20"/>
                <w:lang w:val="en-US" w:eastAsia="ja-JP"/>
              </w:rPr>
              <w:lastRenderedPageBreak/>
              <w:t xml:space="preserve">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afc"/>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lastRenderedPageBreak/>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afc"/>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afc"/>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afc"/>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w:t>
                  </w:r>
                  <w:r w:rsidRPr="00A93CB4">
                    <w:rPr>
                      <w:rFonts w:eastAsia="DengXian"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D6A389F"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2"/>
                    <w:ind w:left="0"/>
                    <w:rPr>
                      <w:rFonts w:eastAsia="DengXian" w:cs="Arial"/>
                      <w:color w:val="0000FF"/>
                      <w:sz w:val="18"/>
                      <w:szCs w:val="18"/>
                      <w:lang w:val="en-US" w:eastAsia="zh-CN"/>
                    </w:rPr>
                  </w:pPr>
                  <w:r>
                    <w:rPr>
                      <w:rFonts w:eastAsia="DengXian"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2"/>
                    <w:ind w:left="0"/>
                    <w:rPr>
                      <w:rFonts w:eastAsia="DengXian" w:cs="Arial"/>
                      <w:color w:val="0000FF"/>
                      <w:sz w:val="18"/>
                      <w:szCs w:val="18"/>
                      <w:lang w:val="en-US" w:eastAsia="zh-CN"/>
                    </w:rPr>
                  </w:pPr>
                  <w:r>
                    <w:rPr>
                      <w:rFonts w:eastAsia="DengXian"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2"/>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2"/>
                    <w:ind w:left="0"/>
                    <w:rPr>
                      <w:rFonts w:eastAsia="DengXian" w:cs="Arial"/>
                      <w:color w:val="0000FF"/>
                      <w:sz w:val="18"/>
                      <w:szCs w:val="18"/>
                      <w:lang w:val="en-US" w:eastAsia="zh-CN"/>
                    </w:rPr>
                  </w:pPr>
                  <w:r>
                    <w:rPr>
                      <w:rFonts w:eastAsia="DengXian"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2"/>
                    <w:ind w:left="0"/>
                    <w:rPr>
                      <w:rFonts w:eastAsia="DengXian" w:cs="Arial"/>
                      <w:color w:val="0000FF"/>
                      <w:sz w:val="18"/>
                      <w:szCs w:val="18"/>
                      <w:lang w:val="en-US" w:eastAsia="zh-CN"/>
                    </w:rPr>
                  </w:pPr>
                  <w:r w:rsidRPr="00A93CB4">
                    <w:rPr>
                      <w:rFonts w:eastAsia="DengXian"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2"/>
                    <w:ind w:left="0"/>
                    <w:rPr>
                      <w:rFonts w:eastAsia="DengXian" w:cs="Arial"/>
                      <w:color w:val="0000FF"/>
                      <w:sz w:val="18"/>
                      <w:szCs w:val="18"/>
                      <w:lang w:val="en-US" w:eastAsia="zh-CN"/>
                    </w:rPr>
                  </w:pPr>
                  <w:r>
                    <w:rPr>
                      <w:rFonts w:eastAsia="DengXian" w:cs="Arial"/>
                      <w:color w:val="0000FF"/>
                      <w:sz w:val="18"/>
                      <w:szCs w:val="18"/>
                      <w:lang w:val="en-US" w:eastAsia="zh-CN"/>
                    </w:rPr>
                    <w:t>UE-specific</w:t>
                  </w:r>
                </w:p>
              </w:tc>
            </w:tr>
          </w:tbl>
          <w:p w14:paraId="40656243" w14:textId="77777777" w:rsidR="003A773E" w:rsidRPr="0090384E" w:rsidRDefault="003A773E" w:rsidP="0097078C">
            <w:pPr>
              <w:pStyle w:val="afc"/>
              <w:ind w:left="0"/>
              <w:rPr>
                <w:rFonts w:ascii="Times New Roman" w:eastAsia="Yu Mincho" w:hAnsi="Times New Roman" w:cs="Times New Roman"/>
                <w:szCs w:val="20"/>
                <w:lang w:val="en-US" w:eastAsia="ja-JP"/>
              </w:rPr>
            </w:pPr>
          </w:p>
        </w:tc>
      </w:tr>
    </w:tbl>
    <w:p w14:paraId="1A642284" w14:textId="77777777" w:rsidR="00F16B72" w:rsidRDefault="00F16B72">
      <w:pPr>
        <w:rPr>
          <w:lang w:eastAsia="zh-CN"/>
        </w:rPr>
      </w:pPr>
    </w:p>
    <w:p w14:paraId="0E8CEF82" w14:textId="77777777" w:rsidR="00F16B72" w:rsidRDefault="00DE121C">
      <w:pPr>
        <w:pStyle w:val="31"/>
        <w:rPr>
          <w:lang w:val="de-DE"/>
        </w:rPr>
      </w:pPr>
      <w:r>
        <w:rPr>
          <w:lang w:val="de-DE"/>
        </w:rPr>
        <w:t>2.1.3</w:t>
      </w:r>
      <w:r>
        <w:rPr>
          <w:lang w:val="de-DE"/>
        </w:rPr>
        <w:tab/>
        <w:t>MCE (WI code: NR_MC_enh)</w:t>
      </w:r>
    </w:p>
    <w:tbl>
      <w:tblPr>
        <w:tblStyle w:val="af4"/>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2"/>
              <w:ind w:left="0"/>
              <w:rPr>
                <w:rFonts w:ascii="Times New Roman" w:eastAsia="Times New Roman" w:hAnsi="Times New Roman" w:cs="Times New Roman"/>
                <w:szCs w:val="20"/>
                <w:lang w:val="en-US" w:eastAsia="ja-JP"/>
              </w:rPr>
            </w:pPr>
          </w:p>
          <w:p w14:paraId="281B3D18"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af9"/>
                <w:rFonts w:ascii="Times New Roman" w:eastAsia="Times New Roman" w:hAnsi="Times New Roman" w:cs="Times New Roman"/>
                <w:szCs w:val="20"/>
                <w:lang w:val="en-US" w:eastAsia="ja-JP"/>
              </w:rPr>
              <w:t>ForRapporteursUseOnly/[112b-e-R18-RRC-MCE]</w:t>
            </w:r>
            <w:r>
              <w:rPr>
                <w:rStyle w:val="af9"/>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af4"/>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2"/>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2"/>
              <w:ind w:left="0"/>
              <w:rPr>
                <w:rFonts w:ascii="Times New Roman" w:eastAsiaTheme="minorEastAsia" w:hAnsi="Times New Roman" w:cs="Times New Roman"/>
                <w:szCs w:val="20"/>
                <w:lang w:val="en-US" w:eastAsia="zh-CN"/>
              </w:rPr>
            </w:pPr>
          </w:p>
          <w:p w14:paraId="3C46DE9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2"/>
              <w:ind w:left="0"/>
              <w:rPr>
                <w:rFonts w:ascii="Times New Roman" w:eastAsiaTheme="minorEastAsia" w:hAnsi="Times New Roman" w:cs="Times New Roman"/>
                <w:szCs w:val="20"/>
                <w:lang w:val="en-US" w:eastAsia="zh-CN"/>
              </w:rPr>
            </w:pPr>
          </w:p>
          <w:p w14:paraId="7C7E65B8"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lastRenderedPageBreak/>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2"/>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2"/>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lastRenderedPageBreak/>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af4"/>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a9"/>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a9"/>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2"/>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2"/>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2"/>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2"/>
              <w:ind w:left="0"/>
              <w:rPr>
                <w:rFonts w:ascii="Arial Unicode MS" w:eastAsia="Arial Unicode MS" w:hAnsi="Arial Unicode MS" w:cs="Arial Unicode MS"/>
                <w:sz w:val="18"/>
                <w:szCs w:val="18"/>
                <w:lang w:val="en-US" w:eastAsia="zh-CN"/>
              </w:rPr>
            </w:pPr>
          </w:p>
          <w:p w14:paraId="3865C3FB" w14:textId="77777777" w:rsidR="00F16B72" w:rsidRDefault="00DE121C">
            <w:pPr>
              <w:pStyle w:val="12"/>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2"/>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 xml:space="preserve">or row 5, we agree with Nokia and LGE that 0-7 is sufficient for n_CI because there are at most 4 sets of cells for co-scheduling. Even as mentioned by Nokia that at most 8 cell </w:t>
            </w:r>
            <w:r>
              <w:rPr>
                <w:rFonts w:ascii="Times New Roman" w:eastAsiaTheme="minorEastAsia" w:hAnsi="Times New Roman" w:cs="Times New Roman"/>
                <w:szCs w:val="20"/>
                <w:lang w:val="en-US" w:eastAsia="zh-CN"/>
              </w:rPr>
              <w:lastRenderedPageBreak/>
              <w:t>sets can be configured across different PUCCH cell groups(although we think the current description for row#2 is OK as it is from scheduling cell point of view), 0-7 is sufficient.</w:t>
            </w:r>
          </w:p>
          <w:p w14:paraId="3A420F95" w14:textId="77777777" w:rsidR="00F16B72" w:rsidRDefault="00F16B72">
            <w:pPr>
              <w:pStyle w:val="12"/>
              <w:ind w:left="0"/>
              <w:rPr>
                <w:rFonts w:ascii="Times New Roman" w:eastAsiaTheme="minorEastAsia" w:hAnsi="Times New Roman" w:cs="Times New Roman"/>
                <w:szCs w:val="20"/>
                <w:lang w:val="en-US" w:eastAsia="zh-CN"/>
              </w:rPr>
            </w:pPr>
          </w:p>
          <w:p w14:paraId="135C9DF9"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2"/>
              <w:ind w:left="0"/>
              <w:rPr>
                <w:rFonts w:ascii="Times New Roman" w:eastAsiaTheme="minorEastAsia" w:hAnsi="Times New Roman" w:cs="Times New Roman"/>
                <w:b/>
                <w:bCs/>
                <w:szCs w:val="20"/>
                <w:lang w:val="en-US" w:eastAsia="zh-CN"/>
              </w:rPr>
            </w:pPr>
          </w:p>
          <w:p w14:paraId="60E8A65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2"/>
              <w:ind w:left="0"/>
              <w:rPr>
                <w:rFonts w:ascii="Times New Roman" w:eastAsiaTheme="minorEastAsia" w:hAnsi="Times New Roman" w:cs="Times New Roman"/>
                <w:szCs w:val="20"/>
                <w:lang w:val="en-US" w:eastAsia="zh-CN"/>
              </w:rPr>
            </w:pPr>
          </w:p>
          <w:p w14:paraId="72D1587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2"/>
              <w:ind w:left="0"/>
              <w:rPr>
                <w:rFonts w:ascii="Times New Roman" w:eastAsiaTheme="minorEastAsia" w:hAnsi="Times New Roman" w:cs="Times New Roman"/>
                <w:szCs w:val="20"/>
                <w:lang w:val="en-US" w:eastAsia="zh-CN"/>
              </w:rPr>
            </w:pPr>
          </w:p>
          <w:p w14:paraId="09DB944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2"/>
              <w:ind w:left="0"/>
              <w:rPr>
                <w:rFonts w:ascii="Times New Roman" w:eastAsiaTheme="minorEastAsia" w:hAnsi="Times New Roman" w:cs="Times New Roman"/>
                <w:szCs w:val="20"/>
                <w:lang w:val="en-US" w:eastAsia="zh-CN"/>
              </w:rPr>
            </w:pPr>
          </w:p>
          <w:p w14:paraId="22CD060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2"/>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2"/>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lastRenderedPageBreak/>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OPPO</w:t>
            </w:r>
          </w:p>
        </w:tc>
        <w:tc>
          <w:tcPr>
            <w:tcW w:w="8139" w:type="dxa"/>
          </w:tcPr>
          <w:p w14:paraId="613C91CC"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2"/>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2"/>
              <w:ind w:left="0"/>
              <w:rPr>
                <w:rFonts w:ascii="Times New Roman" w:eastAsia="SimSun" w:hAnsi="Times New Roman" w:cs="Times New Roman"/>
                <w:szCs w:val="20"/>
                <w:lang w:val="en-US" w:eastAsia="zh-CN"/>
              </w:rPr>
            </w:pPr>
          </w:p>
          <w:p w14:paraId="14EA6F68" w14:textId="77777777" w:rsidR="00F16B72" w:rsidRDefault="00DE121C">
            <w:pPr>
              <w:pStyle w:val="12"/>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2"/>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w:t>
            </w:r>
            <w:r>
              <w:rPr>
                <w:rFonts w:ascii="Times New Roman" w:eastAsiaTheme="minorEastAsia" w:hAnsi="Times New Roman" w:cs="Times New Roman"/>
                <w:szCs w:val="20"/>
                <w:lang w:val="en-US" w:eastAsia="zh-CN"/>
              </w:rPr>
              <w:lastRenderedPageBreak/>
              <w:t xml:space="preserve">cells. Therefore, we suggest that the gNB can configure at most 4 tables with one per BWP. An example is shown below and more details can be found in our Tdoc R1-2303404. </w:t>
            </w:r>
          </w:p>
          <w:p w14:paraId="60EA21C8"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afc"/>
              <w:ind w:left="0"/>
              <w:rPr>
                <w:rFonts w:ascii="Times New Roman" w:eastAsiaTheme="minorEastAsia" w:hAnsi="Times New Roman" w:cs="Times New Roman"/>
                <w:szCs w:val="20"/>
                <w:lang w:val="en-US" w:eastAsia="zh-CN"/>
              </w:rPr>
            </w:pPr>
          </w:p>
          <w:p w14:paraId="0E4C8C4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afc"/>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afc"/>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w:t>
            </w:r>
            <w:r w:rsidRPr="00224524">
              <w:rPr>
                <w:rFonts w:ascii="Times New Roman" w:eastAsia="Yu Mincho" w:hAnsi="Times New Roman" w:cs="Times New Roman"/>
                <w:szCs w:val="20"/>
                <w:lang w:val="en-US" w:eastAsia="ja-JP"/>
              </w:rPr>
              <w:lastRenderedPageBreak/>
              <w:t xml:space="preserve">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afc"/>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afc"/>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w:t>
            </w:r>
            <w:r w:rsidRPr="00224524">
              <w:rPr>
                <w:rFonts w:ascii="Times New Roman" w:eastAsia="Yu Mincho" w:hAnsi="Times New Roman" w:cs="Times New Roman"/>
                <w:szCs w:val="20"/>
                <w:lang w:val="en-US" w:eastAsia="ja-JP"/>
              </w:rPr>
              <w:lastRenderedPageBreak/>
              <w:t xml:space="preserve">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afc"/>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2"/>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2"/>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lastRenderedPageBreak/>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afc"/>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afc"/>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맑은 고딕"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2"/>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맑은 고딕"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E517F">
              <w:rPr>
                <w:rFonts w:ascii="Times New Roman" w:eastAsia="MS Gothic" w:hAnsi="Times New Roman" w:cs="Times New Roman"/>
                <w:szCs w:val="20"/>
                <w:lang w:eastAsia="ko-KR"/>
              </w:rPr>
              <w:t xml:space="preserve"> Please check the following replies and additional comments.</w:t>
            </w:r>
          </w:p>
          <w:p w14:paraId="3D33A2B2" w14:textId="77777777" w:rsidR="00C20F83" w:rsidRPr="004E517F" w:rsidRDefault="00C20F83" w:rsidP="002706F6">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afc"/>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lastRenderedPageBreak/>
              <w:t>Row 29-46</w:t>
            </w:r>
            <w:r w:rsidRPr="004E517F">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afc"/>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afc"/>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afc"/>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2706F6">
            <w:pPr>
              <w:pStyle w:val="afc"/>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afc"/>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afc"/>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DengXian" w:hAnsi="Times New Roman" w:cs="Times New Roman"/>
                <w:color w:val="0000FF"/>
                <w:sz w:val="18"/>
                <w:szCs w:val="18"/>
                <w:lang w:val="en-US"/>
              </w:rPr>
              <w:t>SEQUENCE (SIZE (1..</w:t>
            </w:r>
            <w:r w:rsidRPr="004E517F">
              <w:rPr>
                <w:rFonts w:ascii="Times New Roman" w:eastAsia="DengXian" w:hAnsi="Times New Roman" w:cs="Times New Roman"/>
                <w:color w:val="0000FF"/>
                <w:sz w:val="18"/>
                <w:szCs w:val="18"/>
                <w:highlight w:val="cyan"/>
                <w:lang w:val="en-US"/>
              </w:rPr>
              <w:t>4</w:t>
            </w:r>
            <w:r w:rsidRPr="004E517F">
              <w:rPr>
                <w:rFonts w:ascii="Times New Roman" w:eastAsia="DengXian"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DengXian"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DengXian"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E517F" w:rsidRDefault="00C20F83" w:rsidP="002706F6">
            <w:pPr>
              <w:rPr>
                <w:rFonts w:ascii="Times New Roman" w:hAnsi="Times New Roman" w:cs="Times New Roman"/>
                <w:b/>
                <w:bCs/>
                <w:highlight w:val="green"/>
                <w:lang w:eastAsia="x-none"/>
              </w:rPr>
            </w:pPr>
            <w:r w:rsidRPr="004E517F">
              <w:rPr>
                <w:rFonts w:ascii="Times New Roman" w:hAnsi="Times New Roman" w:cs="Times New Roman"/>
                <w:b/>
                <w:bCs/>
                <w:highlight w:val="green"/>
                <w:lang w:eastAsia="x-none"/>
              </w:rPr>
              <w:t>Agreement</w:t>
            </w:r>
          </w:p>
          <w:p w14:paraId="37604975" w14:textId="77777777" w:rsidR="00C20F83" w:rsidRPr="004E517F" w:rsidRDefault="00C20F83" w:rsidP="002706F6">
            <w:pPr>
              <w:pStyle w:val="ListParagraph1"/>
              <w:kinsoku w:val="0"/>
              <w:overflowPunct w:val="0"/>
              <w:adjustRightInd w:val="0"/>
              <w:ind w:left="0"/>
              <w:contextualSpacing w:val="0"/>
              <w:textAlignment w:val="baseline"/>
              <w:rPr>
                <w:sz w:val="20"/>
                <w:szCs w:val="20"/>
                <w:lang w:eastAsia="ja-JP"/>
              </w:rPr>
            </w:pPr>
            <w:r w:rsidRPr="004E517F">
              <w:rPr>
                <w:sz w:val="20"/>
                <w:szCs w:val="20"/>
                <w:lang w:eastAsia="ja-JP"/>
              </w:rPr>
              <w:t xml:space="preserve">For a set of cells which is configured for multi-cell scheduling using </w:t>
            </w:r>
            <w:r w:rsidRPr="004E517F">
              <w:rPr>
                <w:sz w:val="20"/>
                <w:szCs w:val="20"/>
              </w:rPr>
              <w:t>DCI format 0_X/1_X</w:t>
            </w:r>
            <w:r w:rsidRPr="004E517F">
              <w:rPr>
                <w:sz w:val="20"/>
                <w:szCs w:val="20"/>
                <w:lang w:eastAsia="ja-JP"/>
              </w:rPr>
              <w:t xml:space="preserve">, a joint TDRA table is configured by RRC signaling for the set of cells with each row in the table containing TDRA indexes </w:t>
            </w:r>
            <w:r w:rsidRPr="004E517F">
              <w:rPr>
                <w:sz w:val="20"/>
                <w:szCs w:val="20"/>
                <w:highlight w:val="yellow"/>
                <w:lang w:eastAsia="ja-JP"/>
              </w:rPr>
              <w:t>for all cells within the set of cells.</w:t>
            </w:r>
          </w:p>
          <w:p w14:paraId="03EEDD3B" w14:textId="77777777" w:rsidR="00C20F83" w:rsidRPr="004E517F" w:rsidRDefault="00C20F83" w:rsidP="002706F6">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afc"/>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afc"/>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afc"/>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afc"/>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afc"/>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lastRenderedPageBreak/>
              <w:t>Regarding whether to add value 1, we don’t see the motivation for it for now. Proponents can clarify more on the motivation.</w:t>
            </w:r>
          </w:p>
          <w:p w14:paraId="67FD8704" w14:textId="77777777" w:rsidR="00376DF0" w:rsidRDefault="00376DF0" w:rsidP="00376DF0">
            <w:pPr>
              <w:pStyle w:val="afc"/>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afc"/>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afc"/>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afc"/>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afc"/>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afc"/>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4E517F" w:rsidRDefault="00376DF0" w:rsidP="00CA3071">
            <w:pPr>
              <w:pStyle w:val="afc"/>
              <w:numPr>
                <w:ilvl w:val="0"/>
                <w:numId w:val="35"/>
              </w:numPr>
              <w:rPr>
                <w:rFonts w:ascii="Times New Roman" w:eastAsia="MS Gothic" w:hAnsi="Times New Roman" w:cs="Times New Roman"/>
                <w:szCs w:val="20"/>
                <w:lang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Default="004C2170" w:rsidP="004C2170">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 xml:space="preserve">Below are our comments for some of the fields. </w:t>
            </w:r>
          </w:p>
          <w:p w14:paraId="74B5DCCC" w14:textId="77777777" w:rsidR="004C2170" w:rsidRDefault="004C2170" w:rsidP="004C2170">
            <w:pPr>
              <w:pStyle w:val="afc"/>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2 : we prefer Rapporteur version (i.e. having it within ServingCellConfig) – it makes the association between sets and scheduling cell straightforward.</w:t>
            </w:r>
          </w:p>
          <w:p w14:paraId="7FE48341" w14:textId="77777777" w:rsidR="004C2170" w:rsidRDefault="004C2170" w:rsidP="004C2170">
            <w:pPr>
              <w:pStyle w:val="afc"/>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Default="004C2170" w:rsidP="004C2170">
            <w:pPr>
              <w:pStyle w:val="afc"/>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31F98FB9" w14:textId="34551D82" w:rsidR="004C2170" w:rsidRPr="004C2170" w:rsidRDefault="004C2170" w:rsidP="004C2170">
            <w:pPr>
              <w:pStyle w:val="afc"/>
              <w:numPr>
                <w:ilvl w:val="0"/>
                <w:numId w:val="38"/>
              </w:numPr>
              <w:rPr>
                <w:rFonts w:ascii="Times New Roman" w:eastAsia="MS Gothic" w:hAnsi="Times New Roman" w:cs="Times New Roman"/>
                <w:szCs w:val="20"/>
                <w:lang w:val="de-DE" w:eastAsia="ko-KR"/>
              </w:rPr>
            </w:pPr>
            <w:r w:rsidRPr="004C2170">
              <w:rPr>
                <w:rFonts w:ascii="Times New Roman" w:eastAsia="MS Gothic" w:hAnsi="Times New Roman" w:cs="Times New Roman" w:hint="eastAsia"/>
                <w:szCs w:val="20"/>
                <w:lang w:eastAsia="ja-JP"/>
              </w:rPr>
              <w:t>R</w:t>
            </w:r>
            <w:r w:rsidRPr="004C2170">
              <w:rPr>
                <w:rFonts w:ascii="Times New Roman" w:eastAsia="MS Gothic" w:hAnsi="Times New Roman" w:cs="Times New Roman"/>
                <w:szCs w:val="20"/>
                <w:lang w:eastAsia="ja-JP"/>
              </w:rPr>
              <w:t>ow 29-46: We share similar view as ZTE and Qualcomm</w:t>
            </w:r>
            <w:r>
              <w:rPr>
                <w:rFonts w:ascii="Times New Roman" w:eastAsia="MS Gothic" w:hAnsi="Times New Roman" w:cs="Times New Roman"/>
                <w:szCs w:val="20"/>
                <w:lang w:val="en-US" w:eastAsia="ja-JP"/>
              </w:rPr>
              <w:t xml:space="preserve"> and prefer the </w:t>
            </w:r>
            <w:r w:rsidRPr="004C2170">
              <w:rPr>
                <w:rFonts w:ascii="Times New Roman" w:eastAsia="MS Gothic" w:hAnsi="Times New Roman" w:cs="Times New Roman"/>
                <w:szCs w:val="20"/>
                <w:lang w:eastAsia="ja-JP"/>
              </w:rPr>
              <w:t>configur</w:t>
            </w:r>
            <w:r>
              <w:rPr>
                <w:rFonts w:ascii="Times New Roman" w:eastAsia="MS Gothic" w:hAnsi="Times New Roman" w:cs="Times New Roman"/>
                <w:szCs w:val="20"/>
                <w:lang w:val="en-US" w:eastAsia="ja-JP"/>
              </w:rPr>
              <w:t>ing of</w:t>
            </w:r>
            <w:r w:rsidRPr="004C2170">
              <w:rPr>
                <w:rFonts w:ascii="Times New Roman" w:eastAsia="MS Gothic" w:hAnsi="Times New Roman" w:cs="Times New Roman"/>
                <w:szCs w:val="20"/>
                <w:lang w:eastAsia="ja-JP"/>
              </w:rPr>
              <w:t xml:space="preserve"> the needed information (that is looked up based on the joint index) </w:t>
            </w:r>
            <w:r w:rsidRPr="004C2170">
              <w:rPr>
                <w:rFonts w:ascii="Times New Roman" w:eastAsia="MS Gothic" w:hAnsi="Times New Roman" w:cs="Times New Roman"/>
                <w:szCs w:val="20"/>
                <w:lang w:eastAsia="ja-JP"/>
              </w:rPr>
              <w:lastRenderedPageBreak/>
              <w:t xml:space="preserve">in the respective BWP of respective cell – this would be aligned with current RRC framework and avoids unnecessary cross-referencing of IEs for MC-DCI. </w:t>
            </w:r>
          </w:p>
        </w:tc>
      </w:tr>
      <w:tr w:rsidR="002706F6" w:rsidRPr="00C0209A" w14:paraId="70585131" w14:textId="77777777" w:rsidTr="002706F6">
        <w:tc>
          <w:tcPr>
            <w:tcW w:w="1490" w:type="dxa"/>
          </w:tcPr>
          <w:p w14:paraId="5D68B6DD" w14:textId="77777777" w:rsidR="002706F6" w:rsidRDefault="002706F6" w:rsidP="002706F6">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153C305A" w14:textId="23315071" w:rsidR="002706F6" w:rsidRPr="00B81072" w:rsidRDefault="002706F6" w:rsidP="002706F6">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MS Gothic" w:hAnsi="Times New Roman" w:cs="Times New Roman" w:hint="eastAsia"/>
                <w:szCs w:val="20"/>
                <w:lang w:val="en-US" w:eastAsia="ko-KR"/>
              </w:rPr>
              <w:t>If I understand correctly, the method</w:t>
            </w:r>
            <w:r>
              <w:rPr>
                <w:rFonts w:ascii="Times New Roman" w:eastAsia="MS Gothic" w:hAnsi="Times New Roman" w:cs="Times New Roman"/>
                <w:szCs w:val="20"/>
                <w:lang w:val="en-US" w:eastAsia="ko-KR"/>
              </w:rPr>
              <w:t>s</w:t>
            </w:r>
            <w:r>
              <w:rPr>
                <w:rFonts w:ascii="Times New Roman" w:eastAsia="MS Gothic" w:hAnsi="Times New Roman" w:cs="Times New Roman" w:hint="eastAsia"/>
                <w:szCs w:val="20"/>
                <w:lang w:val="en-US" w:eastAsia="ko-KR"/>
              </w:rPr>
              <w:t xml:space="preserve"> being p</w:t>
            </w:r>
            <w:r>
              <w:rPr>
                <w:rFonts w:ascii="Times New Roman" w:eastAsia="MS Gothic" w:hAnsi="Times New Roman" w:cs="Times New Roman"/>
                <w:szCs w:val="20"/>
                <w:lang w:val="en-US" w:eastAsia="ko-KR"/>
              </w:rPr>
              <w:t>roposed from the companies are below.</w:t>
            </w:r>
          </w:p>
          <w:p w14:paraId="26F4B6EB" w14:textId="555D688C" w:rsidR="002706F6" w:rsidRDefault="002706F6" w:rsidP="002706F6">
            <w:pPr>
              <w:pStyle w:val="afc"/>
              <w:numPr>
                <w:ilvl w:val="0"/>
                <w:numId w:val="17"/>
              </w:numPr>
              <w:rPr>
                <w:rFonts w:ascii="Times New Roman" w:eastAsia="SimSun" w:hAnsi="Times New Roman" w:cs="Times New Roman"/>
                <w:szCs w:val="20"/>
                <w:lang w:val="de-DE" w:eastAsia="ko-KR"/>
              </w:rPr>
            </w:pPr>
            <w:r>
              <w:rPr>
                <w:rFonts w:ascii="Times New Roman" w:eastAsia="SimSun" w:hAnsi="Times New Roman" w:cs="Times New Roman" w:hint="eastAsia"/>
                <w:szCs w:val="20"/>
                <w:lang w:val="de-DE" w:eastAsia="ko-KR"/>
              </w:rPr>
              <w:t>Method 1</w:t>
            </w:r>
            <w:r>
              <w:rPr>
                <w:rFonts w:ascii="Times New Roman" w:eastAsia="SimSun" w:hAnsi="Times New Roman" w:cs="Times New Roman"/>
                <w:szCs w:val="20"/>
                <w:lang w:val="de-DE" w:eastAsia="ko-KR"/>
              </w:rPr>
              <w:t xml:space="preserve"> (by ZTE)</w:t>
            </w:r>
            <w:r>
              <w:rPr>
                <w:rFonts w:ascii="Times New Roman" w:eastAsia="SimSun" w:hAnsi="Times New Roman" w:cs="Times New Roman" w:hint="eastAsia"/>
                <w:szCs w:val="20"/>
                <w:lang w:val="de-DE" w:eastAsia="ko-KR"/>
              </w:rPr>
              <w:t>:</w:t>
            </w:r>
            <w:r>
              <w:rPr>
                <w:rFonts w:ascii="Times New Roman" w:eastAsia="SimSun" w:hAnsi="Times New Roman" w:cs="Times New Roman"/>
                <w:szCs w:val="20"/>
                <w:lang w:val="de-DE" w:eastAsia="ko-KR"/>
              </w:rPr>
              <w:t xml:space="preserve"> configure</w:t>
            </w:r>
            <w:r>
              <w:rPr>
                <w:rFonts w:ascii="Times New Roman" w:eastAsia="SimSun" w:hAnsi="Times New Roman" w:cs="Times New Roman" w:hint="eastAsia"/>
                <w:szCs w:val="20"/>
                <w:lang w:val="de-DE" w:eastAsia="ko-KR"/>
              </w:rPr>
              <w:t xml:space="preserve"> </w:t>
            </w:r>
            <w:r>
              <w:rPr>
                <w:rFonts w:ascii="Times New Roman" w:eastAsia="SimSun" w:hAnsi="Times New Roman" w:cs="Times New Roman"/>
                <w:szCs w:val="20"/>
                <w:lang w:val="de-DE" w:eastAsia="ko-KR"/>
              </w:rPr>
              <w:t xml:space="preserve">up to 4 </w:t>
            </w:r>
            <w:r>
              <w:rPr>
                <w:rFonts w:ascii="Times New Roman" w:eastAsia="SimSun" w:hAnsi="Times New Roman" w:cs="Times New Roman" w:hint="eastAsia"/>
                <w:szCs w:val="20"/>
                <w:lang w:val="de-DE" w:eastAsia="ko-KR"/>
              </w:rPr>
              <w:t>multi-cell joint table</w:t>
            </w:r>
            <w:r>
              <w:rPr>
                <w:rFonts w:ascii="Times New Roman" w:eastAsia="SimSun" w:hAnsi="Times New Roman" w:cs="Times New Roman"/>
                <w:szCs w:val="20"/>
                <w:lang w:val="de-DE" w:eastAsia="ko-KR"/>
              </w:rPr>
              <w:t xml:space="preserve">s according to </w:t>
            </w:r>
            <w:r w:rsidR="00CF4A5C">
              <w:rPr>
                <w:rFonts w:ascii="Times New Roman" w:eastAsia="SimSun" w:hAnsi="Times New Roman" w:cs="Times New Roman"/>
                <w:szCs w:val="20"/>
                <w:lang w:val="de-DE" w:eastAsia="ko-KR"/>
              </w:rPr>
              <w:t xml:space="preserve">possible </w:t>
            </w:r>
            <w:r>
              <w:rPr>
                <w:rFonts w:ascii="Times New Roman" w:eastAsia="SimSun" w:hAnsi="Times New Roman" w:cs="Times New Roman"/>
                <w:szCs w:val="20"/>
                <w:lang w:val="de-DE" w:eastAsia="ko-KR"/>
              </w:rPr>
              <w:t>combination</w:t>
            </w:r>
            <w:r w:rsidR="00CF4A5C">
              <w:rPr>
                <w:rFonts w:ascii="Times New Roman" w:eastAsia="SimSun" w:hAnsi="Times New Roman" w:cs="Times New Roman"/>
                <w:szCs w:val="20"/>
                <w:lang w:val="de-DE" w:eastAsia="ko-KR"/>
              </w:rPr>
              <w:t>s</w:t>
            </w:r>
            <w:r>
              <w:rPr>
                <w:rFonts w:ascii="Times New Roman" w:eastAsia="SimSun" w:hAnsi="Times New Roman" w:cs="Times New Roman"/>
                <w:szCs w:val="20"/>
                <w:lang w:val="de-DE" w:eastAsia="ko-KR"/>
              </w:rPr>
              <w:t xml:space="preserve"> of active BWPs across cells in a set.</w:t>
            </w:r>
          </w:p>
          <w:p w14:paraId="7D1C45F2" w14:textId="34E57EB4" w:rsidR="002706F6" w:rsidRDefault="002706F6" w:rsidP="002706F6">
            <w:pPr>
              <w:pStyle w:val="afc"/>
              <w:numPr>
                <w:ilvl w:val="0"/>
                <w:numId w:val="17"/>
              </w:numPr>
              <w:rPr>
                <w:rFonts w:ascii="Times New Roman" w:eastAsia="SimSun" w:hAnsi="Times New Roman" w:cs="Times New Roman"/>
                <w:szCs w:val="20"/>
                <w:lang w:val="de-DE" w:eastAsia="ko-KR"/>
              </w:rPr>
            </w:pPr>
            <w:r>
              <w:rPr>
                <w:rFonts w:ascii="Times New Roman" w:eastAsia="SimSun" w:hAnsi="Times New Roman" w:cs="Times New Roman"/>
                <w:szCs w:val="20"/>
                <w:lang w:val="de-DE" w:eastAsia="ko-KR"/>
              </w:rPr>
              <w:t xml:space="preserve">Method 2 (by QC): configure single-cell colmun per BWP per cell, and </w:t>
            </w:r>
            <w:r w:rsidR="00CF4A5C">
              <w:rPr>
                <w:rFonts w:ascii="Times New Roman" w:eastAsia="SimSun" w:hAnsi="Times New Roman" w:cs="Times New Roman"/>
                <w:szCs w:val="20"/>
                <w:lang w:val="de-DE" w:eastAsia="ko-KR"/>
              </w:rPr>
              <w:t>the indicated DCI code-point is interpreted per cell.</w:t>
            </w:r>
          </w:p>
          <w:p w14:paraId="633A879F" w14:textId="7B8093C7" w:rsidR="00CF4A5C" w:rsidRDefault="00CF4A5C" w:rsidP="002706F6">
            <w:pPr>
              <w:pStyle w:val="afc"/>
              <w:numPr>
                <w:ilvl w:val="0"/>
                <w:numId w:val="17"/>
              </w:numPr>
              <w:rPr>
                <w:rFonts w:ascii="Times New Roman" w:eastAsia="SimSun" w:hAnsi="Times New Roman" w:cs="Times New Roman"/>
                <w:szCs w:val="20"/>
                <w:lang w:val="de-DE" w:eastAsia="ko-KR"/>
              </w:rPr>
            </w:pPr>
            <w:r>
              <w:rPr>
                <w:rFonts w:ascii="Times New Roman" w:eastAsia="SimSun" w:hAnsi="Times New Roman" w:cs="Times New Roman"/>
                <w:szCs w:val="20"/>
                <w:lang w:val="de-DE" w:eastAsia="ko-KR"/>
              </w:rPr>
              <w:t>Method 3 (by HW): configure only one multi-cell joint table, and the entries within the table are interpreted based on current active BWPs per cell</w:t>
            </w:r>
          </w:p>
          <w:p w14:paraId="33A7E422" w14:textId="77777777" w:rsidR="00CF4A5C" w:rsidRPr="00CF4A5C" w:rsidRDefault="00CF4A5C" w:rsidP="00CF4A5C">
            <w:pPr>
              <w:rPr>
                <w:rFonts w:ascii="Times New Roman" w:eastAsiaTheme="minorEastAsia" w:hAnsi="Times New Roman" w:cs="Times New Roman" w:hint="eastAsia"/>
                <w:szCs w:val="20"/>
                <w:lang w:eastAsia="ko-KR"/>
              </w:rPr>
            </w:pPr>
          </w:p>
          <w:p w14:paraId="78AA9C75" w14:textId="77777777" w:rsidR="00CF4A5C" w:rsidRDefault="00CF4A5C" w:rsidP="002706F6">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W</w:t>
            </w:r>
            <w:r>
              <w:rPr>
                <w:rFonts w:ascii="Times New Roman" w:eastAsia="MS Gothic" w:hAnsi="Times New Roman" w:cs="Times New Roman" w:hint="eastAsia"/>
                <w:szCs w:val="20"/>
                <w:lang w:eastAsia="ko-KR"/>
              </w:rPr>
              <w:t>e are open to discuss the methods</w:t>
            </w:r>
            <w:r>
              <w:rPr>
                <w:rFonts w:ascii="Times New Roman" w:eastAsia="MS Gothic" w:hAnsi="Times New Roman" w:cs="Times New Roman"/>
                <w:szCs w:val="20"/>
                <w:lang w:eastAsia="ko-KR"/>
              </w:rPr>
              <w:t>, but would like to clarify:</w:t>
            </w:r>
          </w:p>
          <w:p w14:paraId="4C33D4BB" w14:textId="4645010E" w:rsidR="002706F6" w:rsidRDefault="00CF4A5C" w:rsidP="00CF4A5C">
            <w:pPr>
              <w:pStyle w:val="afc"/>
              <w:numPr>
                <w:ilvl w:val="0"/>
                <w:numId w:val="17"/>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W</w:t>
            </w:r>
            <w:r w:rsidRPr="00CF4A5C">
              <w:rPr>
                <w:rFonts w:ascii="Times New Roman" w:eastAsia="MS Gothic" w:hAnsi="Times New Roman" w:cs="Times New Roman"/>
                <w:szCs w:val="20"/>
                <w:lang w:val="de-DE" w:eastAsia="ko-KR"/>
              </w:rPr>
              <w:t>hether the method is distinguished from Type 1A</w:t>
            </w:r>
            <w:r>
              <w:rPr>
                <w:rFonts w:ascii="Times New Roman" w:eastAsia="MS Gothic" w:hAnsi="Times New Roman" w:cs="Times New Roman"/>
                <w:szCs w:val="20"/>
                <w:lang w:val="de-DE" w:eastAsia="ko-KR"/>
              </w:rPr>
              <w:t xml:space="preserve"> field interpretation</w:t>
            </w:r>
          </w:p>
          <w:p w14:paraId="10ABF304" w14:textId="77777777" w:rsidR="002706F6" w:rsidRDefault="00CF4A5C" w:rsidP="002706F6">
            <w:pPr>
              <w:pStyle w:val="afc"/>
              <w:numPr>
                <w:ilvl w:val="0"/>
                <w:numId w:val="17"/>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How to handle the cell(s) not configured with dynamic BWP indicator</w:t>
            </w:r>
          </w:p>
          <w:p w14:paraId="447C51BB" w14:textId="2E626AE7" w:rsidR="00CF4A5C" w:rsidRPr="00CF4A5C" w:rsidRDefault="00CF4A5C" w:rsidP="00CF4A5C">
            <w:pPr>
              <w:rPr>
                <w:rFonts w:ascii="Times New Roman" w:eastAsiaTheme="minorEastAsia" w:hAnsi="Times New Roman" w:cs="Times New Roman" w:hint="eastAsia"/>
                <w:szCs w:val="20"/>
                <w:lang w:eastAsia="ko-KR"/>
              </w:rPr>
            </w:pPr>
            <w:bookmarkStart w:id="4" w:name="_GoBack"/>
            <w:bookmarkEnd w:id="4"/>
          </w:p>
        </w:tc>
      </w:tr>
    </w:tbl>
    <w:p w14:paraId="753DB64A" w14:textId="44413E5F" w:rsidR="00F16B72" w:rsidRPr="00C20F83" w:rsidRDefault="00F16B72">
      <w:pPr>
        <w:rPr>
          <w:lang w:eastAsia="zh-CN"/>
        </w:rPr>
      </w:pPr>
    </w:p>
    <w:p w14:paraId="5B872D24" w14:textId="77777777" w:rsidR="00F16B72" w:rsidRPr="00AA207F" w:rsidRDefault="00DE121C">
      <w:pPr>
        <w:pStyle w:val="31"/>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af4"/>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4"/>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4"/>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31"/>
        <w:rPr>
          <w:color w:val="E7E6E6" w:themeColor="background2"/>
          <w:lang w:val="sv-SE"/>
        </w:rPr>
      </w:pPr>
      <w:r>
        <w:rPr>
          <w:color w:val="E7E6E6" w:themeColor="background2"/>
          <w:lang w:val="sv-SE"/>
        </w:rPr>
        <w:lastRenderedPageBreak/>
        <w:t>2.1.7</w:t>
      </w:r>
      <w:r>
        <w:rPr>
          <w:color w:val="E7E6E6" w:themeColor="background2"/>
          <w:lang w:val="sv-SE"/>
        </w:rPr>
        <w:tab/>
        <w:t>RedCap (WI code: NR_redcap_enh)</w:t>
      </w:r>
    </w:p>
    <w:tbl>
      <w:tblPr>
        <w:tblStyle w:val="af4"/>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31"/>
        <w:rPr>
          <w:color w:val="E7E6E6" w:themeColor="background2"/>
        </w:rPr>
      </w:pPr>
      <w:r>
        <w:rPr>
          <w:color w:val="E7E6E6" w:themeColor="background2"/>
        </w:rPr>
        <w:t>2.1.8</w:t>
      </w:r>
      <w:r>
        <w:rPr>
          <w:color w:val="E7E6E6" w:themeColor="background2"/>
        </w:rPr>
        <w:tab/>
        <w:t>NES (WI code: Netw_Energy_NR)</w:t>
      </w:r>
    </w:p>
    <w:tbl>
      <w:tblPr>
        <w:tblStyle w:val="af4"/>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31"/>
        <w:rPr>
          <w:color w:val="E7E6E6" w:themeColor="background2"/>
        </w:rPr>
      </w:pPr>
      <w:r>
        <w:rPr>
          <w:color w:val="E7E6E6" w:themeColor="background2"/>
        </w:rPr>
        <w:t>2.1.9</w:t>
      </w:r>
      <w:r>
        <w:rPr>
          <w:color w:val="E7E6E6" w:themeColor="background2"/>
        </w:rPr>
        <w:tab/>
        <w:t>CovEnh (WI code: NR_cov_enh2)</w:t>
      </w:r>
    </w:p>
    <w:tbl>
      <w:tblPr>
        <w:tblStyle w:val="af4"/>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4"/>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4"/>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31"/>
        <w:rPr>
          <w:color w:val="E7E6E6" w:themeColor="background2"/>
        </w:rPr>
      </w:pPr>
      <w:r>
        <w:rPr>
          <w:color w:val="E7E6E6" w:themeColor="background2"/>
        </w:rPr>
        <w:lastRenderedPageBreak/>
        <w:t>2.1.12</w:t>
      </w:r>
      <w:r>
        <w:rPr>
          <w:color w:val="E7E6E6" w:themeColor="background2"/>
        </w:rPr>
        <w:tab/>
        <w:t>Mobility (WI code: NR_Mob_enh2)</w:t>
      </w:r>
    </w:p>
    <w:tbl>
      <w:tblPr>
        <w:tblStyle w:val="af4"/>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4"/>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31"/>
      </w:pPr>
      <w:r>
        <w:t>2.1.14</w:t>
      </w:r>
      <w:r>
        <w:tab/>
        <w:t>BWP w/out Restriction (WI code: BWP_wor)</w:t>
      </w:r>
    </w:p>
    <w:tbl>
      <w:tblPr>
        <w:tblStyle w:val="af4"/>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af4"/>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2"/>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2"/>
              <w:ind w:left="0"/>
              <w:rPr>
                <w:rFonts w:ascii="Times New Roman" w:eastAsiaTheme="minorEastAsia" w:hAnsi="Times New Roman" w:cs="Times New Roman"/>
                <w:szCs w:val="20"/>
                <w:lang w:val="en-US" w:eastAsia="zh-CN"/>
              </w:rPr>
            </w:pPr>
          </w:p>
          <w:p w14:paraId="680DB4C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2"/>
              <w:ind w:left="0"/>
              <w:rPr>
                <w:rFonts w:ascii="Times New Roman" w:eastAsiaTheme="minorEastAsia" w:hAnsi="Times New Roman" w:cs="Times New Roman"/>
                <w:szCs w:val="20"/>
                <w:lang w:val="en-US" w:eastAsia="zh-CN"/>
              </w:rPr>
            </w:pPr>
          </w:p>
          <w:p w14:paraId="6AD504A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2"/>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2"/>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2"/>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2"/>
              <w:rPr>
                <w:rFonts w:ascii="Times New Roman" w:eastAsia="Times New Roman" w:hAnsi="Times New Roman" w:cs="Times New Roman"/>
                <w:szCs w:val="20"/>
                <w:lang w:val="en-GB" w:eastAsia="ja-JP"/>
              </w:rPr>
            </w:pPr>
          </w:p>
          <w:p w14:paraId="54ABAC19" w14:textId="28CFE8BF" w:rsidR="006A0E5A" w:rsidRDefault="006A0E5A" w:rsidP="006A0E5A">
            <w:pPr>
              <w:pStyle w:val="12"/>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4"/>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4"/>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31"/>
        <w:rPr>
          <w:lang w:val="en-US"/>
        </w:rPr>
      </w:pPr>
      <w:r>
        <w:rPr>
          <w:lang w:val="en-US"/>
        </w:rPr>
        <w:t>2.1.17</w:t>
      </w:r>
      <w:r>
        <w:rPr>
          <w:lang w:val="en-US"/>
        </w:rPr>
        <w:tab/>
        <w:t>TEI (WI code: TEI18)</w:t>
      </w:r>
    </w:p>
    <w:tbl>
      <w:tblPr>
        <w:tblStyle w:val="af4"/>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2"/>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21"/>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af9"/>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af4"/>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2"/>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21"/>
        <w:shd w:val="clear" w:color="auto" w:fill="92D050"/>
      </w:pPr>
      <w:r>
        <w:lastRenderedPageBreak/>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2"/>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1"/>
      </w:pPr>
      <w:bookmarkStart w:id="5" w:name="_Ref85396968"/>
      <w:bookmarkEnd w:id="1"/>
      <w:r>
        <w:t>3</w:t>
      </w:r>
      <w:r>
        <w:tab/>
        <w:t>Conclusion</w:t>
      </w:r>
      <w:bookmarkEnd w:id="5"/>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1"/>
      </w:pPr>
      <w:bookmarkStart w:id="6" w:name="_Ref85396938"/>
      <w:r>
        <w:t>4</w:t>
      </w:r>
      <w:r>
        <w:tab/>
        <w:t>References</w:t>
      </w:r>
      <w:bookmarkEnd w:id="6"/>
    </w:p>
    <w:p w14:paraId="53044CE4" w14:textId="77777777" w:rsidR="00F16B72" w:rsidRDefault="00DE121C">
      <w:pPr>
        <w:pStyle w:val="Reference"/>
        <w:rPr>
          <w:szCs w:val="20"/>
          <w:lang w:val="en-GB"/>
        </w:rPr>
      </w:pPr>
      <w:bookmarkStart w:id="7" w:name="_Ref132320636"/>
      <w:bookmarkStart w:id="8" w:name="_Ref85413373"/>
      <w:bookmarkStart w:id="9" w:name="_Ref89073698"/>
      <w:r>
        <w:rPr>
          <w:rFonts w:cs="Arial"/>
          <w:szCs w:val="20"/>
        </w:rPr>
        <w:t>R1-2303292</w:t>
      </w:r>
      <w:r>
        <w:rPr>
          <w:rFonts w:cs="Arial"/>
          <w:szCs w:val="20"/>
        </w:rPr>
        <w:tab/>
      </w:r>
      <w:r>
        <w:rPr>
          <w:rFonts w:cs="Arial"/>
          <w:szCs w:val="20"/>
        </w:rPr>
        <w:tab/>
        <w:t>Discussion on the higher layer parameters for NCR; Rapporteur (ZTE)</w:t>
      </w:r>
      <w:bookmarkEnd w:id="7"/>
    </w:p>
    <w:p w14:paraId="67069760" w14:textId="77777777" w:rsidR="00F16B72" w:rsidRDefault="00DE121C">
      <w:pPr>
        <w:pStyle w:val="Reference"/>
        <w:rPr>
          <w:szCs w:val="20"/>
          <w:lang w:val="en-GB"/>
        </w:rPr>
      </w:pPr>
      <w:bookmarkStart w:id="10"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0"/>
    </w:p>
    <w:p w14:paraId="02EA21D5" w14:textId="77777777" w:rsidR="00F16B72" w:rsidRDefault="00DE121C">
      <w:pPr>
        <w:pStyle w:val="Reference"/>
        <w:rPr>
          <w:szCs w:val="20"/>
          <w:lang w:val="en-GB"/>
        </w:rPr>
      </w:pPr>
      <w:bookmarkStart w:id="11"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1"/>
    </w:p>
    <w:p w14:paraId="6B20A7B1" w14:textId="77777777" w:rsidR="00F16B72" w:rsidRDefault="00DE121C">
      <w:pPr>
        <w:pStyle w:val="Reference"/>
        <w:rPr>
          <w:szCs w:val="20"/>
          <w:lang w:val="en-GB"/>
        </w:rPr>
      </w:pPr>
      <w:bookmarkStart w:id="12"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2"/>
    </w:p>
    <w:p w14:paraId="5ECE1DCC" w14:textId="77777777" w:rsidR="00F16B72" w:rsidRDefault="00DE121C">
      <w:pPr>
        <w:pStyle w:val="Reference"/>
        <w:rPr>
          <w:szCs w:val="20"/>
          <w:lang w:val="en-GB"/>
        </w:rPr>
      </w:pPr>
      <w:bookmarkStart w:id="13" w:name="_Ref132320864"/>
      <w:r>
        <w:rPr>
          <w:rFonts w:cs="Arial"/>
          <w:szCs w:val="20"/>
        </w:rPr>
        <w:t>R1-2303284</w:t>
      </w:r>
      <w:r>
        <w:rPr>
          <w:rFonts w:cs="Arial"/>
          <w:szCs w:val="20"/>
        </w:rPr>
        <w:tab/>
      </w:r>
      <w:r>
        <w:rPr>
          <w:rFonts w:cs="Arial"/>
          <w:szCs w:val="20"/>
        </w:rPr>
        <w:tab/>
        <w:t>On the agreed TEI proposal of 1-symbol PRS; ZTE</w:t>
      </w:r>
      <w:bookmarkEnd w:id="13"/>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8"/>
      <w:bookmarkEnd w:id="9"/>
    </w:p>
    <w:p w14:paraId="2DA33715" w14:textId="77777777" w:rsidR="00F16B72" w:rsidRDefault="00DE121C">
      <w:pPr>
        <w:pStyle w:val="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21"/>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af4"/>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af2"/>
              <w:numPr>
                <w:ilvl w:val="0"/>
                <w:numId w:val="27"/>
              </w:numPr>
              <w:rPr>
                <w:b/>
                <w:bCs/>
                <w:sz w:val="22"/>
                <w:szCs w:val="22"/>
              </w:rPr>
            </w:pPr>
            <w:r>
              <w:rPr>
                <w:b/>
                <w:bCs/>
                <w:sz w:val="22"/>
                <w:szCs w:val="22"/>
              </w:rPr>
              <w:lastRenderedPageBreak/>
              <w:t>9.18 (Other)</w:t>
            </w:r>
          </w:p>
          <w:p w14:paraId="31B54972" w14:textId="77777777" w:rsidR="00F16B72" w:rsidRDefault="00DE121C">
            <w:pPr>
              <w:pStyle w:val="af2"/>
              <w:numPr>
                <w:ilvl w:val="1"/>
                <w:numId w:val="27"/>
              </w:numPr>
              <w:rPr>
                <w:b/>
                <w:bCs/>
                <w:sz w:val="22"/>
                <w:szCs w:val="22"/>
              </w:rPr>
            </w:pPr>
            <w:r>
              <w:rPr>
                <w:b/>
                <w:bCs/>
                <w:sz w:val="22"/>
                <w:szCs w:val="22"/>
              </w:rPr>
              <w:t xml:space="preserve">[112b-e-R18-RRC] </w:t>
            </w:r>
          </w:p>
          <w:p w14:paraId="12CF73CE" w14:textId="77777777" w:rsidR="00F16B72" w:rsidRDefault="00DE121C">
            <w:pPr>
              <w:pStyle w:val="af2"/>
              <w:numPr>
                <w:ilvl w:val="2"/>
                <w:numId w:val="27"/>
              </w:numPr>
              <w:rPr>
                <w:b/>
                <w:bCs/>
                <w:sz w:val="22"/>
                <w:szCs w:val="22"/>
              </w:rPr>
            </w:pPr>
            <w:r>
              <w:rPr>
                <w:b/>
                <w:bCs/>
                <w:sz w:val="22"/>
                <w:szCs w:val="22"/>
              </w:rPr>
              <w:t>Information and Instructions</w:t>
            </w:r>
          </w:p>
          <w:p w14:paraId="3B9A7410" w14:textId="77777777" w:rsidR="00F16B72" w:rsidRDefault="00DE121C">
            <w:pPr>
              <w:pStyle w:val="af2"/>
              <w:numPr>
                <w:ilvl w:val="2"/>
                <w:numId w:val="27"/>
              </w:numPr>
              <w:rPr>
                <w:b/>
                <w:bCs/>
                <w:sz w:val="22"/>
                <w:szCs w:val="22"/>
              </w:rPr>
            </w:pPr>
            <w:r>
              <w:rPr>
                <w:b/>
                <w:bCs/>
                <w:sz w:val="22"/>
                <w:szCs w:val="22"/>
              </w:rPr>
              <w:t>Collection of RRC parameters</w:t>
            </w:r>
          </w:p>
          <w:p w14:paraId="2F635591" w14:textId="77777777" w:rsidR="00F16B72" w:rsidRDefault="00DE121C">
            <w:pPr>
              <w:pStyle w:val="af2"/>
              <w:numPr>
                <w:ilvl w:val="2"/>
                <w:numId w:val="27"/>
              </w:numPr>
              <w:rPr>
                <w:b/>
                <w:bCs/>
                <w:sz w:val="22"/>
                <w:szCs w:val="22"/>
              </w:rPr>
            </w:pPr>
            <w:r>
              <w:rPr>
                <w:b/>
                <w:bCs/>
                <w:sz w:val="22"/>
                <w:szCs w:val="22"/>
              </w:rPr>
              <w:t>Draft LS</w:t>
            </w:r>
          </w:p>
          <w:p w14:paraId="10D667A8" w14:textId="77777777" w:rsidR="00F16B72" w:rsidRDefault="00DE121C">
            <w:pPr>
              <w:pStyle w:val="af2"/>
              <w:numPr>
                <w:ilvl w:val="2"/>
                <w:numId w:val="27"/>
              </w:numPr>
              <w:rPr>
                <w:b/>
                <w:bCs/>
                <w:sz w:val="22"/>
                <w:szCs w:val="22"/>
              </w:rPr>
            </w:pPr>
            <w:r>
              <w:rPr>
                <w:b/>
                <w:bCs/>
                <w:sz w:val="22"/>
                <w:szCs w:val="22"/>
              </w:rPr>
              <w:t>Final output</w:t>
            </w:r>
          </w:p>
          <w:p w14:paraId="0C53528E" w14:textId="77777777" w:rsidR="00F16B72" w:rsidRDefault="00DE121C">
            <w:pPr>
              <w:pStyle w:val="af2"/>
              <w:numPr>
                <w:ilvl w:val="2"/>
                <w:numId w:val="27"/>
              </w:numPr>
              <w:rPr>
                <w:b/>
                <w:bCs/>
                <w:sz w:val="22"/>
                <w:szCs w:val="22"/>
              </w:rPr>
            </w:pPr>
            <w:r>
              <w:rPr>
                <w:b/>
                <w:bCs/>
                <w:sz w:val="22"/>
                <w:szCs w:val="22"/>
              </w:rPr>
              <w:t>ForRapporteursUseOnly</w:t>
            </w:r>
          </w:p>
          <w:p w14:paraId="7392BFBD" w14:textId="77777777" w:rsidR="00F16B72" w:rsidRDefault="00DE121C">
            <w:pPr>
              <w:pStyle w:val="af2"/>
              <w:numPr>
                <w:ilvl w:val="3"/>
                <w:numId w:val="27"/>
              </w:numPr>
              <w:rPr>
                <w:b/>
                <w:bCs/>
                <w:sz w:val="22"/>
                <w:szCs w:val="22"/>
              </w:rPr>
            </w:pPr>
            <w:r>
              <w:rPr>
                <w:b/>
                <w:bCs/>
                <w:sz w:val="22"/>
                <w:szCs w:val="22"/>
              </w:rPr>
              <w:t xml:space="preserve">[112b-e-R18-RRC-NCR] </w:t>
            </w:r>
          </w:p>
          <w:p w14:paraId="5FD2B1AA" w14:textId="77777777" w:rsidR="00F16B72" w:rsidRDefault="00DE121C">
            <w:pPr>
              <w:pStyle w:val="af2"/>
              <w:numPr>
                <w:ilvl w:val="3"/>
                <w:numId w:val="27"/>
              </w:numPr>
              <w:rPr>
                <w:b/>
                <w:bCs/>
                <w:sz w:val="22"/>
                <w:szCs w:val="22"/>
              </w:rPr>
            </w:pPr>
            <w:r>
              <w:rPr>
                <w:b/>
                <w:bCs/>
                <w:sz w:val="22"/>
                <w:szCs w:val="22"/>
              </w:rPr>
              <w:t xml:space="preserve">[112b-e-R18-RRC-eDSS] </w:t>
            </w:r>
          </w:p>
          <w:p w14:paraId="30F6B847" w14:textId="77777777" w:rsidR="00F16B72" w:rsidRDefault="00DE121C">
            <w:pPr>
              <w:pStyle w:val="af2"/>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af2"/>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af2"/>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af2"/>
        <w:numPr>
          <w:ilvl w:val="0"/>
          <w:numId w:val="29"/>
        </w:numPr>
        <w:rPr>
          <w:b/>
          <w:bCs/>
          <w:sz w:val="22"/>
          <w:szCs w:val="22"/>
        </w:rPr>
      </w:pPr>
      <w:r>
        <w:rPr>
          <w:b/>
          <w:bCs/>
          <w:sz w:val="22"/>
          <w:szCs w:val="22"/>
        </w:rPr>
        <w:t>ForRapporteursUseOnly</w:t>
      </w:r>
    </w:p>
    <w:p w14:paraId="2C3E0CA0" w14:textId="77777777" w:rsidR="00F16B72" w:rsidRDefault="00DE121C">
      <w:pPr>
        <w:pStyle w:val="af2"/>
        <w:numPr>
          <w:ilvl w:val="1"/>
          <w:numId w:val="29"/>
        </w:numPr>
        <w:rPr>
          <w:b/>
          <w:bCs/>
          <w:sz w:val="22"/>
          <w:szCs w:val="22"/>
        </w:rPr>
      </w:pPr>
      <w:r>
        <w:rPr>
          <w:b/>
          <w:bCs/>
          <w:sz w:val="22"/>
          <w:szCs w:val="22"/>
        </w:rPr>
        <w:t xml:space="preserve">[112b-e-R18-RRC-NCR] </w:t>
      </w:r>
    </w:p>
    <w:p w14:paraId="63771CB5" w14:textId="77777777" w:rsidR="00F16B72" w:rsidRDefault="00DE121C">
      <w:pPr>
        <w:pStyle w:val="af2"/>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af2"/>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af2"/>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af2"/>
        <w:numPr>
          <w:ilvl w:val="1"/>
          <w:numId w:val="29"/>
        </w:numPr>
        <w:rPr>
          <w:b/>
          <w:bCs/>
          <w:sz w:val="22"/>
          <w:szCs w:val="22"/>
        </w:rPr>
      </w:pPr>
      <w:r>
        <w:rPr>
          <w:b/>
          <w:bCs/>
          <w:sz w:val="22"/>
          <w:szCs w:val="22"/>
        </w:rPr>
        <w:t>[112b-e-R18-RRC-TEI]</w:t>
      </w:r>
    </w:p>
    <w:p w14:paraId="43D6A285" w14:textId="77777777" w:rsidR="00F16B72" w:rsidRDefault="00DE121C">
      <w:pPr>
        <w:pStyle w:val="af2"/>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af2"/>
        <w:numPr>
          <w:ilvl w:val="0"/>
          <w:numId w:val="29"/>
        </w:numPr>
        <w:rPr>
          <w:sz w:val="22"/>
          <w:szCs w:val="22"/>
        </w:rPr>
      </w:pPr>
      <w:r>
        <w:rPr>
          <w:b/>
          <w:bCs/>
          <w:sz w:val="22"/>
          <w:szCs w:val="22"/>
        </w:rPr>
        <w:t>[112b-e-R18-RRC]</w:t>
      </w:r>
    </w:p>
    <w:p w14:paraId="7A47BC6D"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21"/>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31"/>
        <w:rPr>
          <w:color w:val="00B050"/>
        </w:rPr>
      </w:pPr>
      <w:r>
        <w:rPr>
          <w:color w:val="00B050"/>
        </w:rPr>
        <w:lastRenderedPageBreak/>
        <w:t>5.2.1</w:t>
      </w:r>
      <w:r>
        <w:rPr>
          <w:color w:val="00B050"/>
        </w:rPr>
        <w:tab/>
        <w:t>Initial step (Initial RRC list to kick-out activity):</w:t>
      </w:r>
    </w:p>
    <w:p w14:paraId="2B20984B"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af2"/>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af2"/>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af2"/>
        <w:rPr>
          <w:rFonts w:ascii="Times New Roman" w:hAnsi="Times New Roman" w:cs="Times New Roman"/>
          <w:b/>
          <w:bCs/>
          <w:color w:val="FF0000"/>
          <w:sz w:val="28"/>
          <w:szCs w:val="28"/>
        </w:rPr>
      </w:pPr>
    </w:p>
    <w:p w14:paraId="4EE3B492" w14:textId="77777777" w:rsidR="00F16B72" w:rsidRDefault="00DE121C">
      <w:pPr>
        <w:pStyle w:val="31"/>
        <w:rPr>
          <w:color w:val="00B050"/>
        </w:rPr>
      </w:pPr>
      <w:r>
        <w:rPr>
          <w:color w:val="00B050"/>
        </w:rPr>
        <w:t>5.2.2</w:t>
      </w:r>
      <w:r>
        <w:rPr>
          <w:color w:val="00B050"/>
        </w:rPr>
        <w:tab/>
        <w:t>Intermediate step (Update and review process of RRC list):</w:t>
      </w:r>
    </w:p>
    <w:p w14:paraId="10931956"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af2"/>
        <w:rPr>
          <w:color w:val="FF0000"/>
          <w:sz w:val="22"/>
          <w:szCs w:val="22"/>
        </w:rPr>
      </w:pPr>
    </w:p>
    <w:p w14:paraId="514F6101" w14:textId="77777777" w:rsidR="00F16B72" w:rsidRDefault="00DE121C">
      <w:pPr>
        <w:pStyle w:val="31"/>
        <w:rPr>
          <w:color w:val="00B050"/>
        </w:rPr>
      </w:pPr>
      <w:r>
        <w:rPr>
          <w:color w:val="00B050"/>
        </w:rPr>
        <w:t>5.2.3</w:t>
      </w:r>
      <w:r>
        <w:rPr>
          <w:color w:val="00B050"/>
        </w:rPr>
        <w:tab/>
        <w:t>Final step (LS and backlog RRC list):</w:t>
      </w:r>
    </w:p>
    <w:p w14:paraId="6D493E40"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Sorour provides two files of the latest RRC parameter list:</w:t>
      </w:r>
    </w:p>
    <w:p w14:paraId="40747074"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af2"/>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af2"/>
        <w:rPr>
          <w:sz w:val="28"/>
          <w:szCs w:val="28"/>
        </w:rPr>
      </w:pPr>
    </w:p>
    <w:p w14:paraId="08BC223F" w14:textId="77777777" w:rsidR="00F16B72" w:rsidRDefault="00DE121C">
      <w:pPr>
        <w:pStyle w:val="21"/>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af9"/>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af9"/>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31"/>
        <w:rPr>
          <w:color w:val="FF0000"/>
        </w:rPr>
      </w:pPr>
      <w:r>
        <w:rPr>
          <w:color w:val="FF0000"/>
        </w:rPr>
        <w:t>5.3.1</w:t>
      </w:r>
      <w:r>
        <w:rPr>
          <w:color w:val="FF0000"/>
        </w:rPr>
        <w:tab/>
        <w:t>How to mark Stable/Unstable</w:t>
      </w:r>
    </w:p>
    <w:p w14:paraId="3647EC44" w14:textId="77777777" w:rsidR="00F16B72" w:rsidRDefault="00DE121C">
      <w:pPr>
        <w:pStyle w:val="af2"/>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lastRenderedPageBreak/>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af2"/>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af2"/>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31"/>
        <w:rPr>
          <w:color w:val="FF0000"/>
        </w:rPr>
      </w:pPr>
      <w:r>
        <w:rPr>
          <w:color w:val="FF0000"/>
        </w:rPr>
        <w:t>5.3.2</w:t>
      </w:r>
      <w:r>
        <w:rPr>
          <w:color w:val="FF0000"/>
        </w:rPr>
        <w:tab/>
        <w:t>How to use color coding</w:t>
      </w:r>
    </w:p>
    <w:p w14:paraId="575E5136" w14:textId="77777777" w:rsidR="00F16B72" w:rsidRDefault="00DE121C">
      <w:pPr>
        <w:pStyle w:val="af2"/>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af2"/>
        <w:ind w:left="1800" w:firstLine="0"/>
        <w:rPr>
          <w:rFonts w:ascii="Times New Roman" w:hAnsi="Times New Roman" w:cs="Times New Roman"/>
          <w:sz w:val="24"/>
          <w:szCs w:val="24"/>
        </w:rPr>
      </w:pPr>
    </w:p>
    <w:p w14:paraId="57D6A09E" w14:textId="77777777" w:rsidR="00F16B72" w:rsidRDefault="00DE121C">
      <w:pPr>
        <w:pStyle w:val="af2"/>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af2"/>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af9"/>
          <w:rFonts w:eastAsia="Times New Roman" w:cs="Arial"/>
          <w:szCs w:val="20"/>
        </w:rPr>
      </w:pPr>
      <w:bookmarkStart w:id="14" w:name="_In-sequence_SDU_delivery"/>
      <w:bookmarkEnd w:id="14"/>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9E25F" w14:textId="77777777" w:rsidR="00623B41" w:rsidRDefault="00623B41">
      <w:pPr>
        <w:spacing w:after="0" w:line="240" w:lineRule="auto"/>
      </w:pPr>
      <w:r>
        <w:separator/>
      </w:r>
    </w:p>
  </w:endnote>
  <w:endnote w:type="continuationSeparator" w:id="0">
    <w:p w14:paraId="180EC9B2" w14:textId="77777777" w:rsidR="00623B41" w:rsidRDefault="0062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1957" w14:textId="28E451C5" w:rsidR="002706F6" w:rsidRDefault="002706F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F4A5C">
      <w:rPr>
        <w:rStyle w:val="af6"/>
        <w:noProof/>
      </w:rPr>
      <w:t>28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F4A5C">
      <w:rPr>
        <w:rStyle w:val="af6"/>
        <w:noProof/>
      </w:rPr>
      <w:t>29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2B722" w14:textId="77777777" w:rsidR="00623B41" w:rsidRDefault="00623B41">
      <w:pPr>
        <w:spacing w:after="0" w:line="240" w:lineRule="auto"/>
      </w:pPr>
      <w:r>
        <w:separator/>
      </w:r>
    </w:p>
  </w:footnote>
  <w:footnote w:type="continuationSeparator" w:id="0">
    <w:p w14:paraId="40ED05E4" w14:textId="77777777" w:rsidR="00623B41" w:rsidRDefault="00623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17B2" w14:textId="77777777" w:rsidR="002706F6" w:rsidRDefault="002706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B836FC3"/>
    <w:multiLevelType w:val="hybridMultilevel"/>
    <w:tmpl w:val="89DE9902"/>
    <w:lvl w:ilvl="0" w:tplc="8D56A4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D128E5"/>
    <w:multiLevelType w:val="singleLevel"/>
    <w:tmpl w:val="31D128E5"/>
    <w:lvl w:ilvl="0">
      <w:start w:val="1"/>
      <w:numFmt w:val="decimal"/>
      <w:suff w:val="space"/>
      <w:lvlText w:val="%1."/>
      <w:lvlJc w:val="left"/>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5"/>
  </w:num>
  <w:num w:numId="4">
    <w:abstractNumId w:val="10"/>
  </w:num>
  <w:num w:numId="5">
    <w:abstractNumId w:val="8"/>
  </w:num>
  <w:num w:numId="6">
    <w:abstractNumId w:val="32"/>
  </w:num>
  <w:num w:numId="7">
    <w:abstractNumId w:val="0"/>
  </w:num>
  <w:num w:numId="8">
    <w:abstractNumId w:val="37"/>
  </w:num>
  <w:num w:numId="9">
    <w:abstractNumId w:val="26"/>
  </w:num>
  <w:num w:numId="10">
    <w:abstractNumId w:val="20"/>
  </w:num>
  <w:num w:numId="11">
    <w:abstractNumId w:val="28"/>
  </w:num>
  <w:num w:numId="12">
    <w:abstractNumId w:val="29"/>
  </w:num>
  <w:num w:numId="13">
    <w:abstractNumId w:val="23"/>
  </w:num>
  <w:num w:numId="14">
    <w:abstractNumId w:val="35"/>
  </w:num>
  <w:num w:numId="15">
    <w:abstractNumId w:val="1"/>
  </w:num>
  <w:num w:numId="16">
    <w:abstractNumId w:val="25"/>
  </w:num>
  <w:num w:numId="17">
    <w:abstractNumId w:val="38"/>
  </w:num>
  <w:num w:numId="18">
    <w:abstractNumId w:val="16"/>
  </w:num>
  <w:num w:numId="19">
    <w:abstractNumId w:val="6"/>
  </w:num>
  <w:num w:numId="20">
    <w:abstractNumId w:val="14"/>
  </w:num>
  <w:num w:numId="21">
    <w:abstractNumId w:val="27"/>
  </w:num>
  <w:num w:numId="22">
    <w:abstractNumId w:val="15"/>
  </w:num>
  <w:num w:numId="23">
    <w:abstractNumId w:val="9"/>
  </w:num>
  <w:num w:numId="24">
    <w:abstractNumId w:val="30"/>
  </w:num>
  <w:num w:numId="25">
    <w:abstractNumId w:val="3"/>
  </w:num>
  <w:num w:numId="26">
    <w:abstractNumId w:val="22"/>
  </w:num>
  <w:num w:numId="27">
    <w:abstractNumId w:val="24"/>
  </w:num>
  <w:num w:numId="28">
    <w:abstractNumId w:val="31"/>
  </w:num>
  <w:num w:numId="29">
    <w:abstractNumId w:val="19"/>
  </w:num>
  <w:num w:numId="30">
    <w:abstractNumId w:val="11"/>
  </w:num>
  <w:num w:numId="31">
    <w:abstractNumId w:val="4"/>
  </w:num>
  <w:num w:numId="32">
    <w:abstractNumId w:val="18"/>
  </w:num>
  <w:num w:numId="33">
    <w:abstractNumId w:val="36"/>
  </w:num>
  <w:num w:numId="34">
    <w:abstractNumId w:val="2"/>
  </w:num>
  <w:num w:numId="35">
    <w:abstractNumId w:val="33"/>
  </w:num>
  <w:num w:numId="36">
    <w:abstractNumId w:val="12"/>
  </w:num>
  <w:num w:numId="37">
    <w:abstractNumId w:val="7"/>
  </w:num>
  <w:num w:numId="38">
    <w:abstractNumId w:val="21"/>
  </w:num>
  <w:num w:numId="3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szAzNbE0NDQwM7FQ0lEKTi0uzszPAykwrAUAb1n2VS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2">
    <w:name w:val="목록 단락1"/>
    <w:basedOn w:val="a1"/>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0">
    <w:name w:val="캡션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Char9"/>
    <w:uiPriority w:val="34"/>
    <w:qFormat/>
    <w:pPr>
      <w:spacing w:after="0"/>
      <w:ind w:left="720"/>
      <w:jc w:val="left"/>
    </w:pPr>
    <w:rPr>
      <w:rFonts w:ascii="Calibri" w:eastAsia="Calibri" w:hAnsi="Calibri"/>
      <w:sz w:val="22"/>
      <w:lang w:val="zh-CN"/>
    </w:rPr>
  </w:style>
  <w:style w:type="character" w:customStyle="1" w:styleId="Char9">
    <w:name w:val="목록 단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E8F09EAF-4FEC-445F-AA94-F6C90719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10947</Words>
  <Characters>62398</Characters>
  <Application>Microsoft Office Word</Application>
  <DocSecurity>0</DocSecurity>
  <Lines>519</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양석철/책임연구원/미래기술센터 C&amp;M표준(연)5G무선통신표준Task(suckchel.yang@lge.com)</cp:lastModifiedBy>
  <cp:revision>9</cp:revision>
  <cp:lastPrinted>2008-01-31T07:09:00Z</cp:lastPrinted>
  <dcterms:created xsi:type="dcterms:W3CDTF">2023-04-20T13:57:00Z</dcterms:created>
  <dcterms:modified xsi:type="dcterms:W3CDTF">2023-04-21T08:58:00Z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