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Default="009D1D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 xml:space="preserve">Two LTE-CRS overlapping rate matching patterns within a part of NR carrier using 15 kHz overlapping with </w:t>
      </w:r>
      <w:proofErr w:type="gramStart"/>
      <w:r>
        <w:rPr>
          <w:rFonts w:eastAsia="MS Mincho"/>
          <w:sz w:val="22"/>
          <w:szCs w:val="22"/>
          <w:lang w:val="en-US"/>
        </w:rPr>
        <w:t>a</w:t>
      </w:r>
      <w:proofErr w:type="gramEnd"/>
      <w:r>
        <w:rPr>
          <w:rFonts w:eastAsia="MS Mincho"/>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7"/>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3"/>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7"/>
                    <w:numPr>
                      <w:ilvl w:val="0"/>
                      <w:numId w:val="14"/>
                    </w:numPr>
                    <w:spacing w:before="120" w:after="120" w:line="240" w:lineRule="auto"/>
                    <w:ind w:leftChars="0"/>
                    <w:jc w:val="both"/>
                  </w:pPr>
                  <w:r>
                    <w:rPr>
                      <w:sz w:val="20"/>
                    </w:rPr>
                    <w:t>details to be discussed during UE capability discussions (</w:t>
                  </w:r>
                  <w:proofErr w:type="gramStart"/>
                  <w:r>
                    <w:rPr>
                      <w:sz w:val="20"/>
                    </w:rPr>
                    <w:t>e.g.</w:t>
                  </w:r>
                  <w:proofErr w:type="gramEnd"/>
                  <w:r>
                    <w:rPr>
                      <w:sz w:val="20"/>
                    </w:rPr>
                    <w:t xml:space="preserve">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3"/>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7"/>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2"/>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proofErr w:type="gramStart"/>
                  <w:r>
                    <w:rPr>
                      <w:rFonts w:ascii="Times" w:eastAsia="Batang" w:hAnsi="Times" w:hint="eastAsia"/>
                      <w:sz w:val="20"/>
                      <w:szCs w:val="24"/>
                      <w:lang w:eastAsia="zh-CN"/>
                    </w:rPr>
                    <w:t>“</w:t>
                  </w:r>
                  <w:proofErr w:type="gramEnd"/>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w:t>
            </w:r>
            <w:proofErr w:type="spellStart"/>
            <w:r>
              <w:rPr>
                <w:rFonts w:eastAsia="等线"/>
                <w:sz w:val="22"/>
                <w:szCs w:val="22"/>
                <w:lang w:eastAsia="zh-CN"/>
              </w:rPr>
              <w:t>excuded</w:t>
            </w:r>
            <w:proofErr w:type="spellEnd"/>
            <w:r>
              <w:rPr>
                <w:rFonts w:eastAsia="等线"/>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等线"/>
                <w:sz w:val="22"/>
                <w:szCs w:val="22"/>
                <w:lang w:eastAsia="zh-CN"/>
              </w:rPr>
              <w:t>eDSS</w:t>
            </w:r>
            <w:proofErr w:type="spellEnd"/>
            <w:r>
              <w:rPr>
                <w:rFonts w:eastAsia="等线"/>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w:t>
            </w:r>
            <w:proofErr w:type="spellStart"/>
            <w:r>
              <w:rPr>
                <w:rFonts w:eastAsia="宋体"/>
                <w:b/>
                <w:i/>
                <w:iCs/>
                <w:sz w:val="22"/>
                <w:szCs w:val="22"/>
                <w:lang w:eastAsia="zh-CN"/>
              </w:rPr>
              <w:t>eDSS</w:t>
            </w:r>
            <w:proofErr w:type="spellEnd"/>
            <w:r>
              <w:rPr>
                <w:rFonts w:eastAsia="宋体"/>
                <w:b/>
                <w:i/>
                <w:iCs/>
                <w:sz w:val="22"/>
                <w:szCs w:val="22"/>
                <w:lang w:eastAsia="zh-CN"/>
              </w:rPr>
              <w:t xml:space="preserve">,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The granularity of the NR-PDCCH </w:t>
            </w:r>
            <w:proofErr w:type="spellStart"/>
            <w:r>
              <w:rPr>
                <w:rFonts w:eastAsia="宋体"/>
                <w:b/>
                <w:bCs/>
                <w:i/>
                <w:iCs/>
                <w:sz w:val="22"/>
                <w:szCs w:val="22"/>
              </w:rPr>
              <w:t>recepetion</w:t>
            </w:r>
            <w:proofErr w:type="spellEnd"/>
            <w:r>
              <w:rPr>
                <w:rFonts w:eastAsia="宋体"/>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w:t>
                  </w:r>
                  <w:proofErr w:type="gramStart"/>
                  <w:r>
                    <w:rPr>
                      <w:rFonts w:eastAsia="等线"/>
                      <w:color w:val="000000"/>
                      <w:sz w:val="18"/>
                      <w:szCs w:val="18"/>
                    </w:rPr>
                    <w:t>e.g.</w:t>
                  </w:r>
                  <w:proofErr w:type="gramEnd"/>
                  <w:r>
                    <w:rPr>
                      <w:rFonts w:eastAsia="等线"/>
                      <w:color w:val="000000"/>
                      <w:sz w:val="18"/>
                      <w:szCs w:val="18"/>
                    </w:rPr>
                    <w:t xml:space="preserve">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7"/>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7"/>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 xml:space="preserve">reception of NR PDCCH overlapped with LTE CRS Res is not supported </w:t>
                  </w:r>
                  <w:proofErr w:type="gramStart"/>
                  <w:r>
                    <w:rPr>
                      <w:rFonts w:eastAsia="等线"/>
                      <w:sz w:val="18"/>
                      <w:szCs w:val="18"/>
                    </w:rPr>
                    <w:t>e.g.</w:t>
                  </w:r>
                  <w:proofErr w:type="gramEnd"/>
                  <w:r>
                    <w:rPr>
                      <w:rFonts w:eastAsia="等线"/>
                      <w:sz w:val="18"/>
                      <w:szCs w:val="18"/>
                    </w:rPr>
                    <w:t xml:space="preserve">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w:t>
            </w:r>
            <w:proofErr w:type="gramStart"/>
            <w:r>
              <w:rPr>
                <w:rFonts w:hint="eastAsia"/>
                <w:lang w:val="en-US" w:eastAsia="zh-CN"/>
              </w:rPr>
              <w:t>i.e.</w:t>
            </w:r>
            <w:proofErr w:type="gramEnd"/>
            <w:r>
              <w:rPr>
                <w:rFonts w:hint="eastAsia"/>
                <w:lang w:val="en-US" w:eastAsia="zh-CN"/>
              </w:rPr>
              <w:t xml:space="preserv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3"/>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7"/>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7"/>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 xml:space="preserve">RAN1 has discussed over several meetings during the WI phase, whether the specifications should allow the possibility to configure the UE with a CORESET that does not have a “clean” symbol, </w:t>
            </w:r>
            <w:proofErr w:type="gramStart"/>
            <w:r>
              <w:t>i.e.</w:t>
            </w:r>
            <w:proofErr w:type="gramEnd"/>
            <w:r>
              <w:t xml:space="preserv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8" w:history="1">
              <w:r>
                <w:rPr>
                  <w:rStyle w:val="afa"/>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w:t>
            </w:r>
            <w:proofErr w:type="spellStart"/>
            <w:r>
              <w:t>REs.</w:t>
            </w:r>
            <w:proofErr w:type="spellEnd"/>
            <w:r>
              <w:t xml:space="preserve"> In </w:t>
            </w:r>
            <w:proofErr w:type="gramStart"/>
            <w:r>
              <w:t>addition</w:t>
            </w:r>
            <w:proofErr w:type="gramEnd"/>
            <w:r>
              <w:t xml:space="preserve">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7"/>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7"/>
              <w:spacing w:after="180"/>
              <w:ind w:left="960"/>
              <w:rPr>
                <w:sz w:val="20"/>
                <w:lang w:val="en-US"/>
              </w:rPr>
            </w:pPr>
          </w:p>
          <w:p w14:paraId="486EF73D" w14:textId="77777777" w:rsidR="00294C8B" w:rsidRDefault="009D1DB3">
            <w:pPr>
              <w:spacing w:after="180"/>
            </w:pPr>
            <w:r>
              <w:t xml:space="preserve">Knowing the above capabilities allows the gNB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3"/>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w:t>
            </w:r>
            <w:proofErr w:type="spellStart"/>
            <w:r>
              <w:rPr>
                <w:rFonts w:eastAsia="宋体"/>
                <w:kern w:val="28"/>
                <w:sz w:val="20"/>
                <w:lang w:eastAsia="zh-CN"/>
              </w:rPr>
              <w:t>REs.</w:t>
            </w:r>
            <w:proofErr w:type="spellEnd"/>
            <w:r>
              <w:rPr>
                <w:rFonts w:eastAsia="宋体"/>
                <w:kern w:val="28"/>
                <w:sz w:val="20"/>
                <w:lang w:eastAsia="zh-CN"/>
              </w:rPr>
              <w:t xml:space="preserve"> At the most basic realization, the UE can operate by ignoring the presence of LTE CRS </w:t>
            </w:r>
            <w:proofErr w:type="spellStart"/>
            <w:r>
              <w:rPr>
                <w:rFonts w:eastAsia="宋体"/>
                <w:kern w:val="28"/>
                <w:sz w:val="20"/>
                <w:lang w:eastAsia="zh-CN"/>
              </w:rPr>
              <w:t>REs.</w:t>
            </w:r>
            <w:proofErr w:type="spellEnd"/>
            <w:r>
              <w:rPr>
                <w:rFonts w:eastAsia="宋体"/>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宋体"/>
                <w:kern w:val="28"/>
                <w:sz w:val="20"/>
                <w:lang w:eastAsia="zh-CN"/>
              </w:rPr>
              <w:t>eDSS</w:t>
            </w:r>
            <w:proofErr w:type="spellEnd"/>
            <w:r>
              <w:rPr>
                <w:rFonts w:eastAsia="宋体"/>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To improve PDCCH BLER with reduced requirements on network operation, a first UE capability is to receive/decode DCI formats by adjusting the LLRs for symbols in REs overlapping with LTE CRS REs (</w:t>
            </w:r>
            <w:proofErr w:type="gramStart"/>
            <w:r>
              <w:rPr>
                <w:rFonts w:eastAsia="宋体"/>
                <w:kern w:val="28"/>
                <w:sz w:val="20"/>
                <w:lang w:eastAsia="zh-CN"/>
              </w:rPr>
              <w:t>e.g.</w:t>
            </w:r>
            <w:proofErr w:type="gramEnd"/>
            <w:r>
              <w:rPr>
                <w:rFonts w:eastAsia="宋体"/>
                <w:kern w:val="28"/>
                <w:sz w:val="20"/>
                <w:lang w:eastAsia="zh-CN"/>
              </w:rPr>
              <w:t xml:space="preserve"> exclude those LLRs from use in decoding). Another UE capability is to do the same for channel estimation – adjust the weighting of DM-RS symbols in REs overlapping with LTE CRS REs (</w:t>
            </w:r>
            <w:proofErr w:type="gramStart"/>
            <w:r>
              <w:rPr>
                <w:rFonts w:eastAsia="宋体"/>
                <w:kern w:val="28"/>
                <w:sz w:val="20"/>
                <w:lang w:eastAsia="zh-CN"/>
              </w:rPr>
              <w:t>e.g.</w:t>
            </w:r>
            <w:proofErr w:type="gramEnd"/>
            <w:r>
              <w:rPr>
                <w:rFonts w:eastAsia="宋体"/>
                <w:kern w:val="28"/>
                <w:sz w:val="20"/>
                <w:lang w:eastAsia="zh-CN"/>
              </w:rPr>
              <w:t xml:space="preserve">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w:t>
            </w:r>
            <w:proofErr w:type="spellStart"/>
            <w:r>
              <w:rPr>
                <w:rFonts w:eastAsia="宋体"/>
                <w:b/>
                <w:bCs/>
                <w:kern w:val="28"/>
                <w:sz w:val="20"/>
                <w:u w:val="single"/>
                <w:lang w:eastAsia="zh-CN"/>
              </w:rPr>
              <w:t>eDSS</w:t>
            </w:r>
            <w:proofErr w:type="spellEnd"/>
            <w:r>
              <w:rPr>
                <w:rFonts w:eastAsia="宋体"/>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等线"/>
              </w:rPr>
              <w:t>eDSS</w:t>
            </w:r>
            <w:proofErr w:type="spellEnd"/>
            <w:r>
              <w:rPr>
                <w:rFonts w:eastAsia="等线"/>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等线"/>
              </w:rPr>
              <w:t>eDSS</w:t>
            </w:r>
            <w:proofErr w:type="spellEnd"/>
            <w:r>
              <w:rPr>
                <w:rFonts w:eastAsia="等线"/>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等线"/>
              </w:rPr>
              <w:t>eDSS</w:t>
            </w:r>
            <w:proofErr w:type="spellEnd"/>
            <w:r>
              <w:rPr>
                <w:rFonts w:eastAsia="等线"/>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3"/>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7"/>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7"/>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7"/>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7"/>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takes into account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7"/>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3"/>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7"/>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7"/>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7"/>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7"/>
                    <w:widowControl w:val="0"/>
                    <w:spacing w:after="180"/>
                    <w:ind w:leftChars="0" w:left="0"/>
                    <w:jc w:val="both"/>
                  </w:pPr>
                </w:p>
                <w:p w14:paraId="2E06F01A" w14:textId="77777777" w:rsidR="00294C8B" w:rsidRDefault="009D1DB3">
                  <w:pPr>
                    <w:pStyle w:val="aff7"/>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7"/>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7"/>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proofErr w:type="gramStart"/>
            <w:r>
              <w:rPr>
                <w:rFonts w:ascii="Times" w:eastAsia="Batang" w:hAnsi="Times" w:hint="eastAsia"/>
                <w:sz w:val="18"/>
                <w:szCs w:val="22"/>
                <w:lang w:eastAsia="zh-CN"/>
              </w:rPr>
              <w:t>“</w:t>
            </w:r>
            <w:proofErr w:type="gramEnd"/>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3"/>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7"/>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multiple non-overlapping CRS rate matching patterns should be supported 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 multiple non-overlapping CRS rate matching patterns for rate matching purpose (FG14-1) is optional feature.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5C3D28">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5C3D28">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5C3D28">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5C3D28">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5C3D28">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5C3D28">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5C3D28">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w:t>
            </w:r>
            <w:proofErr w:type="gramStart"/>
            <w:r w:rsidRPr="00120932">
              <w:rPr>
                <w:rFonts w:asciiTheme="majorHAnsi" w:hAnsiTheme="majorHAnsi" w:cstheme="majorHAnsi"/>
                <w:sz w:val="20"/>
              </w:rPr>
              <w:t>serious</w:t>
            </w:r>
            <w:proofErr w:type="gramEnd"/>
            <w:r w:rsidRPr="00120932">
              <w:rPr>
                <w:rFonts w:asciiTheme="majorHAnsi" w:hAnsiTheme="majorHAnsi" w:cstheme="majorHAnsi"/>
                <w:sz w:val="20"/>
              </w:rPr>
              <w:t xml:space="preserve"> deteriorate when CORESET is overlapped with two overlapping CRS patterns.</w:t>
            </w:r>
          </w:p>
        </w:tc>
      </w:tr>
    </w:tbl>
    <w:p w14:paraId="07A6B4A9" w14:textId="77777777" w:rsidR="00294C8B" w:rsidRPr="007C46C7"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E///, QC</w:t>
      </w:r>
    </w:p>
    <w:p w14:paraId="315AB61B"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lastRenderedPageBreak/>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lastRenderedPageBreak/>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5C3D28">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bl>
    <w:p w14:paraId="50EF4479" w14:textId="77777777" w:rsidR="00294C8B" w:rsidRPr="007C46C7" w:rsidRDefault="00294C8B">
      <w:pPr>
        <w:spacing w:afterLines="50" w:after="120"/>
        <w:jc w:val="both"/>
        <w:rPr>
          <w:sz w:val="22"/>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3"/>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宋体"/>
                <w:color w:val="000000" w:themeColor="text1"/>
                <w:lang w:val="en-US" w:eastAsia="zh-CN"/>
              </w:rPr>
              <w:t>etc</w:t>
            </w:r>
            <w:proofErr w:type="spellEnd"/>
            <w:r>
              <w:rPr>
                <w:rFonts w:eastAsia="宋体"/>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The signal structure of “Value 1, Value 2...”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77777777" w:rsidR="007C46C7" w:rsidRPr="00917060" w:rsidRDefault="007C46C7" w:rsidP="005C3D28">
            <w:pPr>
              <w:spacing w:after="0"/>
              <w:jc w:val="both"/>
              <w:rPr>
                <w:rFonts w:eastAsia="宋体"/>
                <w:sz w:val="20"/>
                <w:lang w:val="en-US" w:eastAsia="zh-CN"/>
              </w:rPr>
            </w:pPr>
            <w:r w:rsidRPr="00917060">
              <w:rPr>
                <w:rFonts w:eastAsia="宋体"/>
                <w:sz w:val="20"/>
                <w:lang w:val="en-US" w:eastAsia="zh-CN"/>
              </w:rPr>
              <w:t>vivo</w:t>
            </w:r>
          </w:p>
        </w:tc>
        <w:tc>
          <w:tcPr>
            <w:tcW w:w="4494" w:type="pct"/>
          </w:tcPr>
          <w:p w14:paraId="19A6DC58" w14:textId="77777777" w:rsidR="007C46C7" w:rsidRPr="00917060" w:rsidRDefault="007C46C7" w:rsidP="005C3D28">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77777777" w:rsidR="00900778" w:rsidRDefault="007C46C7" w:rsidP="005C3D28">
            <w:pPr>
              <w:rPr>
                <w:rFonts w:eastAsia="宋体"/>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Option1-1 and option2 is clear, in option1-1, legacy CE is always supported and clean CE can be additionally supported. Option2 is the most flexible, and the supported CEs (legacy or clean symbol or both) can be separately indicated.</w:t>
            </w:r>
            <w:r w:rsidRPr="00917060">
              <w:rPr>
                <w:rFonts w:eastAsia="宋体"/>
                <w:sz w:val="20"/>
                <w:lang w:eastAsia="zh-CN"/>
              </w:rPr>
              <w:t xml:space="preserve"> </w:t>
            </w:r>
          </w:p>
          <w:p w14:paraId="315FCC4C" w14:textId="7D34BAED" w:rsidR="007C46C7" w:rsidRDefault="007C46C7" w:rsidP="005C3D28">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w:t>
            </w:r>
            <w:proofErr w:type="gramStart"/>
            <w:r w:rsidR="00900778">
              <w:rPr>
                <w:rFonts w:eastAsia="宋体"/>
                <w:sz w:val="20"/>
                <w:lang w:eastAsia="zh-CN"/>
              </w:rPr>
              <w:t>symbol based</w:t>
            </w:r>
            <w:proofErr w:type="gramEnd"/>
            <w:r w:rsidR="00900778">
              <w:rPr>
                <w:rFonts w:eastAsia="宋体"/>
                <w:sz w:val="20"/>
                <w:lang w:eastAsia="zh-CN"/>
              </w:rPr>
              <w:t xml:space="preserve">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5C3D28">
            <w:pPr>
              <w:rPr>
                <w:rFonts w:eastAsia="宋体"/>
                <w:sz w:val="20"/>
                <w:lang w:eastAsia="zh-CN"/>
              </w:rPr>
            </w:pPr>
            <w:r>
              <w:rPr>
                <w:rFonts w:eastAsia="宋体"/>
                <w:sz w:val="20"/>
                <w:lang w:eastAsia="zh-CN"/>
              </w:rPr>
              <w:lastRenderedPageBreak/>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bl>
    <w:p w14:paraId="4C9640FC" w14:textId="77777777" w:rsidR="00294C8B" w:rsidRPr="007C46C7" w:rsidRDefault="00294C8B">
      <w:pPr>
        <w:spacing w:afterLines="50" w:after="120"/>
        <w:jc w:val="both"/>
        <w:rPr>
          <w:rFonts w:eastAsia="宋体"/>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7"/>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7"/>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w:t>
      </w:r>
      <w:proofErr w:type="gramStart"/>
      <w:r>
        <w:rPr>
          <w:rFonts w:eastAsia="MS Mincho" w:cs="Batang"/>
          <w:szCs w:val="24"/>
          <w:lang w:val="en-US"/>
        </w:rPr>
        <w:t>) :</w:t>
      </w:r>
      <w:proofErr w:type="gramEnd"/>
      <w:r>
        <w:rPr>
          <w:rFonts w:eastAsia="MS Mincho" w:cs="Batang"/>
          <w:szCs w:val="24"/>
          <w:lang w:val="en-US"/>
        </w:rPr>
        <w:t xml:space="preserve"> QC</w:t>
      </w:r>
    </w:p>
    <w:p w14:paraId="6CDE5DC4" w14:textId="77777777" w:rsidR="00294C8B" w:rsidRDefault="009D1DB3">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3"/>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5C3D28">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bl>
    <w:p w14:paraId="2B98924E" w14:textId="77777777" w:rsidR="00294C8B" w:rsidRPr="007C46C7"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7"/>
        <w:numPr>
          <w:ilvl w:val="1"/>
          <w:numId w:val="42"/>
        </w:numPr>
        <w:spacing w:afterLines="50" w:after="120"/>
        <w:ind w:leftChars="0"/>
        <w:jc w:val="both"/>
        <w:rPr>
          <w:szCs w:val="24"/>
          <w:lang w:val="en-US"/>
        </w:rPr>
      </w:pPr>
      <w:r>
        <w:rPr>
          <w:szCs w:val="24"/>
          <w:lang w:val="en-US"/>
        </w:rPr>
        <w:t>Yes: OPPO</w:t>
      </w:r>
    </w:p>
    <w:tbl>
      <w:tblPr>
        <w:tblStyle w:val="aff3"/>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5C3D28">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907583E" w14:textId="77777777" w:rsidR="00294C8B" w:rsidRDefault="00294C8B">
      <w:pPr>
        <w:spacing w:afterLines="50" w:after="120"/>
        <w:jc w:val="both"/>
        <w:rPr>
          <w:sz w:val="22"/>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3"/>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5C3D28">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5C3D28">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bl>
    <w:p w14:paraId="325DC758" w14:textId="77777777" w:rsidR="00294C8B" w:rsidRPr="00900778"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aff3"/>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w:t>
            </w:r>
            <w:proofErr w:type="gramStart"/>
            <w:r>
              <w:rPr>
                <w:rFonts w:eastAsiaTheme="minorEastAsia"/>
                <w:color w:val="000000" w:themeColor="text1"/>
                <w:lang w:val="en-US"/>
              </w:rPr>
              <w:t>i.e.</w:t>
            </w:r>
            <w:proofErr w:type="gramEnd"/>
            <w:r>
              <w:rPr>
                <w:rFonts w:eastAsiaTheme="minorEastAsia"/>
                <w:color w:val="000000" w:themeColor="text1"/>
                <w:lang w:val="en-US"/>
              </w:rPr>
              <w:t xml:space="preserv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Default="007C46C7" w:rsidP="005C3D28">
            <w:pPr>
              <w:spacing w:after="0"/>
              <w:rPr>
                <w:rFonts w:eastAsia="宋体"/>
                <w:color w:val="000000" w:themeColor="text1"/>
                <w:lang w:val="en-US" w:eastAsia="zh-CN"/>
              </w:rPr>
            </w:pPr>
            <w:r>
              <w:rPr>
                <w:rFonts w:eastAsia="宋体"/>
                <w:color w:val="000000" w:themeColor="text1"/>
                <w:lang w:val="en-US" w:eastAsia="zh-CN"/>
              </w:rPr>
              <w:t>the benefits of supporting</w:t>
            </w:r>
            <w:r>
              <w:rPr>
                <w:rFonts w:eastAsia="宋体"/>
                <w:color w:val="000000" w:themeColor="text1"/>
                <w:lang w:val="en-US" w:eastAsia="zh-CN"/>
              </w:rPr>
              <w:t xml:space="preserve"> </w:t>
            </w:r>
            <w:r>
              <w:rPr>
                <w:rFonts w:eastAsia="宋体"/>
                <w:color w:val="000000" w:themeColor="text1"/>
                <w:lang w:val="en-US" w:eastAsia="zh-CN"/>
              </w:rPr>
              <w:t>reception</w:t>
            </w:r>
            <w:r>
              <w:rPr>
                <w:rFonts w:eastAsia="宋体"/>
                <w:color w:val="000000" w:themeColor="text1"/>
                <w:lang w:val="en-US" w:eastAsia="zh-CN"/>
              </w:rPr>
              <w:t xml:space="preserve"> of</w:t>
            </w:r>
            <w:r>
              <w:rPr>
                <w:rFonts w:eastAsia="宋体"/>
                <w:color w:val="000000" w:themeColor="text1"/>
                <w:lang w:val="en-US" w:eastAsia="zh-CN"/>
              </w:rPr>
              <w:t xml:space="preserve">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f3"/>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proofErr w:type="spellStart"/>
                  <w:r>
                    <w:rPr>
                      <w:rFonts w:ascii="Times" w:eastAsia="宋体" w:hAnsi="Times"/>
                      <w:i/>
                      <w:iCs/>
                      <w:strike/>
                      <w:color w:val="FF0000"/>
                      <w:lang w:eastAsia="zh-CN"/>
                    </w:rPr>
                    <w:t>coresetPoolIndex</w:t>
                  </w:r>
                  <w:proofErr w:type="spellEnd"/>
                  <w:r>
                    <w:rPr>
                      <w:rFonts w:ascii="Times" w:eastAsia="宋体" w:hAnsi="Times"/>
                      <w:strike/>
                      <w:color w:val="FF0000"/>
                      <w:lang w:eastAsia="zh-CN"/>
                    </w:rPr>
                    <w:t xml:space="preserve"> in </w:t>
                  </w:r>
                  <w:proofErr w:type="spellStart"/>
                  <w:r>
                    <w:rPr>
                      <w:rFonts w:ascii="Times" w:eastAsia="宋体" w:hAnsi="Times"/>
                      <w:i/>
                      <w:iCs/>
                      <w:strike/>
                      <w:color w:val="FF0000"/>
                      <w:lang w:eastAsia="zh-CN"/>
                    </w:rPr>
                    <w:t>ControlResourceSet</w:t>
                  </w:r>
                  <w:proofErr w:type="spellEnd"/>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w:t>
                  </w:r>
                  <w:proofErr w:type="gramStart"/>
                  <w:r>
                    <w:rPr>
                      <w:rFonts w:ascii="Times" w:eastAsia="Batang" w:hAnsi="Times"/>
                      <w:i/>
                      <w:iCs/>
                      <w:lang w:eastAsia="zh-CN"/>
                    </w:rPr>
                    <w:t>Multi-TRP</w:t>
                  </w:r>
                  <w:proofErr w:type="gramEnd"/>
                  <w:r>
                    <w:rPr>
                      <w:rFonts w:ascii="Times" w:eastAsia="Batang" w:hAnsi="Times"/>
                      <w:i/>
                      <w:iCs/>
                      <w:lang w:eastAsia="zh-CN"/>
                    </w:rPr>
                    <w:t>-r16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proofErr w:type="spellStart"/>
                  <w:r>
                    <w:rPr>
                      <w:rFonts w:ascii="Times" w:eastAsia="宋体" w:hAnsi="Times"/>
                      <w:i/>
                      <w:iCs/>
                      <w:lang w:eastAsia="zh-CN"/>
                    </w:rPr>
                    <w:t>ServingCellConfig</w:t>
                  </w:r>
                  <w:proofErr w:type="spellEnd"/>
                  <w:r>
                    <w:rPr>
                      <w:rFonts w:ascii="Times" w:eastAsia="宋体" w:hAnsi="Times"/>
                      <w:i/>
                      <w:iCs/>
                      <w:lang w:eastAsia="zh-CN"/>
                    </w:rPr>
                    <w:t xml:space="preserve">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lastRenderedPageBreak/>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7"/>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aff7"/>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宋体"/>
                <w:bCs/>
                <w:i/>
                <w:iCs/>
                <w:sz w:val="22"/>
                <w:szCs w:val="22"/>
              </w:rPr>
            </w:pPr>
            <w:r>
              <w:rPr>
                <w:b/>
                <w:i/>
                <w:iCs/>
                <w:sz w:val="22"/>
                <w:szCs w:val="22"/>
              </w:rPr>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Not configure lte-CRS-PatternList3 and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If the UE is not configured by higher layer parameter PDCCH-Config with two different values of </w:t>
            </w:r>
            <w:proofErr w:type="spellStart"/>
            <w:r>
              <w:rPr>
                <w:rFonts w:eastAsia="宋体"/>
                <w:b/>
                <w:bCs/>
                <w:i/>
                <w:iCs/>
                <w:sz w:val="22"/>
                <w:szCs w:val="22"/>
              </w:rPr>
              <w:t>coresetPoolIndex</w:t>
            </w:r>
            <w:proofErr w:type="spellEnd"/>
            <w:r>
              <w:rPr>
                <w:rFonts w:eastAsia="宋体"/>
                <w:b/>
                <w:bCs/>
                <w:i/>
                <w:iCs/>
                <w:sz w:val="22"/>
                <w:szCs w:val="22"/>
              </w:rPr>
              <w:t xml:space="preserve"> in </w:t>
            </w:r>
            <w:proofErr w:type="spellStart"/>
            <w:r>
              <w:rPr>
                <w:rFonts w:eastAsia="宋体"/>
                <w:b/>
                <w:bCs/>
                <w:i/>
                <w:iCs/>
                <w:sz w:val="22"/>
                <w:szCs w:val="22"/>
              </w:rPr>
              <w:t>ControlResourceSet</w:t>
            </w:r>
            <w:proofErr w:type="spellEnd"/>
            <w:r>
              <w:rPr>
                <w:rFonts w:eastAsia="宋体"/>
                <w:b/>
                <w:bCs/>
                <w:i/>
                <w:iCs/>
                <w:sz w:val="22"/>
                <w:szCs w:val="22"/>
              </w:rPr>
              <w:t xml:space="preserve">, and if the UE is configured by higher layer parameter lte-CRS-PatternList3-r18 and lte-CRS-PatternList4-r18 in </w:t>
            </w:r>
            <w:proofErr w:type="spellStart"/>
            <w:r>
              <w:rPr>
                <w:rFonts w:eastAsia="宋体"/>
                <w:b/>
                <w:bCs/>
                <w:i/>
                <w:iCs/>
                <w:sz w:val="22"/>
                <w:szCs w:val="22"/>
              </w:rPr>
              <w:t>ServingCellConfig</w:t>
            </w:r>
            <w:proofErr w:type="spellEnd"/>
            <w:r>
              <w:rPr>
                <w:rFonts w:eastAsia="宋体"/>
                <w:b/>
                <w:bCs/>
                <w:i/>
                <w:iCs/>
                <w:sz w:val="22"/>
                <w:szCs w:val="22"/>
              </w:rPr>
              <w:t>, REs indicated by lte-CRS-PatternList3-r18 and lte-CRS-PatternList4-r18 are declared as not available for PDSCH.</w:t>
            </w:r>
          </w:p>
          <w:p w14:paraId="299673B9" w14:textId="77777777" w:rsidR="00294C8B" w:rsidRDefault="009D1DB3">
            <w:pPr>
              <w:pStyle w:val="aff7"/>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7"/>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aff7"/>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7"/>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7"/>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7"/>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eastAsia="zh-CN"/>
                    </w:rPr>
                    <w:t>.</w:t>
                  </w:r>
                </w:p>
                <w:p w14:paraId="19577D20" w14:textId="77777777" w:rsidR="00294C8B" w:rsidRDefault="009D1DB3">
                  <w:pPr>
                    <w:pStyle w:val="aff7"/>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 xml:space="preserve">Component </w:t>
                  </w:r>
                  <w:proofErr w:type="gramStart"/>
                  <w:r>
                    <w:rPr>
                      <w:rFonts w:eastAsia="MS Mincho"/>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w:t>
            </w:r>
            <w:proofErr w:type="gramStart"/>
            <w:r>
              <w:rPr>
                <w:rFonts w:hint="eastAsia"/>
                <w:lang w:val="en-US" w:eastAsia="zh-CN"/>
              </w:rPr>
              <w:t>Multi</w:t>
            </w:r>
            <w:r>
              <w:t>-DCI</w:t>
            </w:r>
            <w:proofErr w:type="gramEnd"/>
            <w:r>
              <w:t xml:space="preserve"> based MTRP</w:t>
            </w:r>
            <w:r>
              <w:rPr>
                <w:rFonts w:hint="eastAsia"/>
                <w:lang w:val="en-US" w:eastAsia="zh-CN"/>
              </w:rPr>
              <w:t xml:space="preserve"> </w:t>
            </w:r>
            <w:r>
              <w:rPr>
                <w:lang w:val="en-US" w:eastAsia="zh-CN"/>
              </w:rPr>
              <w:t>or not</w:t>
            </w:r>
            <w:r>
              <w:rPr>
                <w:rFonts w:hint="eastAsia"/>
                <w:lang w:val="en-US" w:eastAsia="zh-CN"/>
              </w:rPr>
              <w:t>.</w:t>
            </w:r>
          </w:p>
          <w:tbl>
            <w:tblPr>
              <w:tblStyle w:val="aff3"/>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lastRenderedPageBreak/>
                    <w:t>Agreement</w:t>
                  </w:r>
                </w:p>
                <w:p w14:paraId="0BFEF6BB" w14:textId="77777777" w:rsidR="00294C8B" w:rsidRDefault="009D1DB3">
                  <w:pPr>
                    <w:pStyle w:val="aff7"/>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 xml:space="preserve">3, </w:t>
                  </w:r>
                  <w:proofErr w:type="gramStart"/>
                  <w:r>
                    <w:rPr>
                      <w:rFonts w:eastAsia="MS Mincho" w:cs="Batang"/>
                      <w:iCs/>
                      <w:sz w:val="21"/>
                      <w:szCs w:val="21"/>
                    </w:rPr>
                    <w:t>The</w:t>
                  </w:r>
                  <w:proofErr w:type="gramEnd"/>
                  <w:r>
                    <w:rPr>
                      <w:rFonts w:eastAsia="MS Mincho"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7"/>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w:t>
            </w:r>
            <w:proofErr w:type="gramStart"/>
            <w:r>
              <w:t>Multi-TRP</w:t>
            </w:r>
            <w:proofErr w:type="gramEnd"/>
            <w:r>
              <w:t xml:space="preserve">-r16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lastRenderedPageBreak/>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w:t>
                  </w:r>
                  <w:proofErr w:type="spellStart"/>
                  <w:r>
                    <w:rPr>
                      <w:rFonts w:eastAsia="宋体"/>
                    </w:rPr>
                    <w:t>ies</w:t>
                  </w:r>
                  <w:proofErr w:type="spellEnd"/>
                  <w:r>
                    <w:rPr>
                      <w:rFonts w:eastAsia="宋体"/>
                    </w:rPr>
                    <w:t>)</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proofErr w:type="spellStart"/>
                  <w:r>
                    <w:rPr>
                      <w:rFonts w:eastAsia="宋体"/>
                      <w:i/>
                      <w:iCs/>
                    </w:rPr>
                    <w:t>coresetPoolIndex</w:t>
                  </w:r>
                  <w:proofErr w:type="spellEnd"/>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w:t>
                  </w:r>
                  <w:proofErr w:type="spellStart"/>
                  <w:r>
                    <w:rPr>
                      <w:rFonts w:eastAsia="宋体"/>
                    </w:rPr>
                    <w:t>ies</w:t>
                  </w:r>
                  <w:proofErr w:type="spellEnd"/>
                  <w:r>
                    <w:rPr>
                      <w:rFonts w:eastAsia="宋体"/>
                    </w:rPr>
                    <w:t>)</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w:t>
                  </w:r>
                  <w:proofErr w:type="gramStart"/>
                  <w:r>
                    <w:rPr>
                      <w:rFonts w:eastAsia="宋体"/>
                      <w:i/>
                      <w:iCs/>
                    </w:rPr>
                    <w:t>Multi-TRP</w:t>
                  </w:r>
                  <w:proofErr w:type="gramEnd"/>
                  <w:r>
                    <w:rPr>
                      <w:rFonts w:eastAsia="宋体"/>
                      <w:i/>
                      <w:iCs/>
                    </w:rPr>
                    <w:t>-r16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 xml:space="preserve">overlapping with </w:t>
                  </w:r>
                  <w:proofErr w:type="gramStart"/>
                  <w:r>
                    <w:rPr>
                      <w:rFonts w:eastAsia="宋体" w:cs="Arial"/>
                      <w:szCs w:val="18"/>
                      <w:lang w:eastAsia="zh-CN"/>
                    </w:rPr>
                    <w:t>a</w:t>
                  </w:r>
                  <w:proofErr w:type="gramEnd"/>
                  <w:r>
                    <w:rPr>
                      <w:rFonts w:eastAsia="宋体"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w:t>
                  </w:r>
                  <w:proofErr w:type="gramStart"/>
                  <w:r>
                    <w:rPr>
                      <w:rFonts w:eastAsia="宋体" w:cs="Arial"/>
                      <w:szCs w:val="18"/>
                      <w:lang w:eastAsia="zh-CN"/>
                    </w:rPr>
                    <w:t>i.e.</w:t>
                  </w:r>
                  <w:proofErr w:type="gramEnd"/>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7"/>
        <w:numPr>
          <w:ilvl w:val="1"/>
          <w:numId w:val="42"/>
        </w:numPr>
        <w:spacing w:afterLines="50" w:after="120"/>
        <w:ind w:leftChars="0"/>
        <w:jc w:val="both"/>
        <w:rPr>
          <w:szCs w:val="21"/>
          <w:lang w:val="en-US"/>
        </w:rPr>
      </w:pPr>
      <w:r>
        <w:rPr>
          <w:szCs w:val="21"/>
          <w:lang w:val="en-US"/>
        </w:rPr>
        <w:t>Yes: Qualcomm</w:t>
      </w:r>
    </w:p>
    <w:tbl>
      <w:tblPr>
        <w:tblStyle w:val="aff3"/>
        <w:tblW w:w="5000" w:type="pct"/>
        <w:tblLook w:val="04A0" w:firstRow="1" w:lastRow="0" w:firstColumn="1" w:lastColumn="0" w:noHBand="0" w:noVBand="1"/>
      </w:tblPr>
      <w:tblGrid>
        <w:gridCol w:w="2265"/>
        <w:gridCol w:w="20118"/>
      </w:tblGrid>
      <w:tr w:rsidR="00294C8B" w14:paraId="3F2DB986" w14:textId="77777777">
        <w:tc>
          <w:tcPr>
            <w:tcW w:w="506"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tc>
          <w:tcPr>
            <w:tcW w:w="506"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tc>
          <w:tcPr>
            <w:tcW w:w="506"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tc>
          <w:tcPr>
            <w:tcW w:w="506"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tc>
          <w:tcPr>
            <w:tcW w:w="506"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7C46C7">
        <w:tc>
          <w:tcPr>
            <w:tcW w:w="506" w:type="pct"/>
          </w:tcPr>
          <w:p w14:paraId="335E58AB" w14:textId="77777777" w:rsidR="007C46C7"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57C62D3" w14:textId="77777777" w:rsidR="007C46C7" w:rsidRDefault="007C46C7" w:rsidP="005C3D28">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bl>
    <w:p w14:paraId="0FF5B0AF" w14:textId="77777777" w:rsidR="00294C8B" w:rsidRPr="007C46C7"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N</w:t>
      </w:r>
      <w:r>
        <w:rPr>
          <w:szCs w:val="21"/>
          <w:lang w:val="en-US"/>
        </w:rPr>
        <w:t>o: vivo, OPPO, SPRD, DCM, HW/</w:t>
      </w:r>
      <w:proofErr w:type="spellStart"/>
      <w:r>
        <w:rPr>
          <w:szCs w:val="21"/>
          <w:lang w:val="en-US"/>
        </w:rPr>
        <w:t>HiSi</w:t>
      </w:r>
      <w:proofErr w:type="spellEnd"/>
    </w:p>
    <w:tbl>
      <w:tblPr>
        <w:tblStyle w:val="aff3"/>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 introduced FG52-2 in Rel-18 because RAN1 noticed that R16 </w:t>
            </w:r>
            <w:proofErr w:type="gramStart"/>
            <w:r>
              <w:rPr>
                <w:rFonts w:eastAsiaTheme="minorEastAsia"/>
                <w:color w:val="000000" w:themeColor="text1"/>
                <w:lang w:val="en-US"/>
              </w:rPr>
              <w:t>multi CRS</w:t>
            </w:r>
            <w:proofErr w:type="gramEnd"/>
            <w:r>
              <w:rPr>
                <w:rFonts w:eastAsiaTheme="minorEastAsia"/>
                <w:color w:val="000000" w:themeColor="text1"/>
                <w:lang w:val="en-US"/>
              </w:rPr>
              <w:t xml:space="preserve">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5C3D2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5C3D28">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and the total maximum</w:t>
            </w:r>
            <w:r w:rsidRPr="00C634C9">
              <w:rPr>
                <w:rFonts w:ascii="Times" w:eastAsia="宋体" w:hAnsi="Times"/>
                <w:lang w:eastAsia="zh-CN"/>
              </w:rPr>
              <w:t xml:space="preserve"> number of LTE-CRS non-overlapping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bl>
    <w:p w14:paraId="06C3C488" w14:textId="77777777" w:rsidR="00294C8B" w:rsidRPr="007C46C7"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Conclusions</w:t>
      </w:r>
    </w:p>
    <w:p w14:paraId="6C33859B" w14:textId="77777777" w:rsidR="00294C8B" w:rsidRDefault="009D1DB3">
      <w:pPr>
        <w:spacing w:afterLines="50" w:after="120"/>
        <w:jc w:val="both"/>
        <w:rPr>
          <w:sz w:val="22"/>
        </w:rPr>
      </w:pPr>
      <w:r>
        <w:rPr>
          <w:sz w:val="22"/>
          <w:lang w:val="en-US"/>
        </w:rPr>
        <w:t>To be updated</w:t>
      </w: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0"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 xml:space="preserve">Huawei, </w:t>
      </w:r>
      <w:proofErr w:type="spellStart"/>
      <w:r>
        <w:rPr>
          <w:rFonts w:eastAsia="MS Mincho"/>
          <w:sz w:val="22"/>
        </w:rPr>
        <w:t>HiSilicon</w:t>
      </w:r>
      <w:bookmarkEnd w:id="10"/>
      <w:proofErr w:type="spellEnd"/>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5630" w14:textId="77777777" w:rsidR="00152E2C" w:rsidRDefault="00152E2C">
      <w:pPr>
        <w:spacing w:line="240" w:lineRule="auto"/>
      </w:pPr>
      <w:r>
        <w:separator/>
      </w:r>
    </w:p>
  </w:endnote>
  <w:endnote w:type="continuationSeparator" w:id="0">
    <w:p w14:paraId="63010AE8" w14:textId="77777777" w:rsidR="00152E2C" w:rsidRDefault="00152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77777777" w:rsidR="005654B4" w:rsidRDefault="005654B4">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20</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41</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8C35" w14:textId="77777777" w:rsidR="00152E2C" w:rsidRDefault="00152E2C">
      <w:pPr>
        <w:spacing w:after="0"/>
      </w:pPr>
      <w:r>
        <w:separator/>
      </w:r>
    </w:p>
  </w:footnote>
  <w:footnote w:type="continuationSeparator" w:id="0">
    <w:p w14:paraId="5AE6D81F" w14:textId="77777777" w:rsidR="00152E2C" w:rsidRDefault="00152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768310647">
    <w:abstractNumId w:val="7"/>
  </w:num>
  <w:num w:numId="2" w16cid:durableId="166554704">
    <w:abstractNumId w:val="19"/>
  </w:num>
  <w:num w:numId="3" w16cid:durableId="1868059757">
    <w:abstractNumId w:val="43"/>
  </w:num>
  <w:num w:numId="4" w16cid:durableId="1405031240">
    <w:abstractNumId w:val="51"/>
  </w:num>
  <w:num w:numId="5" w16cid:durableId="1787701461">
    <w:abstractNumId w:val="14"/>
  </w:num>
  <w:num w:numId="6" w16cid:durableId="1155415587">
    <w:abstractNumId w:val="21"/>
  </w:num>
  <w:num w:numId="7" w16cid:durableId="368341426">
    <w:abstractNumId w:val="33"/>
  </w:num>
  <w:num w:numId="8" w16cid:durableId="1397431221">
    <w:abstractNumId w:val="23"/>
  </w:num>
  <w:num w:numId="9" w16cid:durableId="390277733">
    <w:abstractNumId w:val="18"/>
  </w:num>
  <w:num w:numId="10" w16cid:durableId="101458199">
    <w:abstractNumId w:val="24"/>
  </w:num>
  <w:num w:numId="11" w16cid:durableId="1386027877">
    <w:abstractNumId w:val="37"/>
  </w:num>
  <w:num w:numId="12" w16cid:durableId="305550093">
    <w:abstractNumId w:val="25"/>
  </w:num>
  <w:num w:numId="13" w16cid:durableId="452792333">
    <w:abstractNumId w:val="31"/>
  </w:num>
  <w:num w:numId="14" w16cid:durableId="1910117717">
    <w:abstractNumId w:val="30"/>
  </w:num>
  <w:num w:numId="15" w16cid:durableId="787163834">
    <w:abstractNumId w:val="44"/>
  </w:num>
  <w:num w:numId="16" w16cid:durableId="1274365905">
    <w:abstractNumId w:val="29"/>
  </w:num>
  <w:num w:numId="17" w16cid:durableId="1908034357">
    <w:abstractNumId w:val="27"/>
  </w:num>
  <w:num w:numId="18" w16cid:durableId="249048725">
    <w:abstractNumId w:val="20"/>
  </w:num>
  <w:num w:numId="19" w16cid:durableId="61175148">
    <w:abstractNumId w:val="26"/>
  </w:num>
  <w:num w:numId="20" w16cid:durableId="578175603">
    <w:abstractNumId w:val="12"/>
  </w:num>
  <w:num w:numId="21" w16cid:durableId="1573735942">
    <w:abstractNumId w:val="35"/>
  </w:num>
  <w:num w:numId="22" w16cid:durableId="1399279506">
    <w:abstractNumId w:val="15"/>
  </w:num>
  <w:num w:numId="23" w16cid:durableId="1945918519">
    <w:abstractNumId w:val="22"/>
  </w:num>
  <w:num w:numId="24" w16cid:durableId="2018343375">
    <w:abstractNumId w:val="34"/>
  </w:num>
  <w:num w:numId="25" w16cid:durableId="2060863147">
    <w:abstractNumId w:val="6"/>
  </w:num>
  <w:num w:numId="26" w16cid:durableId="888035003">
    <w:abstractNumId w:val="38"/>
  </w:num>
  <w:num w:numId="27" w16cid:durableId="1795249745">
    <w:abstractNumId w:val="36"/>
  </w:num>
  <w:num w:numId="28" w16cid:durableId="538392675">
    <w:abstractNumId w:val="40"/>
  </w:num>
  <w:num w:numId="29" w16cid:durableId="591476698">
    <w:abstractNumId w:val="1"/>
  </w:num>
  <w:num w:numId="30" w16cid:durableId="1283608990">
    <w:abstractNumId w:val="52"/>
  </w:num>
  <w:num w:numId="31" w16cid:durableId="1784499764">
    <w:abstractNumId w:val="8"/>
  </w:num>
  <w:num w:numId="32" w16cid:durableId="2056343529">
    <w:abstractNumId w:val="39"/>
  </w:num>
  <w:num w:numId="33" w16cid:durableId="1257516514">
    <w:abstractNumId w:val="49"/>
  </w:num>
  <w:num w:numId="34" w16cid:durableId="781262012">
    <w:abstractNumId w:val="13"/>
  </w:num>
  <w:num w:numId="35" w16cid:durableId="918372754">
    <w:abstractNumId w:val="48"/>
  </w:num>
  <w:num w:numId="36" w16cid:durableId="377046089">
    <w:abstractNumId w:val="16"/>
  </w:num>
  <w:num w:numId="37" w16cid:durableId="752356051">
    <w:abstractNumId w:val="5"/>
  </w:num>
  <w:num w:numId="38" w16cid:durableId="1016227638">
    <w:abstractNumId w:val="17"/>
  </w:num>
  <w:num w:numId="39" w16cid:durableId="999113003">
    <w:abstractNumId w:val="45"/>
  </w:num>
  <w:num w:numId="40" w16cid:durableId="1431050138">
    <w:abstractNumId w:val="9"/>
  </w:num>
  <w:num w:numId="41" w16cid:durableId="1162891322">
    <w:abstractNumId w:val="46"/>
  </w:num>
  <w:num w:numId="42" w16cid:durableId="402340599">
    <w:abstractNumId w:val="47"/>
  </w:num>
  <w:num w:numId="43" w16cid:durableId="456678845">
    <w:abstractNumId w:val="0"/>
  </w:num>
  <w:num w:numId="44" w16cid:durableId="2075547976">
    <w:abstractNumId w:val="50"/>
  </w:num>
  <w:num w:numId="45" w16cid:durableId="917062349">
    <w:abstractNumId w:val="10"/>
  </w:num>
  <w:num w:numId="46" w16cid:durableId="1381637184">
    <w:abstractNumId w:val="2"/>
  </w:num>
  <w:num w:numId="47" w16cid:durableId="734281319">
    <w:abstractNumId w:val="3"/>
  </w:num>
  <w:num w:numId="48" w16cid:durableId="290480474">
    <w:abstractNumId w:val="41"/>
  </w:num>
  <w:num w:numId="49" w16cid:durableId="37897706">
    <w:abstractNumId w:val="28"/>
  </w:num>
  <w:num w:numId="50" w16cid:durableId="319894417">
    <w:abstractNumId w:val="42"/>
  </w:num>
  <w:num w:numId="51" w16cid:durableId="1532261169">
    <w:abstractNumId w:val="32"/>
  </w:num>
  <w:num w:numId="52" w16cid:durableId="2003773932">
    <w:abstractNumId w:val="11"/>
  </w:num>
  <w:num w:numId="53" w16cid:durableId="132331230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AUAWEDVRiwAAAA="/>
  </w:docVars>
  <w:rsids>
    <w:rsidRoot w:val="00036917"/>
    <w:rsid w:val="8ECF04A3"/>
    <w:rsid w:val="BFBFF2E6"/>
    <w:rsid w:val="DF6EDE08"/>
    <w:rsid w:val="F3DF59A3"/>
    <w:rsid w:val="FE3D51ED"/>
    <w:rsid w:val="FFFB01EC"/>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56C"/>
    <w:rsid w:val="000F27F8"/>
    <w:rsid w:val="000F2B5F"/>
    <w:rsid w:val="000F2C7F"/>
    <w:rsid w:val="000F2C9D"/>
    <w:rsid w:val="000F30B2"/>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3FBB"/>
    <w:rsid w:val="0029404D"/>
    <w:rsid w:val="00294080"/>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4DD"/>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CAF"/>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0778"/>
    <w:pPr>
      <w:spacing w:after="160" w:line="259" w:lineRule="auto"/>
    </w:pPr>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5">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basedOn w:val="a0"/>
    <w:link w:val="aff8"/>
    <w:uiPriority w:val="34"/>
    <w:qFormat/>
    <w:pPr>
      <w:ind w:leftChars="400" w:left="840"/>
    </w:pPr>
  </w:style>
  <w:style w:type="character" w:customStyle="1" w:styleId="aff8">
    <w:name w:val="列表段落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6432.zi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17692</Words>
  <Characters>100850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2017-08-08T22:40:00Z</cp:lastPrinted>
  <dcterms:created xsi:type="dcterms:W3CDTF">2023-04-18T03:29:00Z</dcterms:created>
  <dcterms:modified xsi:type="dcterms:W3CDTF">2023-04-18T03:29:00Z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ies>
</file>