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jpeg" ContentType="image/jpeg"/>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571"/>
          <w:tab w:val="right" w:pos="9216" w:leader="none"/>
        </w:tabs>
        <w:rPr>
          <w:rFonts w:ascii="Calibri" w:hAnsi="Calibri" w:cs="Calibri"/>
        </w:rPr>
      </w:pPr>
      <w:r>
        <w:rPr>
          <w:rFonts w:cs="Calibri" w:ascii="Calibri" w:hAnsi="Calibri" w:asciiTheme="minorHAnsi" w:cstheme="minorHAnsi" w:hAnsiTheme="minorHAnsi"/>
          <w:b/>
        </w:rPr>
        <w:t>3GPP TSG RAN WG1 Meeting #112</w:t>
        <w:tab/>
        <w:t>R1-</w:t>
      </w:r>
      <w:r>
        <w:rPr>
          <w:rFonts w:cs="Calibri" w:ascii="Calibri" w:hAnsi="Calibri" w:asciiTheme="minorHAnsi" w:cstheme="minorHAnsi" w:hAnsiTheme="minorHAnsi"/>
          <w:b/>
        </w:rPr>
        <w:t>2301698</w:t>
      </w:r>
    </w:p>
    <w:p>
      <w:pPr>
        <w:pStyle w:val="Normal"/>
        <w:rPr>
          <w:rFonts w:ascii="Calibri" w:hAnsi="Calibri" w:cs="Calibri"/>
        </w:rPr>
      </w:pPr>
      <w:r>
        <w:rPr>
          <w:rFonts w:cs="Calibri" w:ascii="Calibri" w:hAnsi="Calibri" w:asciiTheme="minorHAnsi" w:cstheme="minorHAnsi" w:hAnsiTheme="minorHAnsi"/>
          <w:b/>
        </w:rPr>
        <w:t>Greece, February 27</w:t>
      </w:r>
      <w:r>
        <w:rPr>
          <w:rFonts w:cs="Calibri" w:ascii="Calibri" w:hAnsi="Calibri" w:asciiTheme="minorHAnsi" w:cstheme="minorHAnsi" w:hAnsiTheme="minorHAnsi"/>
          <w:b/>
          <w:vertAlign w:val="superscript"/>
        </w:rPr>
        <w:t>th</w:t>
      </w:r>
      <w:r>
        <w:rPr>
          <w:rFonts w:cs="Calibri" w:ascii="Calibri" w:hAnsi="Calibri" w:asciiTheme="minorHAnsi" w:cstheme="minorHAnsi" w:hAnsiTheme="minorHAnsi"/>
          <w:b/>
        </w:rPr>
        <w:t xml:space="preserve"> – March 3</w:t>
      </w:r>
      <w:r>
        <w:rPr>
          <w:rFonts w:cs="Calibri" w:ascii="Calibri" w:hAnsi="Calibri" w:asciiTheme="minorHAnsi" w:cstheme="minorHAnsi" w:hAnsiTheme="minorHAnsi"/>
          <w:b/>
          <w:vertAlign w:val="superscript"/>
        </w:rPr>
        <w:t xml:space="preserve">rd </w:t>
      </w:r>
      <w:r>
        <w:rPr>
          <w:rFonts w:cs="Calibri" w:ascii="Calibri" w:hAnsi="Calibri" w:asciiTheme="minorHAnsi" w:cstheme="minorHAnsi" w:hAnsiTheme="minorHAnsi"/>
          <w:b/>
        </w:rPr>
        <w:t>, 2023</w:t>
      </w:r>
    </w:p>
    <w:p>
      <w:pPr>
        <w:pStyle w:val="Normal"/>
        <w:pBdr>
          <w:top w:val="single" w:sz="4" w:space="1" w:color="000001"/>
        </w:pBdr>
        <w:rPr>
          <w:rFonts w:ascii="Calibri" w:hAnsi="Calibri" w:cs="Calibri"/>
          <w:b/>
          <w:b/>
        </w:rPr>
      </w:pPr>
      <w:r>
        <w:rPr>
          <w:rFonts w:cs="Calibri" w:ascii="Calibri" w:hAnsi="Calibri"/>
          <w:b/>
        </w:rPr>
      </w:r>
    </w:p>
    <w:p>
      <w:pPr>
        <w:pStyle w:val="Normal"/>
        <w:spacing w:before="0" w:after="60"/>
        <w:ind w:start="1555" w:hanging="1555"/>
        <w:rPr>
          <w:rFonts w:ascii="Calibri" w:hAnsi="Calibri" w:cs="Calibri"/>
        </w:rPr>
      </w:pPr>
      <w:r>
        <w:rPr>
          <w:rFonts w:cs="Calibri" w:ascii="Calibri" w:hAnsi="Calibri" w:asciiTheme="minorHAnsi" w:cstheme="minorHAnsi" w:hAnsiTheme="minorHAnsi"/>
          <w:b/>
        </w:rPr>
        <w:t>Agenda Item:</w:t>
        <w:tab/>
        <w:t>9.7.1</w:t>
      </w:r>
    </w:p>
    <w:p>
      <w:pPr>
        <w:pStyle w:val="Normal"/>
        <w:spacing w:before="0" w:after="60"/>
        <w:ind w:start="1555" w:hanging="1555"/>
        <w:rPr>
          <w:rFonts w:ascii="Calibri" w:hAnsi="Calibri" w:cs="Calibri"/>
        </w:rPr>
      </w:pPr>
      <w:r>
        <w:rPr>
          <w:rFonts w:cs="Calibri" w:ascii="Calibri" w:hAnsi="Calibri" w:asciiTheme="minorHAnsi" w:cstheme="minorHAnsi" w:hAnsiTheme="minorHAnsi"/>
          <w:b/>
        </w:rPr>
        <w:t>Source:</w:t>
        <w:tab/>
        <w:t xml:space="preserve">CEWiT, </w:t>
      </w:r>
      <w:r>
        <w:rPr>
          <w:rFonts w:cs="Calibri" w:ascii="Calibri" w:hAnsi="Calibri" w:asciiTheme="minorHAnsi" w:cstheme="minorHAnsi" w:hAnsiTheme="minorHAnsi"/>
          <w:b/>
        </w:rPr>
        <w:t>IITM, IITK, Reliance Jio</w:t>
      </w:r>
    </w:p>
    <w:p>
      <w:pPr>
        <w:pStyle w:val="Normal"/>
        <w:spacing w:before="0" w:after="60"/>
        <w:ind w:start="1555" w:hanging="1555"/>
        <w:rPr>
          <w:rFonts w:ascii="Calibri" w:hAnsi="Calibri" w:cs="Calibri"/>
        </w:rPr>
      </w:pPr>
      <w:r>
        <w:rPr>
          <w:rFonts w:cs="Calibri" w:ascii="Calibri" w:hAnsi="Calibri" w:asciiTheme="minorHAnsi" w:cstheme="minorHAnsi" w:hAnsiTheme="minorHAnsi"/>
          <w:b/>
        </w:rPr>
        <w:t>Title:</w:t>
        <w:tab/>
        <w:t>Discussion on Spatial and Power Adaptations for Network Energy Savings</w:t>
      </w:r>
    </w:p>
    <w:p>
      <w:pPr>
        <w:pStyle w:val="Normal"/>
        <w:spacing w:before="0" w:after="60"/>
        <w:ind w:start="1555" w:hanging="1555"/>
        <w:rPr>
          <w:rFonts w:ascii="Calibri" w:hAnsi="Calibri" w:cs="Calibri"/>
        </w:rPr>
      </w:pPr>
      <w:r>
        <w:rPr>
          <w:rFonts w:cs="Calibri" w:ascii="Calibri" w:hAnsi="Calibri" w:asciiTheme="minorHAnsi" w:cstheme="minorHAnsi" w:hAnsiTheme="minorHAnsi"/>
          <w:b/>
        </w:rPr>
        <w:t>Document for:</w:t>
        <w:tab/>
        <w:t xml:space="preserve">Discussion </w:t>
      </w:r>
    </w:p>
    <w:p>
      <w:pPr>
        <w:pStyle w:val="Normal"/>
        <w:pBdr>
          <w:bottom w:val="single" w:sz="4" w:space="1" w:color="000001"/>
        </w:pBdr>
        <w:rPr>
          <w:rFonts w:ascii="Calibri" w:hAnsi="Calibri" w:cs="Calibri"/>
          <w:b/>
          <w:b/>
        </w:rPr>
      </w:pPr>
      <w:r>
        <w:rPr>
          <w:rFonts w:cs="Calibri" w:ascii="Calibri" w:hAnsi="Calibri"/>
          <w:b/>
        </w:rPr>
      </w:r>
    </w:p>
    <w:p>
      <w:pPr>
        <w:pStyle w:val="Heading1"/>
        <w:numPr>
          <w:ilvl w:val="0"/>
          <w:numId w:val="3"/>
        </w:numPr>
        <w:rPr>
          <w:rFonts w:ascii="Calibri" w:hAnsi="Calibri" w:cs="Calibri"/>
          <w:sz w:val="24"/>
          <w:szCs w:val="24"/>
        </w:rPr>
      </w:pPr>
      <w:bookmarkStart w:id="0" w:name="_Ref124589705"/>
      <w:bookmarkStart w:id="1" w:name="_Ref129681862"/>
      <w:bookmarkEnd w:id="0"/>
      <w:bookmarkEnd w:id="1"/>
      <w:r>
        <w:rPr>
          <w:rFonts w:cs="Calibri" w:ascii="Calibri" w:hAnsi="Calibri" w:asciiTheme="minorHAnsi" w:cstheme="minorHAnsi" w:hAnsiTheme="minorHAnsi"/>
          <w:sz w:val="24"/>
          <w:szCs w:val="24"/>
        </w:rPr>
        <w:t>Introduction</w:t>
      </w:r>
    </w:p>
    <w:p>
      <w:pPr>
        <w:pStyle w:val="Normal"/>
        <w:rPr>
          <w:rFonts w:ascii="Calibri" w:hAnsi="Calibri" w:cs="Calibri"/>
          <w:bCs/>
          <w:lang w:val="en-GB"/>
        </w:rPr>
      </w:pPr>
      <w:r>
        <w:rPr>
          <w:rFonts w:cs="Calibri" w:ascii="Calibri" w:hAnsi="Calibri" w:asciiTheme="minorHAnsi" w:cstheme="minorHAnsi" w:hAnsiTheme="minorHAnsi"/>
        </w:rPr>
        <w:t>The study on “Techniques for network energy saving” concluded in RAN1#111 [1]. The details of the various techniques discussed during the SI phase and their potential energy saving gains were described in TR</w:t>
      </w:r>
      <w:r>
        <w:rPr>
          <w:rFonts w:eastAsia="Times New Roman" w:cs="Calibri" w:ascii="Calibri" w:hAnsi="Calibri" w:asciiTheme="minorHAnsi" w:cstheme="minorHAnsi" w:hAnsiTheme="minorHAnsi"/>
          <w:bCs/>
          <w:lang w:val="en-GB"/>
        </w:rPr>
        <w:t xml:space="preserve"> 38.864 [2].</w:t>
      </w:r>
      <w:r>
        <w:rPr>
          <w:rFonts w:cs="Calibri" w:ascii="Calibri" w:hAnsi="Calibri" w:asciiTheme="minorHAnsi" w:cstheme="minorHAnsi" w:hAnsiTheme="minorHAnsi"/>
        </w:rPr>
        <w:t xml:space="preserve"> A new work item on “Spatial and Power Adaptations for network energy savings for NR” was approved with following objectives in </w:t>
      </w:r>
      <w:r>
        <w:rPr>
          <w:rFonts w:cs="Calibri" w:ascii="Calibri" w:hAnsi="Calibri" w:asciiTheme="minorHAnsi" w:cstheme="minorHAnsi" w:hAnsiTheme="minorHAnsi"/>
          <w:bCs/>
          <w:lang w:val="en-GB"/>
        </w:rPr>
        <w:t>RAN#98-e</w:t>
      </w:r>
      <w:r>
        <w:rPr>
          <w:rFonts w:cs="Calibri" w:ascii="Calibri" w:hAnsi="Calibri" w:asciiTheme="minorHAnsi" w:cstheme="minorHAnsi" w:hAnsiTheme="minorHAnsi"/>
        </w:rPr>
        <w:t xml:space="preserve"> [3]. </w:t>
      </w:r>
      <w:r>
        <w:rPr>
          <w:rFonts w:eastAsia="Times New Roman" w:cs="Calibri" w:ascii="Calibri" w:hAnsi="Calibri" w:asciiTheme="minorHAnsi" w:cstheme="minorHAnsi" w:hAnsiTheme="minorHAnsi"/>
          <w:lang w:eastAsia="en-US"/>
        </w:rPr>
        <w:t xml:space="preserve">This contribution further discusses </w:t>
      </w:r>
      <w:r>
        <w:rPr>
          <w:rFonts w:cs="Calibri" w:ascii="Calibri" w:hAnsi="Calibri" w:asciiTheme="minorHAnsi" w:cstheme="minorHAnsi" w:hAnsiTheme="minorHAnsi"/>
        </w:rPr>
        <w:t>some the</w:t>
      </w:r>
      <w:r>
        <w:rPr>
          <w:rFonts w:eastAsia="Times New Roman" w:cs="Calibri" w:ascii="Calibri" w:hAnsi="Calibri" w:asciiTheme="minorHAnsi" w:cstheme="minorHAnsi" w:hAnsiTheme="minorHAnsi"/>
          <w:lang w:eastAsia="en-US"/>
        </w:rPr>
        <w:t xml:space="preserve"> </w:t>
      </w:r>
      <w:r>
        <w:rPr>
          <w:rFonts w:cs="Calibri" w:ascii="Calibri" w:hAnsi="Calibri" w:asciiTheme="minorHAnsi" w:cstheme="minorHAnsi" w:hAnsiTheme="minorHAnsi"/>
        </w:rPr>
        <w:t xml:space="preserve">techniques in spatial and power domains and analyzes its performance </w:t>
      </w:r>
      <w:r>
        <w:rPr>
          <w:rFonts w:cs="Calibri" w:ascii="Calibri" w:hAnsi="Calibri" w:asciiTheme="minorHAnsi" w:cstheme="minorHAnsi" w:hAnsiTheme="minorHAnsi"/>
          <w:bCs/>
          <w:lang w:val="en-GB"/>
        </w:rPr>
        <w:t>to improve network energy savings (NES).</w:t>
      </w:r>
      <w:bookmarkStart w:id="2" w:name="_Ref129681832"/>
    </w:p>
    <w:p>
      <w:pPr>
        <w:pStyle w:val="Normal"/>
        <w:rPr>
          <w:rFonts w:ascii="Calibri" w:hAnsi="Calibri" w:cs="Calibri"/>
          <w:bCs/>
          <w:lang w:val="en-GB"/>
        </w:rPr>
      </w:pPr>
      <w:r>
        <w:rPr>
          <w:rFonts w:cs="Calibri" w:ascii="Calibri" w:hAnsi="Calibri"/>
          <w:bCs/>
          <w:lang w:val="en-GB"/>
        </w:rPr>
      </w:r>
    </w:p>
    <w:tbl>
      <w:tblPr>
        <w:tblW w:w="9638" w:type="dxa"/>
        <w:jc w:val="start"/>
        <w:tblInd w:w="55" w:type="dxa"/>
        <w:tblLayout w:type="fixed"/>
        <w:tblCellMar>
          <w:top w:w="55" w:type="dxa"/>
          <w:start w:w="55" w:type="dxa"/>
          <w:bottom w:w="55" w:type="dxa"/>
          <w:end w:w="55" w:type="dxa"/>
        </w:tblCellMar>
        <w:tblLook w:val="0000" w:noHBand="0" w:noVBand="0" w:firstColumn="0" w:lastRow="0" w:lastColumn="0" w:firstRow="0"/>
      </w:tblPr>
      <w:tblGrid>
        <w:gridCol w:w="9638"/>
      </w:tblGrid>
      <w:tr>
        <w:trPr/>
        <w:tc>
          <w:tcPr>
            <w:tcW w:w="9638" w:type="dxa"/>
            <w:tcBorders>
              <w:top w:val="single" w:sz="2" w:space="0" w:color="000000"/>
              <w:start w:val="single" w:sz="2" w:space="0" w:color="000000"/>
              <w:bottom w:val="single" w:sz="2" w:space="0" w:color="000000"/>
              <w:end w:val="single" w:sz="2" w:space="0" w:color="000000"/>
            </w:tcBorders>
          </w:tcPr>
          <w:p>
            <w:pPr>
              <w:pStyle w:val="Normal"/>
              <w:widowControl w:val="false"/>
              <w:spacing w:before="240" w:after="0"/>
              <w:ind w:start="420" w:hanging="0"/>
              <w:rPr>
                <w:rFonts w:ascii="Calibri" w:hAnsi="Calibri" w:cs="Calibri"/>
                <w:bCs/>
              </w:rPr>
            </w:pPr>
            <w:r>
              <w:rPr>
                <w:rFonts w:cs="Calibri" w:ascii="Calibri" w:hAnsi="Calibri" w:asciiTheme="minorHAnsi" w:cstheme="minorHAnsi" w:hAnsiTheme="minorHAnsi"/>
                <w:b/>
                <w:bCs/>
              </w:rPr>
              <w:t>Objectives</w:t>
            </w:r>
            <w:r>
              <w:rPr>
                <w:rFonts w:cs="Calibri" w:ascii="Calibri" w:hAnsi="Calibri" w:asciiTheme="minorHAnsi" w:cstheme="minorHAnsi" w:hAnsiTheme="minorHAnsi"/>
                <w:bCs/>
              </w:rPr>
              <w:br/>
              <w:t>Specify the following techniques in spatial and power domains</w:t>
            </w:r>
          </w:p>
          <w:p>
            <w:pPr>
              <w:pStyle w:val="Normal"/>
              <w:widowControl w:val="false"/>
              <w:numPr>
                <w:ilvl w:val="0"/>
                <w:numId w:val="5"/>
              </w:numPr>
              <w:spacing w:before="120" w:after="120"/>
              <w:ind w:start="1049" w:hanging="329"/>
              <w:rPr>
                <w:rFonts w:ascii="Calibri" w:hAnsi="Calibri" w:cs="Calibri"/>
                <w:bCs/>
                <w:lang w:val="en-US"/>
              </w:rPr>
            </w:pPr>
            <w:r>
              <w:rPr>
                <w:rFonts w:cs="Calibri" w:ascii="Calibri" w:hAnsi="Calibri" w:asciiTheme="minorHAnsi" w:cstheme="minorHAnsi" w:hAnsiTheme="minorHAnsi"/>
                <w:bCs/>
                <w:lang w:val="en-US"/>
              </w:rPr>
              <w:t>Specify necessary enhancements on CSI and beam management related procedures including measurement and report, and signaling to enable efficient adaptation of spatial elements (e.g. antenna ports, active transceiver chains) [RAN1, RAN2]</w:t>
            </w:r>
          </w:p>
          <w:p>
            <w:pPr>
              <w:pStyle w:val="Normal"/>
              <w:widowControl w:val="false"/>
              <w:numPr>
                <w:ilvl w:val="0"/>
                <w:numId w:val="5"/>
              </w:numPr>
              <w:spacing w:before="120" w:after="120"/>
              <w:ind w:start="1049" w:hanging="329"/>
              <w:rPr>
                <w:rFonts w:ascii="Calibri" w:hAnsi="Calibri" w:cs="Calibri"/>
                <w:bCs/>
                <w:lang w:val="en-US"/>
              </w:rPr>
            </w:pPr>
            <w:r>
              <w:rPr>
                <w:rFonts w:cs="Calibri" w:ascii="Calibri" w:hAnsi="Calibri" w:asciiTheme="minorHAnsi" w:cstheme="minorHAnsi" w:hAnsiTheme="minorHAnsi"/>
                <w:bCs/>
                <w:lang w:val="en-US"/>
              </w:rPr>
              <w:t>Specify necessary enhancements on CSI related procedures including measurement and report, and signaling to enable efficient adaptation of power offset values between PDSCH and CSI-RS [RAN1, RAN2]</w:t>
            </w:r>
          </w:p>
          <w:p>
            <w:pPr>
              <w:pStyle w:val="Normal"/>
              <w:widowControl w:val="false"/>
              <w:numPr>
                <w:ilvl w:val="0"/>
                <w:numId w:val="5"/>
              </w:numPr>
              <w:spacing w:before="120" w:after="120"/>
              <w:ind w:start="1049" w:hanging="329"/>
              <w:rPr>
                <w:rFonts w:ascii="Calibri" w:hAnsi="Calibri" w:cs="Calibri"/>
              </w:rPr>
            </w:pPr>
            <w:r>
              <w:rPr>
                <w:rFonts w:cs="Calibri" w:ascii="Calibri" w:hAnsi="Calibri" w:asciiTheme="minorHAnsi" w:cstheme="minorHAnsi" w:hAnsiTheme="minorHAnsi"/>
                <w:bCs/>
                <w:lang w:val="en-US"/>
              </w:rPr>
              <w:t>Note: Above objectives are only for UE specific channels/signals</w:t>
            </w:r>
          </w:p>
          <w:p>
            <w:pPr>
              <w:pStyle w:val="Normal"/>
              <w:widowControl w:val="false"/>
              <w:numPr>
                <w:ilvl w:val="0"/>
                <w:numId w:val="5"/>
              </w:numPr>
              <w:spacing w:before="120" w:after="120"/>
              <w:ind w:start="1049" w:hanging="329"/>
              <w:rPr>
                <w:rFonts w:ascii="Calibri" w:hAnsi="Calibri" w:cs="Calibri"/>
              </w:rPr>
            </w:pPr>
            <w:r>
              <w:rPr>
                <w:rFonts w:cs="Calibri" w:ascii="Calibri" w:hAnsi="Calibri" w:asciiTheme="minorHAnsi" w:cstheme="minorHAnsi" w:hAnsiTheme="minorHAnsi"/>
                <w:bCs/>
                <w:lang w:val="en-US"/>
              </w:rPr>
              <w:t>Note: Legacy UE CSI/CSI-RS capabilities applies when considering total number of CSI reports and requirements</w:t>
            </w:r>
          </w:p>
        </w:tc>
      </w:tr>
    </w:tbl>
    <w:p>
      <w:pPr>
        <w:pStyle w:val="Normal"/>
        <w:rPr>
          <w:rFonts w:ascii="Calibri" w:hAnsi="Calibri" w:cs="Calibri"/>
          <w:bCs/>
          <w:lang w:val="en-GB"/>
        </w:rPr>
      </w:pPr>
      <w:r>
        <w:rPr>
          <w:rFonts w:cs="Calibri" w:ascii="Calibri" w:hAnsi="Calibri"/>
          <w:bCs/>
          <w:lang w:val="en-GB"/>
        </w:rPr>
      </w:r>
    </w:p>
    <w:p>
      <w:pPr>
        <w:pStyle w:val="TextBody"/>
        <w:spacing w:before="0" w:after="0"/>
        <w:rPr>
          <w:rFonts w:ascii="Calibri" w:hAnsi="Calibri" w:cs="Calibri"/>
        </w:rPr>
      </w:pPr>
      <w:r>
        <w:rPr>
          <w:rFonts w:cs="Calibri" w:ascii="Calibri" w:hAnsi="Calibri"/>
        </w:rPr>
      </w:r>
    </w:p>
    <w:p>
      <w:pPr>
        <w:pStyle w:val="Heading1"/>
        <w:numPr>
          <w:ilvl w:val="0"/>
          <w:numId w:val="3"/>
        </w:numPr>
        <w:rPr>
          <w:rFonts w:ascii="Calibri" w:hAnsi="Calibri" w:cs="Calibri"/>
          <w:sz w:val="24"/>
          <w:szCs w:val="24"/>
        </w:rPr>
      </w:pPr>
      <w:r>
        <w:rPr>
          <w:rFonts w:cs="Calibri" w:ascii="Calibri" w:hAnsi="Calibri" w:asciiTheme="minorHAnsi" w:cstheme="minorHAnsi" w:hAnsiTheme="minorHAnsi"/>
          <w:sz w:val="24"/>
          <w:szCs w:val="24"/>
        </w:rPr>
        <w:t>Spatial domain techniques for network energy saving</w:t>
      </w:r>
    </w:p>
    <w:p>
      <w:pPr>
        <w:pStyle w:val="Normal"/>
        <w:spacing w:lineRule="auto" w:line="252" w:before="120" w:after="120"/>
        <w:rPr>
          <w:rFonts w:ascii="Calibri" w:hAnsi="Calibri" w:cs="Calibri"/>
          <w:iCs/>
        </w:rPr>
      </w:pPr>
      <w:r>
        <w:rPr>
          <w:rFonts w:cs="Calibri" w:ascii="Calibri" w:hAnsi="Calibri" w:asciiTheme="minorHAnsi" w:cstheme="minorHAnsi" w:hAnsiTheme="minorHAnsi"/>
          <w:iCs/>
        </w:rPr>
        <w:t xml:space="preserve">In NR, the large of number of antennas, TRX chains and antenna elements is a dominant contributor for energy consumption at the gNB. The energy consumption at gNB can be reduced by adapting number of the spatial elements used for transmission or receptions based on parameters like channel condition, QoS requirement, UE arrival rate, deployment scenario, user density and traffic load. For e.g., the gNB can deactivate some of antenna elements and transmit or receive with a smaller number of antenna elements, as shown in Fig. 1, when the load is low. However, the adaptation of antenna components will have an impact on the transmission/reception of channels/signals. For e.g., CSI-RS resources semi-statically configured to the UE is associated with certain number of ports, using which the UE is expecting the BS transmit the CSI-RS resource. The dynamic adaptation of antenna elements may vary the number of logical ports creating variation in the CSI-RS configuration given to the UE. Therefore, gNB dynamically signalling information about the adaptation of antenna components to the UE is supported. The UE can update the CSI-RS configuration based on dynamic indication and perform measurements based on the updated CSI-RS configuration. </w:t>
      </w:r>
    </w:p>
    <w:p>
      <w:pPr>
        <w:pStyle w:val="Normal"/>
        <w:spacing w:lineRule="auto" w:line="252" w:before="120" w:after="120"/>
        <w:rPr>
          <w:rFonts w:ascii="Calibri" w:hAnsi="Calibri" w:cs="Calibri"/>
          <w:iCs/>
        </w:rPr>
      </w:pPr>
      <w:r>
        <w:rPr>
          <w:rFonts w:cs="Calibri" w:ascii="Calibri" w:hAnsi="Calibri" w:asciiTheme="minorHAnsi" w:cstheme="minorHAnsi" w:hAnsiTheme="minorHAnsi"/>
          <w:b/>
          <w:bCs/>
          <w:iCs/>
        </w:rPr>
        <w:t>Observation 1:</w:t>
      </w:r>
      <w:r>
        <w:rPr>
          <w:rFonts w:cs="Calibri" w:ascii="Calibri" w:hAnsi="Calibri" w:asciiTheme="minorHAnsi" w:cstheme="minorHAnsi" w:hAnsiTheme="minorHAnsi"/>
          <w:iCs/>
        </w:rPr>
        <w:t xml:space="preserve"> The adaptation of antenna elements by the gNB varies number of logical ports and causes variation in the CSI-RS configuration given to the UE.</w:t>
      </w:r>
    </w:p>
    <w:p>
      <w:pPr>
        <w:pStyle w:val="Normal"/>
        <w:spacing w:lineRule="auto" w:line="252" w:before="120" w:after="120"/>
        <w:rPr>
          <w:rFonts w:ascii="Calibri" w:hAnsi="Calibri" w:cs="Calibri"/>
          <w:iCs/>
        </w:rPr>
      </w:pPr>
      <w:r>
        <w:rPr>
          <w:rFonts w:cs="Calibri" w:ascii="Calibri" w:hAnsi="Calibri" w:asciiTheme="minorHAnsi" w:cstheme="minorHAnsi" w:hAnsiTheme="minorHAnsi"/>
          <w:b/>
          <w:bCs/>
          <w:iCs/>
        </w:rPr>
        <w:t>Proposal 1:</w:t>
      </w:r>
      <w:r>
        <w:rPr>
          <w:rFonts w:cs="Calibri" w:ascii="Calibri" w:hAnsi="Calibri" w:asciiTheme="minorHAnsi" w:cstheme="minorHAnsi" w:hAnsiTheme="minorHAnsi"/>
          <w:iCs/>
        </w:rPr>
        <w:t xml:space="preserve"> gNB dynamically signalling information about the adaptation of antenna components to the UE is supported.</w:t>
      </w:r>
    </w:p>
    <w:p>
      <w:pPr>
        <w:pStyle w:val="Normal"/>
        <w:tabs>
          <w:tab w:val="clear" w:pos="571"/>
          <w:tab w:val="left" w:pos="2985" w:leader="none"/>
        </w:tabs>
        <w:spacing w:lineRule="auto" w:line="252" w:before="120" w:after="120"/>
        <w:jc w:val="center"/>
        <w:rPr>
          <w:rFonts w:ascii="Calibri" w:hAnsi="Calibri" w:cs="Calibri"/>
          <w:b/>
          <w:b/>
          <w:bCs/>
        </w:rPr>
      </w:pPr>
      <w:r>
        <w:rPr>
          <w:rFonts w:cs="Calibri" w:ascii="Calibri" w:hAnsi="Calibri"/>
          <w:b/>
          <w:bCs/>
        </w:rPr>
      </w:r>
    </w:p>
    <w:p>
      <w:pPr>
        <w:pStyle w:val="Normal"/>
        <w:tabs>
          <w:tab w:val="clear" w:pos="571"/>
          <w:tab w:val="left" w:pos="2985" w:leader="none"/>
        </w:tabs>
        <w:spacing w:lineRule="auto" w:line="252" w:before="120" w:after="120"/>
        <w:jc w:val="center"/>
        <w:rPr>
          <w:rFonts w:ascii="Calibri" w:hAnsi="Calibri" w:cs="Calibri"/>
          <w:b/>
          <w:b/>
          <w:bCs/>
        </w:rPr>
      </w:pPr>
      <w:r>
        <w:rPr/>
        <w:drawing>
          <wp:inline distT="0" distB="0" distL="0" distR="0">
            <wp:extent cx="5351780" cy="2595880"/>
            <wp:effectExtent l="0" t="0" r="0" b="0"/>
            <wp:docPr id="1" name="Image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title=""/>
                    <pic:cNvPicPr>
                      <a:picLocks noChangeAspect="1" noChangeArrowheads="1"/>
                    </pic:cNvPicPr>
                  </pic:nvPicPr>
                  <pic:blipFill>
                    <a:blip r:embed="rId2"/>
                    <a:srcRect l="5534" t="25615" r="7015" b="44386"/>
                    <a:stretch>
                      <a:fillRect/>
                    </a:stretch>
                  </pic:blipFill>
                  <pic:spPr bwMode="auto">
                    <a:xfrm>
                      <a:off x="0" y="0"/>
                      <a:ext cx="5351780" cy="2595880"/>
                    </a:xfrm>
                    <a:prstGeom prst="rect">
                      <a:avLst/>
                    </a:prstGeom>
                  </pic:spPr>
                </pic:pic>
              </a:graphicData>
            </a:graphic>
          </wp:inline>
        </w:drawing>
      </w:r>
    </w:p>
    <w:p>
      <w:pPr>
        <w:pStyle w:val="Normal"/>
        <w:tabs>
          <w:tab w:val="clear" w:pos="571"/>
          <w:tab w:val="left" w:pos="2985" w:leader="none"/>
        </w:tabs>
        <w:spacing w:lineRule="auto" w:line="252" w:before="120" w:after="120"/>
        <w:jc w:val="center"/>
        <w:rPr>
          <w:rFonts w:ascii="Calibri" w:hAnsi="Calibri" w:cs="Calibri"/>
          <w:b/>
          <w:b/>
          <w:bCs/>
        </w:rPr>
      </w:pPr>
      <w:r>
        <w:rPr>
          <w:rFonts w:cs="Calibri" w:ascii="Calibri" w:hAnsi="Calibri" w:asciiTheme="minorHAnsi" w:cstheme="minorHAnsi" w:hAnsiTheme="minorHAnsi"/>
          <w:b/>
          <w:bCs/>
        </w:rPr>
        <w:t>Figure 1. Adaptation of antenna elements</w:t>
      </w:r>
    </w:p>
    <w:p>
      <w:pPr>
        <w:pStyle w:val="Normal"/>
        <w:tabs>
          <w:tab w:val="clear" w:pos="571"/>
          <w:tab w:val="left" w:pos="2985" w:leader="none"/>
        </w:tabs>
        <w:spacing w:lineRule="auto" w:line="252" w:before="120" w:after="120"/>
        <w:rPr>
          <w:rFonts w:ascii="Calibri" w:hAnsi="Calibri" w:cs="Calibri"/>
        </w:rPr>
      </w:pPr>
      <w:r>
        <w:rPr>
          <w:rFonts w:cs="Calibri" w:ascii="Calibri" w:hAnsi="Calibri"/>
        </w:rPr>
      </w:r>
    </w:p>
    <w:p>
      <w:pPr>
        <w:pStyle w:val="Normal"/>
        <w:spacing w:lineRule="auto" w:line="252" w:before="120" w:after="120"/>
        <w:rPr>
          <w:rFonts w:ascii="Calibri" w:hAnsi="Calibri" w:cs="Calibri"/>
          <w:iCs/>
        </w:rPr>
      </w:pPr>
      <w:r>
        <w:rPr>
          <w:rFonts w:cs="Calibri" w:ascii="Calibri" w:hAnsi="Calibri" w:asciiTheme="minorHAnsi" w:cstheme="minorHAnsi" w:hAnsiTheme="minorHAnsi"/>
          <w:iCs/>
        </w:rPr>
        <w:t xml:space="preserve">Further, the adaptation of antenna elements can be performed in two ways: in the first method the gNB configures UE to report multiple CSI for different antenna configurations and adapt to a particular configuration based on the report, whereas in the second one the gNB adapt the antenna components and configure UE to report CSI corresponding to the adapted configuration. The advantage with former method is that the gNB has knowledge of CSI after adaptation and can schedule UEs accordingly. In the latter one the gNB is unaware of the CSI at the time of adaptation and can lead to improper scheduling and throughput loss. </w:t>
      </w:r>
    </w:p>
    <w:p>
      <w:pPr>
        <w:pStyle w:val="Normal"/>
        <w:spacing w:lineRule="auto" w:line="252" w:before="120" w:after="120"/>
        <w:rPr>
          <w:rFonts w:ascii="Calibri" w:hAnsi="Calibri" w:cs="Calibri"/>
          <w:iCs/>
        </w:rPr>
      </w:pPr>
      <w:r>
        <w:rPr>
          <w:rFonts w:cs="Calibri" w:ascii="Calibri" w:hAnsi="Calibri"/>
          <w:iCs/>
        </w:rPr>
      </w:r>
    </w:p>
    <w:p>
      <w:pPr>
        <w:pStyle w:val="Normal"/>
        <w:spacing w:lineRule="auto" w:line="252" w:before="120" w:after="120"/>
        <w:rPr>
          <w:rFonts w:ascii="Calibri" w:hAnsi="Calibri" w:cs="Calibri"/>
          <w:iCs/>
        </w:rPr>
      </w:pPr>
      <w:r>
        <w:rPr>
          <w:rFonts w:cs="Calibri" w:ascii="Calibri" w:hAnsi="Calibri" w:asciiTheme="minorHAnsi" w:cstheme="minorHAnsi" w:hAnsiTheme="minorHAnsi"/>
          <w:b/>
          <w:bCs/>
          <w:iCs/>
        </w:rPr>
        <w:t>Observation 2:</w:t>
      </w:r>
      <w:r>
        <w:rPr>
          <w:rFonts w:cs="Calibri" w:ascii="Calibri" w:hAnsi="Calibri" w:asciiTheme="minorHAnsi" w:cstheme="minorHAnsi" w:hAnsiTheme="minorHAnsi"/>
          <w:iCs/>
        </w:rPr>
        <w:t xml:space="preserve">  Following methods are used for adapting antenna components</w:t>
      </w:r>
    </w:p>
    <w:p>
      <w:pPr>
        <w:pStyle w:val="Normal"/>
        <w:spacing w:lineRule="auto" w:line="252" w:before="120" w:after="120"/>
        <w:rPr>
          <w:rFonts w:ascii="Calibri" w:hAnsi="Calibri" w:cs="Calibri"/>
          <w:iCs/>
        </w:rPr>
      </w:pPr>
      <w:r>
        <w:rPr>
          <w:rFonts w:cs="Calibri" w:ascii="Calibri" w:hAnsi="Calibri" w:asciiTheme="minorHAnsi" w:cstheme="minorHAnsi" w:hAnsiTheme="minorHAnsi"/>
          <w:iCs/>
        </w:rPr>
        <w:tab/>
        <w:t>Alt 1: gNB configures UE to report multiple CSI for different antenna configurations and adapt to a particular configuration based on the report</w:t>
      </w:r>
    </w:p>
    <w:p>
      <w:pPr>
        <w:pStyle w:val="Normal"/>
        <w:spacing w:lineRule="auto" w:line="252" w:before="120" w:after="120"/>
        <w:rPr>
          <w:rFonts w:ascii="Calibri" w:hAnsi="Calibri" w:cs="Calibri"/>
          <w:iCs/>
        </w:rPr>
      </w:pPr>
      <w:r>
        <w:rPr>
          <w:rFonts w:cs="Calibri" w:ascii="Calibri" w:hAnsi="Calibri" w:asciiTheme="minorHAnsi" w:cstheme="minorHAnsi" w:hAnsiTheme="minorHAnsi"/>
          <w:iCs/>
        </w:rPr>
        <w:tab/>
        <w:t>Alt 2: the gNB adapt the antenna components and configure UE to report CSI corresponding to the adapted configuration.</w:t>
      </w:r>
    </w:p>
    <w:p>
      <w:pPr>
        <w:pStyle w:val="Normal"/>
        <w:spacing w:lineRule="auto" w:line="252" w:before="120" w:after="120"/>
        <w:rPr>
          <w:rFonts w:ascii="Calibri" w:hAnsi="Calibri" w:cs="Calibri"/>
          <w:iCs/>
        </w:rPr>
      </w:pPr>
      <w:r>
        <w:rPr>
          <w:rFonts w:cs="Calibri" w:ascii="Calibri" w:hAnsi="Calibri"/>
          <w:iCs/>
        </w:rPr>
      </w:r>
    </w:p>
    <w:p>
      <w:pPr>
        <w:pStyle w:val="Normal"/>
        <w:spacing w:lineRule="auto" w:line="252" w:before="120" w:after="120"/>
        <w:rPr>
          <w:rFonts w:ascii="Calibri" w:hAnsi="Calibri" w:cs="Calibri"/>
          <w:iCs/>
        </w:rPr>
      </w:pPr>
      <w:r>
        <w:rPr>
          <w:rFonts w:cs="Calibri" w:ascii="Calibri" w:hAnsi="Calibri" w:asciiTheme="minorHAnsi" w:cstheme="minorHAnsi" w:hAnsiTheme="minorHAnsi"/>
          <w:iCs/>
        </w:rPr>
        <w:t>However, in Alt1, the gNB has to configure and transmit CSI-RS corresponding to multiple antenna configurations, which increases power consumption at the gNB side. Further, the UE has to measure CSI corresponding to multiple antenna configurations and has to send multiple reports, which consumes additional energy at UE side. Also, implementation of Alt1 depends on the number of reports the UE can send, which in turn depends on capability of the UE. Alt2 is simple and straight forward solution, in which the UE is configured to measure CSI corresponding to the adapted antenna components. Alt2 does not require multiple measurements and reporting for different spatial adaptations at the UE side, thereby reducing energy consumption at the UE. Further, Alt2 can be implemented by reusing the existing CSI reporting framework. The UE power consumption is an important metric and must be minimized while implementing any enhancement for NES. The adaptation at the gNB should have minimum impact on UE power consumption. An analysis for BS category 1 with set 1 reference configurations, as given in appendix, shows that the adaptation of number of TxRU from 64 to 32 with Alt 2 will provide an extra energy saving of 13.92% and 8.7% when compared with Alt 1 in low and medium loads respectively.</w:t>
      </w:r>
    </w:p>
    <w:p>
      <w:pPr>
        <w:pStyle w:val="Normal"/>
        <w:spacing w:lineRule="auto" w:line="252" w:before="120" w:after="120"/>
        <w:rPr>
          <w:rFonts w:ascii="Calibri" w:hAnsi="Calibri" w:cs="Calibri"/>
          <w:iCs/>
        </w:rPr>
      </w:pPr>
      <w:r>
        <w:rPr>
          <w:rFonts w:cs="Calibri" w:ascii="Calibri" w:hAnsi="Calibri" w:asciiTheme="minorHAnsi" w:cstheme="minorHAnsi" w:hAnsiTheme="minorHAnsi"/>
          <w:b/>
          <w:bCs/>
          <w:iCs/>
        </w:rPr>
        <w:t>Observation 3:</w:t>
      </w:r>
      <w:r>
        <w:rPr>
          <w:rFonts w:cs="Calibri" w:ascii="Calibri" w:hAnsi="Calibri" w:asciiTheme="minorHAnsi" w:cstheme="minorHAnsi" w:hAnsiTheme="minorHAnsi"/>
          <w:iCs/>
        </w:rPr>
        <w:t xml:space="preserve"> Alt 1 increases UE power consumption and its effectiveness is limited by UE capability</w:t>
        <w:tab/>
      </w:r>
    </w:p>
    <w:p>
      <w:pPr>
        <w:pStyle w:val="Normal"/>
        <w:rPr>
          <w:rFonts w:ascii="Calibri" w:hAnsi="Calibri" w:cs="Calibri"/>
        </w:rPr>
      </w:pPr>
      <w:r>
        <w:rPr>
          <w:rFonts w:cs="Calibri" w:ascii="Calibri" w:hAnsi="Calibri" w:asciiTheme="minorHAnsi" w:cstheme="minorHAnsi" w:hAnsiTheme="minorHAnsi"/>
          <w:b/>
          <w:bCs/>
          <w:iCs/>
        </w:rPr>
        <w:t>Observation 4:</w:t>
      </w:r>
      <w:r>
        <w:rPr>
          <w:rFonts w:cs="Calibri" w:ascii="Calibri" w:hAnsi="Calibri" w:asciiTheme="minorHAnsi" w:cstheme="minorHAnsi" w:hAnsiTheme="minorHAnsi"/>
          <w:iCs/>
        </w:rPr>
        <w:t xml:space="preserve">  Dynamic adaptaion of TxRU from 64 to 32 with Alt2 provides an additional energy saving of 13.92% and 8.7% when compared with Alt 1 in low and medium loads, respectively.</w:t>
      </w:r>
    </w:p>
    <w:p>
      <w:pPr>
        <w:pStyle w:val="Normal"/>
        <w:rPr>
          <w:rFonts w:ascii="Calibri" w:hAnsi="Calibri" w:cs="Calibri"/>
          <w:iCs/>
        </w:rPr>
      </w:pPr>
      <w:r>
        <w:rPr>
          <w:rFonts w:cs="Calibri" w:ascii="Calibri" w:hAnsi="Calibri"/>
          <w:iCs/>
        </w:rPr>
      </w:r>
    </w:p>
    <w:p>
      <w:pPr>
        <w:pStyle w:val="Normal"/>
        <w:rPr>
          <w:rFonts w:ascii="Calibri" w:hAnsi="Calibri" w:cs="Calibri"/>
          <w:iCs/>
        </w:rPr>
      </w:pPr>
      <w:r>
        <w:rPr>
          <w:rFonts w:cs="Calibri" w:ascii="Calibri" w:hAnsi="Calibri" w:asciiTheme="minorHAnsi" w:cstheme="minorHAnsi" w:hAnsiTheme="minorHAnsi"/>
          <w:b/>
          <w:bCs/>
          <w:iCs/>
        </w:rPr>
        <w:t>Proposal 2:</w:t>
      </w:r>
      <w:r>
        <w:rPr>
          <w:rFonts w:cs="Calibri" w:ascii="Calibri" w:hAnsi="Calibri" w:asciiTheme="minorHAnsi" w:cstheme="minorHAnsi" w:hAnsiTheme="minorHAnsi"/>
          <w:iCs/>
        </w:rPr>
        <w:t xml:space="preserve"> gNB adapting the antenna components and configuring the UE to report CSI corresponding to the adapted configuration is supported.</w:t>
      </w:r>
    </w:p>
    <w:p>
      <w:pPr>
        <w:pStyle w:val="Normal"/>
        <w:rPr>
          <w:rFonts w:ascii="Calibri" w:hAnsi="Calibri" w:cs="Calibri"/>
          <w:iCs/>
        </w:rPr>
      </w:pPr>
      <w:r>
        <w:rPr>
          <w:rFonts w:cs="Calibri" w:ascii="Calibri" w:hAnsi="Calibri"/>
          <w:iCs/>
        </w:rPr>
      </w:r>
    </w:p>
    <w:p>
      <w:pPr>
        <w:pStyle w:val="Normal"/>
        <w:rPr>
          <w:rFonts w:ascii="Calibri" w:hAnsi="Calibri" w:cs="Calibri"/>
          <w:iCs/>
        </w:rPr>
      </w:pPr>
      <w:r>
        <w:rPr>
          <w:rFonts w:cs="Calibri" w:ascii="Calibri" w:hAnsi="Calibri"/>
          <w:iCs/>
        </w:rPr>
      </w:r>
    </w:p>
    <w:p>
      <w:pPr>
        <w:pStyle w:val="Heading1"/>
        <w:numPr>
          <w:ilvl w:val="0"/>
          <w:numId w:val="3"/>
        </w:numPr>
        <w:rPr>
          <w:rFonts w:ascii="Calibri" w:hAnsi="Calibri" w:cs="Calibri"/>
          <w:sz w:val="24"/>
          <w:szCs w:val="24"/>
        </w:rPr>
      </w:pPr>
      <w:r>
        <w:rPr>
          <w:rFonts w:cs="Calibri" w:ascii="Calibri" w:hAnsi="Calibri" w:asciiTheme="minorHAnsi" w:cstheme="minorHAnsi" w:hAnsiTheme="minorHAnsi"/>
          <w:sz w:val="24"/>
          <w:szCs w:val="24"/>
        </w:rPr>
        <w:t>Power domain techniques for network energy saving</w:t>
      </w:r>
    </w:p>
    <w:p>
      <w:pPr>
        <w:pStyle w:val="Normal"/>
        <w:rPr>
          <w:rStyle w:val="Annotationreference"/>
          <w:rFonts w:ascii="Calibri" w:hAnsi="Calibri" w:eastAsia="Wingdings" w:cs="Calibri"/>
          <w:sz w:val="24"/>
          <w:szCs w:val="24"/>
        </w:rPr>
      </w:pPr>
      <w:r>
        <w:rPr>
          <w:rStyle w:val="Annotationreference"/>
          <w:rFonts w:eastAsia="Wingdings" w:cs="Calibri" w:ascii="Calibri" w:hAnsi="Calibri" w:asciiTheme="minorHAnsi" w:cstheme="minorHAnsi" w:hAnsiTheme="minorHAnsi"/>
          <w:sz w:val="24"/>
          <w:szCs w:val="24"/>
        </w:rPr>
        <w:t xml:space="preserve">Adapting the transmit power of signals/channels based on parameters like channel conditions, load, UE density and location saves energy without affecting the performance. In NR, the adaptation of transmit power of DL signals/channels is performed using various power offsets configured to the UEs semi-statically through RRC. Therefore, the power offsets cannot adapt to the variation in parameters, like channel condition and location of UE, which are dynamic in nature.  The semi static updation of the downlink transmit power which is provided to the UE through RRC causes unnecessarily power consumption at gNB in certain cases. For example, in a good channel condition or in a case of UEs near to the gNB, dynamic reduction in the transmit power will help to conserve energy at the gNB. Thus, dynamic adaptation of downlink transmission power is supported for NES. </w:t>
      </w:r>
    </w:p>
    <w:p>
      <w:pPr>
        <w:pStyle w:val="Normal"/>
        <w:rPr>
          <w:rStyle w:val="Annotationreference"/>
          <w:rFonts w:ascii="Calibri" w:hAnsi="Calibri" w:eastAsia="Wingdings" w:cs="Calibri"/>
          <w:sz w:val="24"/>
          <w:szCs w:val="24"/>
        </w:rPr>
      </w:pPr>
      <w:r>
        <w:rPr>
          <w:rFonts w:eastAsia="Wingdings" w:cs="Calibri" w:ascii="Calibri" w:hAnsi="Calibri"/>
          <w:sz w:val="24"/>
          <w:szCs w:val="24"/>
        </w:rPr>
      </w:r>
    </w:p>
    <w:p>
      <w:pPr>
        <w:pStyle w:val="Normal"/>
        <w:rPr>
          <w:rStyle w:val="Annotationreference"/>
          <w:rFonts w:ascii="Calibri" w:hAnsi="Calibri" w:eastAsia="Wingdings" w:cs="Calibri"/>
          <w:sz w:val="24"/>
          <w:szCs w:val="24"/>
        </w:rPr>
      </w:pPr>
      <w:r>
        <w:rPr>
          <w:rStyle w:val="Annotationreference"/>
          <w:rFonts w:eastAsia="Wingdings" w:cs="Calibri" w:ascii="Calibri" w:hAnsi="Calibri" w:asciiTheme="minorHAnsi" w:cstheme="minorHAnsi" w:hAnsiTheme="minorHAnsi"/>
          <w:sz w:val="24"/>
          <w:szCs w:val="24"/>
        </w:rPr>
        <w:t>Further, in NR, the power offset is defined as the ratio of EPRE between two DL signals or channels. The EPRE is same across the set of resources occupied by the signal/channel. However, the parameters like channel condition can vary across the set of resources. Therefore, dynamic adaptation of transmit power within the resources occupied by the signal/channel is supported. The dynamic variation in transmit power will have implications at the UE side as well. For e.g., the UE uses the information about transmit power of RS in measuring various parameters and reporting the parameters to the gNB. Hence, the indication about the dynamic adaptation of power at the gNB to the UE is supported.</w:t>
      </w:r>
    </w:p>
    <w:p>
      <w:pPr>
        <w:pStyle w:val="Normal"/>
        <w:rPr>
          <w:rFonts w:ascii="Calibri" w:hAnsi="Calibri" w:cs="Calibri"/>
        </w:rPr>
      </w:pPr>
      <w:r>
        <w:rPr>
          <w:rFonts w:cs="Calibri" w:ascii="Calibri" w:hAnsi="Calibri"/>
        </w:rPr>
      </w:r>
    </w:p>
    <w:p>
      <w:pPr>
        <w:pStyle w:val="Normal"/>
        <w:rPr>
          <w:rFonts w:ascii="Calibri" w:hAnsi="Calibri" w:cs="Calibri"/>
        </w:rPr>
      </w:pPr>
      <w:r>
        <w:rPr>
          <w:rStyle w:val="Annotationreference"/>
          <w:rFonts w:eastAsia="Wingdings" w:cs="Calibri" w:ascii="Calibri" w:hAnsi="Calibri" w:asciiTheme="minorHAnsi" w:cstheme="minorHAnsi" w:hAnsiTheme="minorHAnsi"/>
          <w:b/>
          <w:bCs/>
          <w:iCs/>
          <w:sz w:val="24"/>
          <w:szCs w:val="24"/>
        </w:rPr>
        <w:t>Proposal 3:</w:t>
      </w:r>
      <w:r>
        <w:rPr>
          <w:rStyle w:val="Annotationreference"/>
          <w:rFonts w:eastAsia="Wingdings" w:cs="Calibri" w:ascii="Calibri" w:hAnsi="Calibri" w:asciiTheme="minorHAnsi" w:cstheme="minorHAnsi" w:hAnsiTheme="minorHAnsi"/>
          <w:iCs/>
          <w:sz w:val="24"/>
          <w:szCs w:val="24"/>
        </w:rPr>
        <w:t xml:space="preserve"> Dynamically adapting the DL transmit power of signals/channels at gNB in specific set of frequency and time resources.</w:t>
      </w:r>
    </w:p>
    <w:p>
      <w:pPr>
        <w:pStyle w:val="Normal"/>
        <w:rPr>
          <w:rFonts w:ascii="Calibri" w:hAnsi="Calibri" w:cs="Calibri"/>
        </w:rPr>
      </w:pPr>
      <w:r>
        <w:rPr>
          <w:rStyle w:val="Annotationreference"/>
          <w:rFonts w:eastAsia="Wingdings" w:cs="Calibri" w:ascii="Calibri" w:hAnsi="Calibri" w:asciiTheme="minorHAnsi" w:cstheme="minorHAnsi" w:hAnsiTheme="minorHAnsi"/>
          <w:b/>
          <w:bCs/>
          <w:iCs/>
          <w:sz w:val="24"/>
          <w:szCs w:val="24"/>
        </w:rPr>
        <w:t>Proposal 4:</w:t>
      </w:r>
      <w:r>
        <w:rPr>
          <w:rStyle w:val="Annotationreference"/>
          <w:rFonts w:eastAsia="Wingdings" w:cs="Calibri" w:ascii="Calibri" w:hAnsi="Calibri" w:asciiTheme="minorHAnsi" w:cstheme="minorHAnsi" w:hAnsiTheme="minorHAnsi"/>
          <w:iCs/>
          <w:sz w:val="24"/>
          <w:szCs w:val="24"/>
        </w:rPr>
        <w:t xml:space="preserve"> Dynamically indicating about the adaptation of DL transmit power to the UE is supported.</w:t>
      </w:r>
    </w:p>
    <w:p>
      <w:pPr>
        <w:pStyle w:val="Normal"/>
        <w:rPr>
          <w:rFonts w:ascii="Calibri" w:hAnsi="Calibri" w:eastAsia="Wingdings" w:cs="Calibri"/>
          <w:iCs/>
        </w:rPr>
      </w:pPr>
      <w:r>
        <w:rPr>
          <w:rFonts w:eastAsia="Wingdings" w:cs="Calibri" w:ascii="Calibri" w:hAnsi="Calibri"/>
          <w:iCs/>
        </w:rPr>
      </w:r>
    </w:p>
    <w:p>
      <w:pPr>
        <w:pStyle w:val="Heading1"/>
        <w:numPr>
          <w:ilvl w:val="0"/>
          <w:numId w:val="3"/>
        </w:numPr>
        <w:rPr>
          <w:rFonts w:ascii="Calibri" w:hAnsi="Calibri" w:cs="Calibri"/>
          <w:sz w:val="24"/>
          <w:szCs w:val="24"/>
        </w:rPr>
      </w:pPr>
      <w:r>
        <w:rPr>
          <w:rFonts w:eastAsia="Wingdings" w:cs="Calibri" w:ascii="Calibri" w:hAnsi="Calibri" w:asciiTheme="minorHAnsi" w:cstheme="minorHAnsi" w:hAnsiTheme="minorHAnsi"/>
          <w:sz w:val="24"/>
          <w:szCs w:val="24"/>
        </w:rPr>
        <w:t>Conclusion</w:t>
      </w:r>
    </w:p>
    <w:p>
      <w:pPr>
        <w:pStyle w:val="Normal"/>
        <w:rPr>
          <w:rFonts w:ascii="Calibri" w:hAnsi="Calibri" w:cs="Calibri"/>
        </w:rPr>
      </w:pPr>
      <w:r>
        <w:rPr>
          <w:rFonts w:eastAsia="Wingdings" w:cs="Calibri" w:ascii="Calibri" w:hAnsi="Calibri" w:asciiTheme="minorHAnsi" w:cstheme="minorHAnsi" w:hAnsiTheme="minorHAnsi"/>
          <w:lang w:val="en-GB"/>
        </w:rPr>
        <w:t xml:space="preserve">In this contribution, we discussed the techniques in spatial and power domains for NES. According to the technical analysis, the following proposals are made, </w:t>
      </w:r>
    </w:p>
    <w:p>
      <w:pPr>
        <w:pStyle w:val="Normal"/>
        <w:rPr>
          <w:rFonts w:ascii="Calibri" w:hAnsi="Calibri" w:eastAsia="Malgun Gothic" w:cs="Calibri"/>
          <w:b/>
          <w:b/>
          <w:bCs/>
          <w:iCs/>
        </w:rPr>
      </w:pPr>
      <w:r>
        <w:rPr>
          <w:rFonts w:eastAsia="Malgun Gothic" w:cs="Calibri" w:ascii="Calibri" w:hAnsi="Calibri"/>
          <w:b/>
          <w:bCs/>
          <w:iCs/>
        </w:rPr>
      </w:r>
    </w:p>
    <w:p>
      <w:pPr>
        <w:pStyle w:val="Normal"/>
        <w:spacing w:lineRule="auto" w:line="252" w:before="120" w:after="120"/>
        <w:rPr>
          <w:rFonts w:ascii="Calibri" w:hAnsi="Calibri" w:cs="Calibri"/>
          <w:iCs/>
        </w:rPr>
      </w:pPr>
      <w:r>
        <w:rPr>
          <w:rFonts w:cs="Calibri" w:ascii="Calibri" w:hAnsi="Calibri" w:asciiTheme="minorHAnsi" w:cstheme="minorHAnsi" w:hAnsiTheme="minorHAnsi"/>
          <w:b/>
          <w:bCs/>
          <w:iCs/>
        </w:rPr>
        <w:t>Observation 1:</w:t>
      </w:r>
      <w:r>
        <w:rPr>
          <w:rFonts w:cs="Calibri" w:ascii="Calibri" w:hAnsi="Calibri" w:asciiTheme="minorHAnsi" w:cstheme="minorHAnsi" w:hAnsiTheme="minorHAnsi"/>
          <w:iCs/>
        </w:rPr>
        <w:t xml:space="preserve"> The adaptation of antenna elements by the gNB varies number of logical ports and causes variation in the CSI-RS configuration given to the UE</w:t>
      </w:r>
    </w:p>
    <w:p>
      <w:pPr>
        <w:pStyle w:val="Normal"/>
        <w:spacing w:lineRule="auto" w:line="252" w:before="120" w:after="120"/>
        <w:rPr>
          <w:rFonts w:ascii="Calibri" w:hAnsi="Calibri" w:cs="Calibri"/>
          <w:iCs/>
        </w:rPr>
      </w:pPr>
      <w:r>
        <w:rPr>
          <w:rFonts w:cs="Calibri" w:ascii="Calibri" w:hAnsi="Calibri" w:asciiTheme="minorHAnsi" w:cstheme="minorHAnsi" w:hAnsiTheme="minorHAnsi"/>
          <w:b/>
          <w:bCs/>
          <w:iCs/>
        </w:rPr>
        <w:t>Proposal 1:</w:t>
      </w:r>
      <w:r>
        <w:rPr>
          <w:rFonts w:cs="Calibri" w:ascii="Calibri" w:hAnsi="Calibri" w:asciiTheme="minorHAnsi" w:cstheme="minorHAnsi" w:hAnsiTheme="minorHAnsi"/>
          <w:iCs/>
        </w:rPr>
        <w:t xml:space="preserve"> gNB dynamically signalling information about the adaptation of antenna components to the UE is supported</w:t>
      </w:r>
    </w:p>
    <w:p>
      <w:pPr>
        <w:pStyle w:val="Normal"/>
        <w:spacing w:lineRule="auto" w:line="252" w:before="120" w:after="120"/>
        <w:rPr>
          <w:rFonts w:ascii="Calibri" w:hAnsi="Calibri" w:cs="Calibri"/>
          <w:iCs/>
        </w:rPr>
      </w:pPr>
      <w:r>
        <w:rPr>
          <w:rFonts w:cs="Calibri" w:ascii="Calibri" w:hAnsi="Calibri" w:asciiTheme="minorHAnsi" w:cstheme="minorHAnsi" w:hAnsiTheme="minorHAnsi"/>
          <w:b/>
          <w:bCs/>
          <w:iCs/>
        </w:rPr>
        <w:t>Observation 2:</w:t>
      </w:r>
      <w:r>
        <w:rPr>
          <w:rFonts w:cs="Calibri" w:ascii="Calibri" w:hAnsi="Calibri" w:asciiTheme="minorHAnsi" w:cstheme="minorHAnsi" w:hAnsiTheme="minorHAnsi"/>
          <w:iCs/>
        </w:rPr>
        <w:t xml:space="preserve">  Following methods are used for adapting antenna components</w:t>
      </w:r>
    </w:p>
    <w:p>
      <w:pPr>
        <w:pStyle w:val="Normal"/>
        <w:spacing w:lineRule="auto" w:line="252" w:before="120" w:after="120"/>
        <w:rPr>
          <w:rFonts w:ascii="Calibri" w:hAnsi="Calibri" w:cs="Calibri"/>
          <w:iCs/>
        </w:rPr>
      </w:pPr>
      <w:r>
        <w:rPr>
          <w:rFonts w:cs="Calibri" w:ascii="Calibri" w:hAnsi="Calibri" w:asciiTheme="minorHAnsi" w:cstheme="minorHAnsi" w:hAnsiTheme="minorHAnsi"/>
          <w:iCs/>
        </w:rPr>
        <w:tab/>
        <w:t>Alt 1: gNB configures UE to report multiple CSI for different antenna configurations and adapt to a particular configuration based on the report</w:t>
      </w:r>
      <w:r>
        <w:rPr>
          <w:rStyle w:val="Annotationreference"/>
          <w:rFonts w:cs="Calibri" w:ascii="Calibri" w:hAnsi="Calibri" w:asciiTheme="minorHAnsi" w:cstheme="minorHAnsi" w:hAnsiTheme="minorHAnsi"/>
          <w:iCs/>
          <w:sz w:val="24"/>
          <w:szCs w:val="24"/>
        </w:rPr>
        <w:t>.</w:t>
      </w:r>
    </w:p>
    <w:p>
      <w:pPr>
        <w:pStyle w:val="Normal"/>
        <w:spacing w:lineRule="auto" w:line="252" w:before="120" w:after="120"/>
        <w:rPr>
          <w:rFonts w:ascii="Calibri" w:hAnsi="Calibri" w:cs="Calibri"/>
          <w:iCs/>
        </w:rPr>
      </w:pPr>
      <w:r>
        <w:rPr>
          <w:rStyle w:val="Annotationreference"/>
          <w:rFonts w:cs="Calibri" w:ascii="Calibri" w:hAnsi="Calibri" w:asciiTheme="minorHAnsi" w:cstheme="minorHAnsi" w:hAnsiTheme="minorHAnsi"/>
          <w:iCs/>
          <w:sz w:val="24"/>
          <w:szCs w:val="24"/>
        </w:rPr>
        <w:tab/>
        <w:t>Alt 2: the gNB adapt the antenna components and configure UE to report CSI corresponding to the adapted configuration</w:t>
      </w:r>
    </w:p>
    <w:p>
      <w:pPr>
        <w:pStyle w:val="Normal"/>
        <w:spacing w:lineRule="auto" w:line="252" w:before="120" w:after="120"/>
        <w:rPr>
          <w:rFonts w:ascii="Calibri" w:hAnsi="Calibri" w:cs="Calibri"/>
          <w:iCs/>
        </w:rPr>
      </w:pPr>
      <w:r>
        <w:rPr>
          <w:rFonts w:cs="Calibri" w:ascii="Calibri" w:hAnsi="Calibri" w:asciiTheme="minorHAnsi" w:cstheme="minorHAnsi" w:hAnsiTheme="minorHAnsi"/>
          <w:b/>
          <w:bCs/>
          <w:iCs/>
        </w:rPr>
        <w:t>Observation 3:</w:t>
      </w:r>
      <w:r>
        <w:rPr>
          <w:rFonts w:cs="Calibri" w:ascii="Calibri" w:hAnsi="Calibri" w:asciiTheme="minorHAnsi" w:cstheme="minorHAnsi" w:hAnsiTheme="minorHAnsi"/>
          <w:iCs/>
        </w:rPr>
        <w:t xml:space="preserve"> Alt 1 increases UE power consumption and its effectiveness is limited by UE capability</w:t>
        <w:tab/>
      </w:r>
    </w:p>
    <w:p>
      <w:pPr>
        <w:pStyle w:val="Normal"/>
        <w:rPr>
          <w:rFonts w:ascii="Calibri" w:hAnsi="Calibri" w:cs="Calibri"/>
        </w:rPr>
      </w:pPr>
      <w:r>
        <w:rPr>
          <w:rFonts w:cs="Calibri" w:ascii="Calibri" w:hAnsi="Calibri" w:asciiTheme="minorHAnsi" w:cstheme="minorHAnsi" w:hAnsiTheme="minorHAnsi"/>
          <w:b/>
          <w:bCs/>
          <w:iCs/>
        </w:rPr>
        <w:t>Observation 4:</w:t>
      </w:r>
      <w:r>
        <w:rPr>
          <w:rFonts w:cs="Calibri" w:ascii="Calibri" w:hAnsi="Calibri" w:asciiTheme="minorHAnsi" w:cstheme="minorHAnsi" w:hAnsiTheme="minorHAnsi"/>
          <w:iCs/>
        </w:rPr>
        <w:t xml:space="preserve">  Dynamic adaptaion of TxRU from 64 to 32 with Alt2 provides an additional energy saving of 13.92% and 8.7% when compared with Alt 1 in low and medium loads, respectively.</w:t>
      </w:r>
    </w:p>
    <w:p>
      <w:pPr>
        <w:pStyle w:val="Normal"/>
        <w:rPr>
          <w:rFonts w:ascii="Calibri" w:hAnsi="Calibri" w:cs="Calibri"/>
        </w:rPr>
      </w:pPr>
      <w:r>
        <w:rPr>
          <w:rFonts w:cs="Calibri" w:ascii="Calibri" w:hAnsi="Calibri" w:asciiTheme="minorHAnsi" w:cstheme="minorHAnsi" w:hAnsiTheme="minorHAnsi"/>
          <w:b/>
          <w:bCs/>
          <w:iCs/>
        </w:rPr>
        <w:t>Proposal 2:</w:t>
      </w:r>
      <w:r>
        <w:rPr>
          <w:rFonts w:cs="Calibri" w:ascii="Calibri" w:hAnsi="Calibri" w:asciiTheme="minorHAnsi" w:cstheme="minorHAnsi" w:hAnsiTheme="minorHAnsi"/>
          <w:iCs/>
        </w:rPr>
        <w:t xml:space="preserve"> gNB adapting the antenna components and configuring the UE to report CSI corresponding to the adapted configuration is supported.</w:t>
      </w:r>
    </w:p>
    <w:p>
      <w:pPr>
        <w:pStyle w:val="Normal"/>
        <w:rPr>
          <w:rFonts w:ascii="Calibri" w:hAnsi="Calibri" w:cs="Calibri"/>
        </w:rPr>
      </w:pPr>
      <w:r>
        <w:rPr>
          <w:rStyle w:val="Annotationreference"/>
          <w:rFonts w:eastAsia="Wingdings" w:cs="Calibri" w:ascii="Calibri" w:hAnsi="Calibri" w:asciiTheme="minorHAnsi" w:cstheme="minorHAnsi" w:hAnsiTheme="minorHAnsi"/>
          <w:b/>
          <w:bCs/>
          <w:iCs/>
          <w:sz w:val="24"/>
          <w:szCs w:val="24"/>
        </w:rPr>
        <w:t>Proposal 3:</w:t>
      </w:r>
      <w:r>
        <w:rPr>
          <w:rStyle w:val="Annotationreference"/>
          <w:rFonts w:eastAsia="Wingdings" w:cs="Calibri" w:ascii="Calibri" w:hAnsi="Calibri" w:asciiTheme="minorHAnsi" w:cstheme="minorHAnsi" w:hAnsiTheme="minorHAnsi"/>
          <w:iCs/>
          <w:sz w:val="24"/>
          <w:szCs w:val="24"/>
        </w:rPr>
        <w:t xml:space="preserve"> Dynamically adapting the DL transmit power of signals/channels at gNB in specific set of frequency and time resources.</w:t>
      </w:r>
    </w:p>
    <w:p>
      <w:pPr>
        <w:pStyle w:val="Normal"/>
        <w:rPr>
          <w:rFonts w:ascii="Calibri" w:hAnsi="Calibri" w:cs="Calibri"/>
        </w:rPr>
      </w:pPr>
      <w:r>
        <w:rPr>
          <w:rStyle w:val="Annotationreference"/>
          <w:rFonts w:eastAsia="Wingdings" w:cs="Calibri" w:ascii="Calibri" w:hAnsi="Calibri" w:asciiTheme="minorHAnsi" w:cstheme="minorHAnsi" w:hAnsiTheme="minorHAnsi"/>
          <w:b/>
          <w:bCs/>
          <w:iCs/>
          <w:sz w:val="24"/>
          <w:szCs w:val="24"/>
        </w:rPr>
        <w:t>Proposal 4:</w:t>
      </w:r>
      <w:r>
        <w:rPr>
          <w:rStyle w:val="Annotationreference"/>
          <w:rFonts w:eastAsia="Wingdings" w:cs="Calibri" w:ascii="Calibri" w:hAnsi="Calibri" w:asciiTheme="minorHAnsi" w:cstheme="minorHAnsi" w:hAnsiTheme="minorHAnsi"/>
          <w:iCs/>
          <w:sz w:val="24"/>
          <w:szCs w:val="24"/>
        </w:rPr>
        <w:t xml:space="preserve"> Dynamically indicating about the adaptation of DL transmit power to the UE is supported.</w:t>
      </w:r>
    </w:p>
    <w:p>
      <w:pPr>
        <w:pStyle w:val="Normal"/>
        <w:rPr>
          <w:rFonts w:ascii="Calibri" w:hAnsi="Calibri" w:cs="Calibri"/>
        </w:rPr>
      </w:pPr>
      <w:r>
        <w:rPr>
          <w:rFonts w:cs="Calibri" w:ascii="Calibri" w:hAnsi="Calibri"/>
        </w:rPr>
      </w:r>
    </w:p>
    <w:p>
      <w:pPr>
        <w:pStyle w:val="ListParagraph"/>
        <w:shd w:val="clear" w:color="auto" w:fill="FFFFFF"/>
        <w:ind w:hanging="0"/>
        <w:rPr>
          <w:rFonts w:ascii="Calibri" w:hAnsi="Calibri" w:eastAsia="Wingdings" w:cs="Calibri"/>
          <w:iCs/>
        </w:rPr>
      </w:pPr>
      <w:r>
        <w:rPr>
          <w:rFonts w:eastAsia="Wingdings" w:cs="Calibri" w:ascii="Calibri" w:hAnsi="Calibri"/>
          <w:iCs/>
        </w:rPr>
      </w:r>
    </w:p>
    <w:p>
      <w:pPr>
        <w:pStyle w:val="Heading1"/>
        <w:numPr>
          <w:ilvl w:val="0"/>
          <w:numId w:val="3"/>
        </w:numPr>
        <w:rPr>
          <w:rFonts w:ascii="Calibri" w:hAnsi="Calibri" w:cs="Calibri"/>
          <w:sz w:val="24"/>
          <w:szCs w:val="24"/>
        </w:rPr>
      </w:pPr>
      <w:bookmarkStart w:id="3" w:name="_Ref124671424"/>
      <w:bookmarkStart w:id="4" w:name="_Ref124589665"/>
      <w:bookmarkStart w:id="5" w:name="_Ref71620620"/>
      <w:bookmarkEnd w:id="3"/>
      <w:bookmarkEnd w:id="4"/>
      <w:bookmarkEnd w:id="5"/>
      <w:r>
        <w:rPr>
          <w:rFonts w:eastAsia="Wingdings" w:cs="Calibri" w:ascii="Calibri" w:hAnsi="Calibri" w:asciiTheme="minorHAnsi" w:cstheme="minorHAnsi" w:hAnsiTheme="minorHAnsi"/>
          <w:sz w:val="24"/>
          <w:szCs w:val="24"/>
        </w:rPr>
        <w:t>References</w:t>
      </w:r>
      <w:bookmarkEnd w:id="2"/>
    </w:p>
    <w:p>
      <w:pPr>
        <w:pStyle w:val="References"/>
        <w:numPr>
          <w:ilvl w:val="0"/>
          <w:numId w:val="4"/>
        </w:numPr>
        <w:rPr>
          <w:rFonts w:ascii="Calibri" w:hAnsi="Calibri" w:cs="Calibri"/>
          <w:sz w:val="24"/>
          <w:szCs w:val="24"/>
        </w:rPr>
      </w:pPr>
      <w:r>
        <w:rPr>
          <w:rFonts w:cs="Calibri" w:ascii="Calibri" w:hAnsi="Calibri" w:asciiTheme="minorHAnsi" w:cstheme="minorHAnsi" w:hAnsiTheme="minorHAnsi"/>
          <w:sz w:val="24"/>
          <w:szCs w:val="24"/>
        </w:rPr>
        <w:t>“</w:t>
      </w:r>
      <w:r>
        <w:rPr>
          <w:rFonts w:cs="Calibri" w:ascii="Calibri" w:hAnsi="Calibri" w:asciiTheme="minorHAnsi" w:cstheme="minorHAnsi" w:hAnsiTheme="minorHAnsi"/>
          <w:sz w:val="24"/>
          <w:szCs w:val="24"/>
        </w:rPr>
        <w:t xml:space="preserve">Chairman’s notes RAN1 #111”, </w:t>
      </w:r>
      <w:r>
        <w:rPr>
          <w:rFonts w:eastAsia="SimSun;宋体" w:cs="Calibri" w:ascii="Calibri" w:hAnsi="Calibri" w:asciiTheme="minorHAnsi" w:cstheme="minorHAnsi" w:hAnsiTheme="minorHAnsi"/>
          <w:color w:val="00000A"/>
          <w:sz w:val="24"/>
          <w:szCs w:val="24"/>
        </w:rPr>
        <w:t>14</w:t>
      </w:r>
      <w:r>
        <w:rPr>
          <w:rFonts w:eastAsia="SimSun;宋体" w:cs="Calibri" w:ascii="Calibri" w:hAnsi="Calibri" w:asciiTheme="minorHAnsi" w:cstheme="minorHAnsi" w:hAnsiTheme="minorHAnsi"/>
          <w:color w:val="00000A"/>
          <w:sz w:val="24"/>
          <w:szCs w:val="24"/>
          <w:vertAlign w:val="superscript"/>
        </w:rPr>
        <w:t>th</w:t>
      </w:r>
      <w:r>
        <w:rPr>
          <w:rFonts w:eastAsia="SimSun;宋体" w:cs="Calibri" w:ascii="Calibri" w:hAnsi="Calibri" w:asciiTheme="minorHAnsi" w:cstheme="minorHAnsi" w:hAnsiTheme="minorHAnsi"/>
          <w:color w:val="00000A"/>
          <w:sz w:val="24"/>
          <w:szCs w:val="24"/>
        </w:rPr>
        <w:t xml:space="preserve"> – 18</w:t>
      </w:r>
      <w:r>
        <w:rPr>
          <w:rFonts w:eastAsia="SimSun;宋体" w:cs="Calibri" w:ascii="Calibri" w:hAnsi="Calibri" w:asciiTheme="minorHAnsi" w:cstheme="minorHAnsi" w:hAnsiTheme="minorHAnsi"/>
          <w:color w:val="00000A"/>
          <w:sz w:val="24"/>
          <w:szCs w:val="24"/>
          <w:vertAlign w:val="superscript"/>
        </w:rPr>
        <w:t>th</w:t>
      </w:r>
      <w:r>
        <w:rPr>
          <w:rFonts w:cs="Calibri" w:ascii="Calibri" w:hAnsi="Calibri" w:asciiTheme="minorHAnsi" w:cstheme="minorHAnsi" w:hAnsiTheme="minorHAnsi"/>
          <w:sz w:val="24"/>
          <w:szCs w:val="24"/>
        </w:rPr>
        <w:t xml:space="preserve"> </w:t>
      </w:r>
      <w:r>
        <w:rPr>
          <w:rFonts w:eastAsia="SimSun;宋体" w:cs="Calibri" w:ascii="Calibri" w:hAnsi="Calibri" w:asciiTheme="minorHAnsi" w:cstheme="minorHAnsi" w:hAnsiTheme="minorHAnsi"/>
          <w:color w:val="00000A"/>
          <w:sz w:val="24"/>
          <w:szCs w:val="24"/>
        </w:rPr>
        <w:t>November</w:t>
      </w:r>
      <w:r>
        <w:rPr>
          <w:rFonts w:cs="Calibri" w:ascii="Calibri" w:hAnsi="Calibri" w:asciiTheme="minorHAnsi" w:cstheme="minorHAnsi" w:hAnsiTheme="minorHAnsi"/>
          <w:sz w:val="24"/>
          <w:szCs w:val="24"/>
        </w:rPr>
        <w:t xml:space="preserve"> 2022.</w:t>
      </w:r>
    </w:p>
    <w:p>
      <w:pPr>
        <w:pStyle w:val="References"/>
        <w:numPr>
          <w:ilvl w:val="0"/>
          <w:numId w:val="4"/>
        </w:numPr>
        <w:rPr>
          <w:rFonts w:ascii="Calibri" w:hAnsi="Calibri" w:cs="Calibri"/>
          <w:sz w:val="24"/>
          <w:szCs w:val="24"/>
        </w:rPr>
      </w:pPr>
      <w:bookmarkStart w:id="6" w:name="_Ref446582201"/>
      <w:bookmarkStart w:id="7" w:name="_Ref485833320"/>
      <w:r>
        <w:rPr>
          <w:rFonts w:eastAsia="Wingdings" w:cs="Calibri" w:ascii="Calibri" w:hAnsi="Calibri" w:asciiTheme="minorHAnsi" w:cstheme="minorHAnsi" w:hAnsiTheme="minorHAnsi"/>
          <w:sz w:val="24"/>
          <w:szCs w:val="24"/>
          <w:lang w:eastAsia="en-IN"/>
        </w:rPr>
        <w:t>TR 38.864, Study on network energy saving for NR</w:t>
      </w:r>
    </w:p>
    <w:p>
      <w:pPr>
        <w:pStyle w:val="References"/>
        <w:numPr>
          <w:ilvl w:val="0"/>
          <w:numId w:val="4"/>
        </w:numPr>
        <w:rPr>
          <w:rFonts w:ascii="Calibri" w:hAnsi="Calibri" w:cs="Calibri"/>
          <w:sz w:val="24"/>
          <w:szCs w:val="24"/>
        </w:rPr>
      </w:pPr>
      <w:r>
        <w:rPr>
          <w:rFonts w:eastAsia="Wingdings" w:cs="Calibri" w:ascii="Calibri" w:hAnsi="Calibri" w:asciiTheme="minorHAnsi" w:cstheme="minorHAnsi" w:hAnsiTheme="minorHAnsi"/>
          <w:sz w:val="24"/>
          <w:szCs w:val="24"/>
          <w:lang w:eastAsia="en-IN"/>
        </w:rPr>
        <w:t>RP-223540</w:t>
      </w:r>
      <w:r>
        <w:rPr>
          <w:rFonts w:eastAsia="Wingdings" w:cs="Calibri" w:ascii="Calibri" w:hAnsi="Calibri" w:asciiTheme="minorHAnsi" w:cstheme="minorHAnsi" w:hAnsiTheme="minorHAnsi"/>
          <w:sz w:val="24"/>
          <w:szCs w:val="24"/>
          <w:lang w:eastAsia="ko-KR"/>
        </w:rPr>
        <w:t xml:space="preserve">, </w:t>
      </w:r>
      <w:bookmarkEnd w:id="6"/>
      <w:bookmarkEnd w:id="7"/>
      <w:r>
        <w:rPr>
          <w:rFonts w:eastAsia="Batang;Malgun Gothic" w:cs="Calibri" w:ascii="Calibri" w:hAnsi="Calibri" w:asciiTheme="minorHAnsi" w:cstheme="minorHAnsi" w:hAnsiTheme="minorHAnsi"/>
          <w:sz w:val="24"/>
          <w:szCs w:val="24"/>
          <w:lang w:val="en-GB"/>
        </w:rPr>
        <w:t>New WID: Network energy savings for NR</w:t>
      </w:r>
      <w:r>
        <w:rPr>
          <w:rFonts w:cs="Calibri" w:ascii="Calibri" w:hAnsi="Calibri" w:asciiTheme="minorHAnsi" w:cstheme="minorHAnsi" w:hAnsiTheme="minorHAnsi"/>
          <w:sz w:val="24"/>
          <w:szCs w:val="24"/>
          <w:lang w:val="en-GB"/>
        </w:rPr>
        <w:t xml:space="preserve"> RAN#98-e, Dec.</w:t>
      </w:r>
      <w:r>
        <w:rPr>
          <w:rFonts w:cs="Calibri" w:ascii="Calibri" w:hAnsi="Calibri" w:asciiTheme="minorHAnsi" w:cstheme="minorHAnsi" w:hAnsiTheme="minorHAnsi"/>
          <w:bCs/>
          <w:sz w:val="24"/>
          <w:szCs w:val="24"/>
          <w:lang w:val="en-GB"/>
        </w:rPr>
        <w:t xml:space="preserve"> 2022</w:t>
      </w:r>
    </w:p>
    <w:p>
      <w:pPr>
        <w:pStyle w:val="References"/>
        <w:ind w:start="720" w:hanging="0"/>
        <w:rPr>
          <w:rFonts w:ascii="Calibri" w:hAnsi="Calibri" w:cs="Calibri"/>
          <w:sz w:val="24"/>
          <w:szCs w:val="24"/>
        </w:rPr>
      </w:pPr>
      <w:r>
        <w:rPr>
          <w:rFonts w:cs="Calibri" w:ascii="Calibri" w:hAnsi="Calibri"/>
          <w:sz w:val="24"/>
          <w:szCs w:val="24"/>
        </w:rPr>
      </w:r>
    </w:p>
    <w:p>
      <w:pPr>
        <w:pStyle w:val="Heading1"/>
        <w:numPr>
          <w:ilvl w:val="0"/>
          <w:numId w:val="2"/>
        </w:numPr>
        <w:rPr>
          <w:rFonts w:ascii="Calibri" w:hAnsi="Calibri" w:eastAsia="SimSun" w:cs="Calibri"/>
          <w:sz w:val="24"/>
          <w:szCs w:val="24"/>
        </w:rPr>
      </w:pPr>
      <w:r>
        <w:rPr>
          <w:rFonts w:eastAsia="SimSun" w:cs="Calibri" w:ascii="Calibri" w:hAnsi="Calibri" w:asciiTheme="minorHAnsi" w:cstheme="minorHAnsi" w:hAnsiTheme="minorHAnsi"/>
          <w:sz w:val="24"/>
          <w:szCs w:val="24"/>
        </w:rPr>
        <w:t>Appendix</w:t>
      </w:r>
    </w:p>
    <w:p>
      <w:pPr>
        <w:pStyle w:val="Normal"/>
        <w:spacing w:before="120" w:after="120"/>
        <w:rPr>
          <w:rFonts w:ascii="Calibri" w:hAnsi="Calibri" w:eastAsia="SimSun" w:cs="Calibri"/>
          <w:b/>
          <w:b/>
          <w:bCs/>
        </w:rPr>
      </w:pPr>
      <w:r>
        <w:rPr>
          <w:rFonts w:eastAsia="SimSun" w:cs="Calibri" w:ascii="Calibri" w:hAnsi="Calibri"/>
          <w:b/>
          <w:bCs/>
        </w:rPr>
      </w:r>
    </w:p>
    <w:p>
      <w:pPr>
        <w:pStyle w:val="Caption1"/>
        <w:spacing w:before="120" w:after="120"/>
        <w:jc w:val="center"/>
        <w:rPr>
          <w:rFonts w:ascii="Calibri" w:hAnsi="Calibri" w:cs="Calibri"/>
          <w:i w:val="false"/>
          <w:i w:val="false"/>
          <w:iCs w:val="false"/>
          <w:sz w:val="24"/>
          <w:szCs w:val="24"/>
        </w:rPr>
      </w:pPr>
      <w:r>
        <w:rPr>
          <w:rFonts w:cs="Calibri" w:ascii="Calibri" w:hAnsi="Calibri" w:asciiTheme="minorHAnsi" w:cstheme="minorHAnsi" w:hAnsiTheme="minorHAnsi"/>
          <w:i w:val="false"/>
          <w:iCs w:val="false"/>
          <w:sz w:val="24"/>
          <w:szCs w:val="24"/>
        </w:rPr>
        <w:t>Table A1: Relative power values for reference configuration set 1/2/3</w:t>
      </w:r>
    </w:p>
    <w:tbl>
      <w:tblPr>
        <w:tblW w:w="8122" w:type="dxa"/>
        <w:jc w:val="center"/>
        <w:tblInd w:w="0" w:type="dxa"/>
        <w:tblLayout w:type="fixed"/>
        <w:tblCellMar>
          <w:top w:w="0" w:type="dxa"/>
          <w:start w:w="108" w:type="dxa"/>
          <w:bottom w:w="0" w:type="dxa"/>
          <w:end w:w="108" w:type="dxa"/>
        </w:tblCellMar>
        <w:tblLook w:val="04a0" w:noHBand="0" w:noVBand="1" w:firstColumn="1" w:lastRow="0" w:lastColumn="0" w:firstRow="1"/>
      </w:tblPr>
      <w:tblGrid>
        <w:gridCol w:w="2404"/>
        <w:gridCol w:w="1907"/>
        <w:gridCol w:w="1906"/>
        <w:gridCol w:w="1904"/>
      </w:tblGrid>
      <w:tr>
        <w:trPr>
          <w:trHeight w:val="311" w:hRule="atLeast"/>
        </w:trPr>
        <w:tc>
          <w:tcPr>
            <w:tcW w:w="2404" w:type="dxa"/>
            <w:vMerge w:val="restart"/>
            <w:tcBorders>
              <w:top w:val="double" w:sz="4" w:space="0" w:color="A5A5A5"/>
              <w:start w:val="double" w:sz="4" w:space="0" w:color="A5A5A5"/>
              <w:bottom w:val="double" w:sz="4" w:space="0" w:color="A5A5A5"/>
              <w:end w:val="double" w:sz="4" w:space="0" w:color="A5A5A5"/>
            </w:tcBorders>
          </w:tcPr>
          <w:p>
            <w:pPr>
              <w:pStyle w:val="Normal"/>
              <w:widowControl w:val="false"/>
              <w:spacing w:before="120" w:after="120"/>
              <w:jc w:val="center"/>
              <w:rPr>
                <w:rFonts w:ascii="Calibri" w:hAnsi="Calibri" w:cs="Calibri"/>
              </w:rPr>
            </w:pPr>
            <w:r>
              <w:rPr>
                <w:rFonts w:eastAsia="Malgun Gothic" w:cs="Calibri" w:ascii="Calibri" w:hAnsi="Calibri" w:asciiTheme="minorHAnsi" w:cstheme="minorHAnsi" w:hAnsiTheme="minorHAnsi"/>
                <w:b/>
                <w:bCs/>
              </w:rPr>
              <w:t>Power state</w:t>
            </w:r>
          </w:p>
        </w:tc>
        <w:tc>
          <w:tcPr>
            <w:tcW w:w="5717" w:type="dxa"/>
            <w:gridSpan w:val="3"/>
            <w:tcBorders>
              <w:top w:val="double" w:sz="4" w:space="0" w:color="A5A5A5"/>
              <w:start w:val="double" w:sz="4" w:space="0" w:color="A5A5A5"/>
              <w:bottom w:val="double" w:sz="4" w:space="0" w:color="A5A5A5"/>
              <w:end w:val="double" w:sz="4" w:space="0" w:color="A5A5A5"/>
            </w:tcBorders>
          </w:tcPr>
          <w:p>
            <w:pPr>
              <w:pStyle w:val="Normal"/>
              <w:widowControl w:val="false"/>
              <w:spacing w:before="120" w:after="120"/>
              <w:jc w:val="center"/>
              <w:rPr>
                <w:rFonts w:ascii="Calibri" w:hAnsi="Calibri" w:eastAsia="Malgun Gothic" w:cs="Calibri"/>
                <w:b/>
                <w:b/>
                <w:bCs/>
              </w:rPr>
            </w:pPr>
            <w:r>
              <w:rPr>
                <w:rFonts w:eastAsia="Malgun Gothic" w:cs="Calibri" w:ascii="Calibri" w:hAnsi="Calibri" w:asciiTheme="minorHAnsi" w:cstheme="minorHAnsi" w:hAnsiTheme="minorHAnsi"/>
                <w:b/>
                <w:bCs/>
              </w:rPr>
              <w:t xml:space="preserve">Relative Power </w:t>
            </w:r>
            <w:r>
              <w:rPr>
                <w:rFonts w:eastAsia="Malgun Gothic" w:cs="Calibri" w:ascii="Calibri" w:hAnsi="Calibri" w:asciiTheme="minorHAnsi" w:cstheme="minorHAnsi" w:hAnsiTheme="minorHAnsi"/>
                <w:b/>
                <w:bCs/>
                <w:i/>
              </w:rPr>
              <w:t>P</w:t>
            </w:r>
            <w:r>
              <w:rPr>
                <w:rFonts w:eastAsia="Malgun Gothic" w:cs="Calibri" w:ascii="Calibri" w:hAnsi="Calibri" w:asciiTheme="minorHAnsi" w:cstheme="minorHAnsi" w:hAnsiTheme="minorHAnsi"/>
                <w:b/>
                <w:bCs/>
              </w:rPr>
              <w:t xml:space="preserve"> for Category 1</w:t>
            </w:r>
          </w:p>
        </w:tc>
      </w:tr>
      <w:tr>
        <w:trPr>
          <w:trHeight w:val="331" w:hRule="atLeast"/>
        </w:trPr>
        <w:tc>
          <w:tcPr>
            <w:tcW w:w="2404" w:type="dxa"/>
            <w:vMerge w:val="continue"/>
            <w:tcBorders>
              <w:top w:val="double" w:sz="4" w:space="0" w:color="A5A5A5"/>
              <w:start w:val="double" w:sz="4" w:space="0" w:color="A5A5A5"/>
              <w:bottom w:val="double" w:sz="4" w:space="0" w:color="A5A5A5"/>
              <w:end w:val="double" w:sz="4" w:space="0" w:color="A5A5A5"/>
            </w:tcBorders>
            <w:vAlign w:val="center"/>
          </w:tcPr>
          <w:p>
            <w:pPr>
              <w:pStyle w:val="Normal"/>
              <w:widowControl w:val="false"/>
              <w:spacing w:before="120" w:after="120"/>
              <w:jc w:val="center"/>
              <w:rPr>
                <w:rFonts w:ascii="Calibri" w:hAnsi="Calibri" w:cs="Calibri"/>
              </w:rPr>
            </w:pPr>
            <w:r>
              <w:rPr>
                <w:rFonts w:cs="Calibri" w:ascii="Calibri" w:hAnsi="Calibri"/>
              </w:rPr>
            </w:r>
          </w:p>
        </w:tc>
        <w:tc>
          <w:tcPr>
            <w:tcW w:w="1907" w:type="dxa"/>
            <w:tcBorders>
              <w:top w:val="double" w:sz="4" w:space="0" w:color="A5A5A5"/>
              <w:start w:val="double" w:sz="4" w:space="0" w:color="A5A5A5"/>
              <w:bottom w:val="double" w:sz="4" w:space="0" w:color="A5A5A5"/>
              <w:end w:val="double" w:sz="4" w:space="0" w:color="A5A5A5"/>
            </w:tcBorders>
          </w:tcPr>
          <w:p>
            <w:pPr>
              <w:pStyle w:val="Normal"/>
              <w:widowControl w:val="false"/>
              <w:spacing w:before="120" w:after="120"/>
              <w:jc w:val="center"/>
              <w:rPr>
                <w:rFonts w:ascii="Calibri" w:hAnsi="Calibri" w:cs="Calibri"/>
                <w:b/>
                <w:b/>
              </w:rPr>
            </w:pPr>
            <w:r>
              <w:rPr>
                <w:rFonts w:cs="Calibri" w:ascii="Calibri" w:hAnsi="Calibri" w:asciiTheme="minorHAnsi" w:cstheme="minorHAnsi" w:hAnsiTheme="minorHAnsi"/>
                <w:b/>
              </w:rPr>
              <w:t>Set 1</w:t>
            </w:r>
          </w:p>
        </w:tc>
        <w:tc>
          <w:tcPr>
            <w:tcW w:w="1906" w:type="dxa"/>
            <w:tcBorders>
              <w:top w:val="double" w:sz="4" w:space="0" w:color="A5A5A5"/>
              <w:start w:val="double" w:sz="4" w:space="0" w:color="A5A5A5"/>
              <w:bottom w:val="double" w:sz="4" w:space="0" w:color="A5A5A5"/>
              <w:end w:val="double" w:sz="4" w:space="0" w:color="A5A5A5"/>
            </w:tcBorders>
          </w:tcPr>
          <w:p>
            <w:pPr>
              <w:pStyle w:val="Normal"/>
              <w:widowControl w:val="false"/>
              <w:spacing w:before="120" w:after="120"/>
              <w:jc w:val="center"/>
              <w:rPr>
                <w:rFonts w:ascii="Calibri" w:hAnsi="Calibri" w:cs="Calibri"/>
                <w:b/>
                <w:b/>
              </w:rPr>
            </w:pPr>
            <w:r>
              <w:rPr>
                <w:rFonts w:cs="Calibri" w:ascii="Calibri" w:hAnsi="Calibri" w:asciiTheme="minorHAnsi" w:cstheme="minorHAnsi" w:hAnsiTheme="minorHAnsi"/>
                <w:b/>
              </w:rPr>
              <w:t>Set 2</w:t>
            </w:r>
          </w:p>
        </w:tc>
        <w:tc>
          <w:tcPr>
            <w:tcW w:w="1904" w:type="dxa"/>
            <w:tcBorders>
              <w:top w:val="double" w:sz="4" w:space="0" w:color="A5A5A5"/>
              <w:start w:val="double" w:sz="4" w:space="0" w:color="A5A5A5"/>
              <w:bottom w:val="double" w:sz="4" w:space="0" w:color="A5A5A5"/>
              <w:end w:val="double" w:sz="4" w:space="0" w:color="A5A5A5"/>
            </w:tcBorders>
          </w:tcPr>
          <w:p>
            <w:pPr>
              <w:pStyle w:val="Normal"/>
              <w:widowControl w:val="false"/>
              <w:spacing w:before="120" w:after="120"/>
              <w:jc w:val="center"/>
              <w:rPr>
                <w:rFonts w:ascii="Calibri" w:hAnsi="Calibri" w:cs="Calibri"/>
                <w:b/>
                <w:b/>
              </w:rPr>
            </w:pPr>
            <w:r>
              <w:rPr>
                <w:rFonts w:cs="Calibri" w:ascii="Calibri" w:hAnsi="Calibri" w:asciiTheme="minorHAnsi" w:cstheme="minorHAnsi" w:hAnsiTheme="minorHAnsi"/>
                <w:b/>
              </w:rPr>
              <w:t>Set 3</w:t>
            </w:r>
          </w:p>
        </w:tc>
      </w:tr>
      <w:tr>
        <w:trPr>
          <w:trHeight w:val="299" w:hRule="atLeast"/>
        </w:trPr>
        <w:tc>
          <w:tcPr>
            <w:tcW w:w="2404" w:type="dxa"/>
            <w:tcBorders>
              <w:top w:val="double" w:sz="4" w:space="0" w:color="A5A5A5"/>
              <w:start w:val="double" w:sz="4" w:space="0" w:color="A5A5A5"/>
              <w:bottom w:val="double" w:sz="4" w:space="0" w:color="A5A5A5"/>
              <w:end w:val="double" w:sz="4" w:space="0" w:color="A5A5A5"/>
            </w:tcBorders>
            <w:vAlign w:val="center"/>
          </w:tcPr>
          <w:p>
            <w:pPr>
              <w:pStyle w:val="Normal"/>
              <w:widowControl w:val="false"/>
              <w:spacing w:before="120" w:after="120"/>
              <w:jc w:val="center"/>
              <w:rPr>
                <w:rFonts w:ascii="Calibri" w:hAnsi="Calibri" w:cs="Calibri"/>
              </w:rPr>
            </w:pPr>
            <w:r>
              <w:rPr>
                <w:rFonts w:cs="Calibri" w:ascii="Calibri" w:hAnsi="Calibri" w:asciiTheme="minorHAnsi" w:cstheme="minorHAnsi" w:hAnsiTheme="minorHAnsi"/>
              </w:rPr>
              <w:t>Deep sleep</w:t>
            </w:r>
          </w:p>
        </w:tc>
        <w:tc>
          <w:tcPr>
            <w:tcW w:w="1907" w:type="dxa"/>
            <w:tcBorders>
              <w:top w:val="double" w:sz="4" w:space="0" w:color="A5A5A5"/>
              <w:start w:val="double" w:sz="4" w:space="0" w:color="A5A5A5"/>
              <w:bottom w:val="double" w:sz="4" w:space="0" w:color="A5A5A5"/>
              <w:end w:val="double" w:sz="4" w:space="0" w:color="A5A5A5"/>
            </w:tcBorders>
          </w:tcPr>
          <w:p>
            <w:pPr>
              <w:pStyle w:val="Normal"/>
              <w:widowControl w:val="false"/>
              <w:spacing w:before="120" w:after="120"/>
              <w:jc w:val="center"/>
              <w:rPr>
                <w:rFonts w:ascii="Calibri" w:hAnsi="Calibri" w:cs="Calibri"/>
              </w:rPr>
            </w:pPr>
            <w:r>
              <w:rPr>
                <w:rFonts w:cs="Calibri" w:ascii="Calibri" w:hAnsi="Calibri" w:asciiTheme="minorHAnsi" w:cstheme="minorHAnsi" w:hAnsiTheme="minorHAnsi"/>
              </w:rPr>
              <w:t>1</w:t>
            </w:r>
          </w:p>
        </w:tc>
        <w:tc>
          <w:tcPr>
            <w:tcW w:w="1906" w:type="dxa"/>
            <w:tcBorders>
              <w:top w:val="double" w:sz="4" w:space="0" w:color="A5A5A5"/>
              <w:start w:val="double" w:sz="4" w:space="0" w:color="A5A5A5"/>
              <w:bottom w:val="double" w:sz="4" w:space="0" w:color="A5A5A5"/>
              <w:end w:val="double" w:sz="4" w:space="0" w:color="A5A5A5"/>
            </w:tcBorders>
            <w:vAlign w:val="bottom"/>
          </w:tcPr>
          <w:p>
            <w:pPr>
              <w:pStyle w:val="Normal"/>
              <w:widowControl w:val="false"/>
              <w:spacing w:before="120" w:after="120"/>
              <w:jc w:val="center"/>
              <w:rPr>
                <w:rFonts w:ascii="Calibri" w:hAnsi="Calibri" w:cs="Calibri"/>
              </w:rPr>
            </w:pPr>
            <w:r>
              <w:rPr>
                <w:rFonts w:cs="Calibri" w:ascii="Calibri" w:hAnsi="Calibri" w:asciiTheme="minorHAnsi" w:cstheme="minorHAnsi" w:hAnsiTheme="minorHAnsi"/>
              </w:rPr>
              <w:t>1</w:t>
            </w:r>
          </w:p>
        </w:tc>
        <w:tc>
          <w:tcPr>
            <w:tcW w:w="1904" w:type="dxa"/>
            <w:tcBorders>
              <w:top w:val="double" w:sz="4" w:space="0" w:color="A5A5A5"/>
              <w:start w:val="double" w:sz="4" w:space="0" w:color="A5A5A5"/>
              <w:bottom w:val="double" w:sz="4" w:space="0" w:color="A5A5A5"/>
              <w:end w:val="double" w:sz="4" w:space="0" w:color="A5A5A5"/>
            </w:tcBorders>
            <w:vAlign w:val="bottom"/>
          </w:tcPr>
          <w:p>
            <w:pPr>
              <w:pStyle w:val="Normal"/>
              <w:widowControl w:val="false"/>
              <w:spacing w:before="120" w:after="120"/>
              <w:jc w:val="center"/>
              <w:rPr>
                <w:rFonts w:ascii="Calibri" w:hAnsi="Calibri" w:cs="Calibri"/>
              </w:rPr>
            </w:pPr>
            <w:r>
              <w:rPr>
                <w:rFonts w:cs="Calibri" w:ascii="Calibri" w:hAnsi="Calibri" w:asciiTheme="minorHAnsi" w:cstheme="minorHAnsi" w:hAnsiTheme="minorHAnsi"/>
              </w:rPr>
              <w:t>1</w:t>
            </w:r>
          </w:p>
        </w:tc>
      </w:tr>
      <w:tr>
        <w:trPr>
          <w:trHeight w:val="289" w:hRule="atLeast"/>
        </w:trPr>
        <w:tc>
          <w:tcPr>
            <w:tcW w:w="2404" w:type="dxa"/>
            <w:tcBorders>
              <w:top w:val="double" w:sz="4" w:space="0" w:color="A5A5A5"/>
              <w:start w:val="double" w:sz="4" w:space="0" w:color="A5A5A5"/>
              <w:bottom w:val="double" w:sz="4" w:space="0" w:color="A5A5A5"/>
              <w:end w:val="double" w:sz="4" w:space="0" w:color="A5A5A5"/>
            </w:tcBorders>
            <w:vAlign w:val="center"/>
          </w:tcPr>
          <w:p>
            <w:pPr>
              <w:pStyle w:val="Normal"/>
              <w:widowControl w:val="false"/>
              <w:spacing w:before="120" w:after="120"/>
              <w:jc w:val="center"/>
              <w:rPr>
                <w:rFonts w:ascii="Calibri" w:hAnsi="Calibri" w:cs="Calibri"/>
              </w:rPr>
            </w:pPr>
            <w:r>
              <w:rPr>
                <w:rFonts w:cs="Calibri" w:ascii="Calibri" w:hAnsi="Calibri" w:asciiTheme="minorHAnsi" w:cstheme="minorHAnsi" w:hAnsiTheme="minorHAnsi"/>
              </w:rPr>
              <w:t>Light sleep</w:t>
            </w:r>
          </w:p>
        </w:tc>
        <w:tc>
          <w:tcPr>
            <w:tcW w:w="1907" w:type="dxa"/>
            <w:tcBorders>
              <w:top w:val="double" w:sz="4" w:space="0" w:color="A5A5A5"/>
              <w:start w:val="double" w:sz="4" w:space="0" w:color="A5A5A5"/>
              <w:bottom w:val="double" w:sz="4" w:space="0" w:color="A5A5A5"/>
              <w:end w:val="double" w:sz="4" w:space="0" w:color="A5A5A5"/>
            </w:tcBorders>
          </w:tcPr>
          <w:p>
            <w:pPr>
              <w:pStyle w:val="Normal"/>
              <w:widowControl w:val="false"/>
              <w:spacing w:before="120" w:after="120"/>
              <w:jc w:val="center"/>
              <w:rPr>
                <w:rFonts w:ascii="Calibri" w:hAnsi="Calibri" w:cs="Calibri"/>
              </w:rPr>
            </w:pPr>
            <w:r>
              <w:rPr>
                <w:rFonts w:cs="Calibri" w:ascii="Calibri" w:hAnsi="Calibri" w:asciiTheme="minorHAnsi" w:cstheme="minorHAnsi" w:hAnsiTheme="minorHAnsi"/>
              </w:rPr>
              <w:t>25</w:t>
            </w:r>
          </w:p>
        </w:tc>
        <w:tc>
          <w:tcPr>
            <w:tcW w:w="1906" w:type="dxa"/>
            <w:tcBorders>
              <w:top w:val="double" w:sz="4" w:space="0" w:color="A5A5A5"/>
              <w:start w:val="double" w:sz="4" w:space="0" w:color="A5A5A5"/>
              <w:bottom w:val="double" w:sz="4" w:space="0" w:color="A5A5A5"/>
              <w:end w:val="double" w:sz="4" w:space="0" w:color="A5A5A5"/>
            </w:tcBorders>
            <w:vAlign w:val="bottom"/>
          </w:tcPr>
          <w:p>
            <w:pPr>
              <w:pStyle w:val="Normal"/>
              <w:widowControl w:val="false"/>
              <w:spacing w:before="120" w:after="120"/>
              <w:jc w:val="center"/>
              <w:rPr>
                <w:rFonts w:ascii="Calibri" w:hAnsi="Calibri" w:cs="Calibri"/>
              </w:rPr>
            </w:pPr>
            <w:r>
              <w:rPr>
                <w:rFonts w:cs="Calibri" w:ascii="Calibri" w:hAnsi="Calibri" w:asciiTheme="minorHAnsi" w:cstheme="minorHAnsi" w:hAnsiTheme="minorHAnsi"/>
              </w:rPr>
              <w:t>25</w:t>
            </w:r>
          </w:p>
        </w:tc>
        <w:tc>
          <w:tcPr>
            <w:tcW w:w="1904" w:type="dxa"/>
            <w:tcBorders>
              <w:top w:val="double" w:sz="4" w:space="0" w:color="A5A5A5"/>
              <w:start w:val="double" w:sz="4" w:space="0" w:color="A5A5A5"/>
              <w:bottom w:val="double" w:sz="4" w:space="0" w:color="A5A5A5"/>
              <w:end w:val="double" w:sz="4" w:space="0" w:color="A5A5A5"/>
            </w:tcBorders>
            <w:vAlign w:val="bottom"/>
          </w:tcPr>
          <w:p>
            <w:pPr>
              <w:pStyle w:val="Normal"/>
              <w:widowControl w:val="false"/>
              <w:spacing w:before="120" w:after="120"/>
              <w:jc w:val="center"/>
              <w:rPr>
                <w:rFonts w:ascii="Calibri" w:hAnsi="Calibri" w:cs="Calibri"/>
              </w:rPr>
            </w:pPr>
            <w:r>
              <w:rPr>
                <w:rFonts w:cs="Calibri" w:ascii="Calibri" w:hAnsi="Calibri" w:asciiTheme="minorHAnsi" w:cstheme="minorHAnsi" w:hAnsiTheme="minorHAnsi"/>
              </w:rPr>
              <w:t>25</w:t>
            </w:r>
          </w:p>
        </w:tc>
      </w:tr>
      <w:tr>
        <w:trPr>
          <w:trHeight w:val="299" w:hRule="atLeast"/>
        </w:trPr>
        <w:tc>
          <w:tcPr>
            <w:tcW w:w="2404" w:type="dxa"/>
            <w:tcBorders>
              <w:top w:val="double" w:sz="4" w:space="0" w:color="A5A5A5"/>
              <w:start w:val="double" w:sz="4" w:space="0" w:color="A5A5A5"/>
              <w:bottom w:val="double" w:sz="4" w:space="0" w:color="A5A5A5"/>
              <w:end w:val="double" w:sz="4" w:space="0" w:color="A5A5A5"/>
            </w:tcBorders>
            <w:vAlign w:val="center"/>
          </w:tcPr>
          <w:p>
            <w:pPr>
              <w:pStyle w:val="Normal"/>
              <w:widowControl w:val="false"/>
              <w:spacing w:before="120" w:after="120"/>
              <w:jc w:val="center"/>
              <w:rPr>
                <w:rFonts w:ascii="Calibri" w:hAnsi="Calibri" w:cs="Calibri"/>
              </w:rPr>
            </w:pPr>
            <w:r>
              <w:rPr>
                <w:rFonts w:cs="Calibri" w:ascii="Calibri" w:hAnsi="Calibri" w:asciiTheme="minorHAnsi" w:cstheme="minorHAnsi" w:hAnsiTheme="minorHAnsi"/>
              </w:rPr>
              <w:t>Micro sleep</w:t>
            </w:r>
          </w:p>
        </w:tc>
        <w:tc>
          <w:tcPr>
            <w:tcW w:w="1907" w:type="dxa"/>
            <w:tcBorders>
              <w:top w:val="double" w:sz="4" w:space="0" w:color="A5A5A5"/>
              <w:start w:val="double" w:sz="4" w:space="0" w:color="A5A5A5"/>
              <w:bottom w:val="double" w:sz="4" w:space="0" w:color="A5A5A5"/>
              <w:end w:val="double" w:sz="4" w:space="0" w:color="A5A5A5"/>
            </w:tcBorders>
          </w:tcPr>
          <w:p>
            <w:pPr>
              <w:pStyle w:val="Normal"/>
              <w:widowControl w:val="false"/>
              <w:spacing w:before="120" w:after="120"/>
              <w:jc w:val="center"/>
              <w:rPr>
                <w:rFonts w:ascii="Calibri" w:hAnsi="Calibri" w:cs="Calibri"/>
              </w:rPr>
            </w:pPr>
            <w:r>
              <w:rPr>
                <w:rFonts w:cs="Calibri" w:ascii="Calibri" w:hAnsi="Calibri" w:asciiTheme="minorHAnsi" w:cstheme="minorHAnsi" w:hAnsiTheme="minorHAnsi"/>
              </w:rPr>
              <w:t>55</w:t>
            </w:r>
          </w:p>
        </w:tc>
        <w:tc>
          <w:tcPr>
            <w:tcW w:w="1906" w:type="dxa"/>
            <w:tcBorders>
              <w:top w:val="double" w:sz="4" w:space="0" w:color="A5A5A5"/>
              <w:start w:val="double" w:sz="4" w:space="0" w:color="A5A5A5"/>
              <w:bottom w:val="double" w:sz="4" w:space="0" w:color="A5A5A5"/>
              <w:end w:val="double" w:sz="4" w:space="0" w:color="A5A5A5"/>
            </w:tcBorders>
            <w:vAlign w:val="bottom"/>
          </w:tcPr>
          <w:p>
            <w:pPr>
              <w:pStyle w:val="Normal"/>
              <w:widowControl w:val="false"/>
              <w:spacing w:before="120" w:after="120"/>
              <w:jc w:val="center"/>
              <w:rPr>
                <w:rFonts w:ascii="Calibri" w:hAnsi="Calibri" w:cs="Calibri"/>
              </w:rPr>
            </w:pPr>
            <w:r>
              <w:rPr>
                <w:rFonts w:cs="Calibri" w:ascii="Calibri" w:hAnsi="Calibri" w:asciiTheme="minorHAnsi" w:cstheme="minorHAnsi" w:hAnsiTheme="minorHAnsi"/>
              </w:rPr>
              <w:t>50</w:t>
            </w:r>
          </w:p>
        </w:tc>
        <w:tc>
          <w:tcPr>
            <w:tcW w:w="1904" w:type="dxa"/>
            <w:tcBorders>
              <w:top w:val="double" w:sz="4" w:space="0" w:color="A5A5A5"/>
              <w:start w:val="double" w:sz="4" w:space="0" w:color="A5A5A5"/>
              <w:bottom w:val="double" w:sz="4" w:space="0" w:color="A5A5A5"/>
              <w:end w:val="double" w:sz="4" w:space="0" w:color="A5A5A5"/>
            </w:tcBorders>
            <w:vAlign w:val="bottom"/>
          </w:tcPr>
          <w:p>
            <w:pPr>
              <w:pStyle w:val="Normal"/>
              <w:widowControl w:val="false"/>
              <w:spacing w:before="120" w:after="120"/>
              <w:jc w:val="center"/>
              <w:rPr>
                <w:rFonts w:ascii="Calibri" w:hAnsi="Calibri" w:cs="Calibri"/>
              </w:rPr>
            </w:pPr>
            <w:r>
              <w:rPr>
                <w:rFonts w:cs="Calibri" w:ascii="Calibri" w:hAnsi="Calibri" w:asciiTheme="minorHAnsi" w:cstheme="minorHAnsi" w:hAnsiTheme="minorHAnsi"/>
              </w:rPr>
              <w:t>38</w:t>
            </w:r>
          </w:p>
        </w:tc>
      </w:tr>
      <w:tr>
        <w:trPr>
          <w:trHeight w:val="299" w:hRule="atLeast"/>
        </w:trPr>
        <w:tc>
          <w:tcPr>
            <w:tcW w:w="2404" w:type="dxa"/>
            <w:tcBorders>
              <w:top w:val="double" w:sz="4" w:space="0" w:color="A5A5A5"/>
              <w:start w:val="double" w:sz="4" w:space="0" w:color="A5A5A5"/>
              <w:bottom w:val="double" w:sz="4" w:space="0" w:color="A5A5A5"/>
              <w:end w:val="double" w:sz="4" w:space="0" w:color="A5A5A5"/>
            </w:tcBorders>
            <w:vAlign w:val="center"/>
          </w:tcPr>
          <w:p>
            <w:pPr>
              <w:pStyle w:val="Normal"/>
              <w:widowControl w:val="false"/>
              <w:spacing w:before="120" w:after="120"/>
              <w:jc w:val="center"/>
              <w:rPr>
                <w:rFonts w:ascii="Calibri" w:hAnsi="Calibri" w:cs="Calibri"/>
              </w:rPr>
            </w:pPr>
            <w:r>
              <w:rPr>
                <w:rFonts w:cs="Calibri" w:ascii="Calibri" w:hAnsi="Calibri" w:asciiTheme="minorHAnsi" w:cstheme="minorHAnsi" w:hAnsiTheme="minorHAnsi"/>
              </w:rPr>
              <w:t>Active DL</w:t>
            </w:r>
          </w:p>
        </w:tc>
        <w:tc>
          <w:tcPr>
            <w:tcW w:w="1907" w:type="dxa"/>
            <w:tcBorders>
              <w:top w:val="double" w:sz="4" w:space="0" w:color="A5A5A5"/>
              <w:start w:val="double" w:sz="4" w:space="0" w:color="A5A5A5"/>
              <w:bottom w:val="double" w:sz="4" w:space="0" w:color="A5A5A5"/>
              <w:end w:val="double" w:sz="4" w:space="0" w:color="A5A5A5"/>
            </w:tcBorders>
          </w:tcPr>
          <w:p>
            <w:pPr>
              <w:pStyle w:val="Normal"/>
              <w:widowControl w:val="false"/>
              <w:spacing w:before="120" w:after="120"/>
              <w:jc w:val="center"/>
              <w:rPr>
                <w:rFonts w:ascii="Calibri" w:hAnsi="Calibri" w:cs="Calibri"/>
              </w:rPr>
            </w:pPr>
            <w:r>
              <w:rPr>
                <w:rFonts w:cs="Calibri" w:ascii="Calibri" w:hAnsi="Calibri" w:asciiTheme="minorHAnsi" w:cstheme="minorHAnsi" w:hAnsiTheme="minorHAnsi"/>
              </w:rPr>
              <w:t>280</w:t>
            </w:r>
          </w:p>
        </w:tc>
        <w:tc>
          <w:tcPr>
            <w:tcW w:w="1906" w:type="dxa"/>
            <w:tcBorders>
              <w:top w:val="double" w:sz="4" w:space="0" w:color="A5A5A5"/>
              <w:start w:val="double" w:sz="4" w:space="0" w:color="A5A5A5"/>
              <w:bottom w:val="double" w:sz="4" w:space="0" w:color="A5A5A5"/>
              <w:end w:val="double" w:sz="4" w:space="0" w:color="A5A5A5"/>
            </w:tcBorders>
            <w:vAlign w:val="bottom"/>
          </w:tcPr>
          <w:p>
            <w:pPr>
              <w:pStyle w:val="Normal"/>
              <w:widowControl w:val="false"/>
              <w:spacing w:before="120" w:after="120"/>
              <w:jc w:val="center"/>
              <w:rPr>
                <w:rFonts w:ascii="Calibri" w:hAnsi="Calibri" w:cs="Calibri"/>
              </w:rPr>
            </w:pPr>
            <w:r>
              <w:rPr>
                <w:rFonts w:cs="Calibri" w:ascii="Calibri" w:hAnsi="Calibri" w:asciiTheme="minorHAnsi" w:cstheme="minorHAnsi" w:hAnsiTheme="minorHAnsi"/>
              </w:rPr>
              <w:t>200</w:t>
            </w:r>
          </w:p>
        </w:tc>
        <w:tc>
          <w:tcPr>
            <w:tcW w:w="1904" w:type="dxa"/>
            <w:tcBorders>
              <w:top w:val="double" w:sz="4" w:space="0" w:color="A5A5A5"/>
              <w:start w:val="double" w:sz="4" w:space="0" w:color="A5A5A5"/>
              <w:bottom w:val="double" w:sz="4" w:space="0" w:color="A5A5A5"/>
              <w:end w:val="double" w:sz="4" w:space="0" w:color="A5A5A5"/>
            </w:tcBorders>
            <w:vAlign w:val="bottom"/>
          </w:tcPr>
          <w:p>
            <w:pPr>
              <w:pStyle w:val="Normal"/>
              <w:widowControl w:val="false"/>
              <w:spacing w:before="120" w:after="120"/>
              <w:jc w:val="center"/>
              <w:rPr>
                <w:rFonts w:ascii="Calibri" w:hAnsi="Calibri" w:cs="Calibri"/>
              </w:rPr>
            </w:pPr>
            <w:r>
              <w:rPr>
                <w:rFonts w:cs="Calibri" w:ascii="Calibri" w:hAnsi="Calibri" w:asciiTheme="minorHAnsi" w:cstheme="minorHAnsi" w:hAnsiTheme="minorHAnsi"/>
              </w:rPr>
              <w:t>152</w:t>
            </w:r>
          </w:p>
        </w:tc>
      </w:tr>
      <w:tr>
        <w:trPr>
          <w:trHeight w:val="289" w:hRule="atLeast"/>
        </w:trPr>
        <w:tc>
          <w:tcPr>
            <w:tcW w:w="2404" w:type="dxa"/>
            <w:tcBorders>
              <w:top w:val="double" w:sz="4" w:space="0" w:color="A5A5A5"/>
              <w:start w:val="double" w:sz="4" w:space="0" w:color="A5A5A5"/>
              <w:bottom w:val="double" w:sz="4" w:space="0" w:color="A5A5A5"/>
              <w:end w:val="double" w:sz="4" w:space="0" w:color="A5A5A5"/>
            </w:tcBorders>
            <w:vAlign w:val="center"/>
          </w:tcPr>
          <w:p>
            <w:pPr>
              <w:pStyle w:val="Normal"/>
              <w:widowControl w:val="false"/>
              <w:spacing w:before="120" w:after="120"/>
              <w:jc w:val="center"/>
              <w:rPr>
                <w:rFonts w:ascii="Calibri" w:hAnsi="Calibri" w:cs="Calibri"/>
              </w:rPr>
            </w:pPr>
            <w:r>
              <w:rPr>
                <w:rFonts w:cs="Calibri" w:ascii="Calibri" w:hAnsi="Calibri" w:asciiTheme="minorHAnsi" w:cstheme="minorHAnsi" w:hAnsiTheme="minorHAnsi"/>
              </w:rPr>
              <w:t>Active UL</w:t>
            </w:r>
          </w:p>
        </w:tc>
        <w:tc>
          <w:tcPr>
            <w:tcW w:w="1907" w:type="dxa"/>
            <w:tcBorders>
              <w:top w:val="double" w:sz="4" w:space="0" w:color="A5A5A5"/>
              <w:start w:val="double" w:sz="4" w:space="0" w:color="A5A5A5"/>
              <w:bottom w:val="double" w:sz="4" w:space="0" w:color="A5A5A5"/>
              <w:end w:val="double" w:sz="4" w:space="0" w:color="A5A5A5"/>
            </w:tcBorders>
          </w:tcPr>
          <w:p>
            <w:pPr>
              <w:pStyle w:val="Normal"/>
              <w:widowControl w:val="false"/>
              <w:spacing w:before="120" w:after="120"/>
              <w:jc w:val="center"/>
              <w:rPr>
                <w:rFonts w:ascii="Calibri" w:hAnsi="Calibri" w:cs="Calibri"/>
              </w:rPr>
            </w:pPr>
            <w:r>
              <w:rPr>
                <w:rFonts w:cs="Calibri" w:ascii="Calibri" w:hAnsi="Calibri" w:asciiTheme="minorHAnsi" w:cstheme="minorHAnsi" w:hAnsiTheme="minorHAnsi"/>
              </w:rPr>
              <w:t>110</w:t>
            </w:r>
          </w:p>
        </w:tc>
        <w:tc>
          <w:tcPr>
            <w:tcW w:w="1906" w:type="dxa"/>
            <w:tcBorders>
              <w:top w:val="double" w:sz="4" w:space="0" w:color="A5A5A5"/>
              <w:start w:val="double" w:sz="4" w:space="0" w:color="A5A5A5"/>
              <w:bottom w:val="double" w:sz="4" w:space="0" w:color="A5A5A5"/>
              <w:end w:val="double" w:sz="4" w:space="0" w:color="A5A5A5"/>
            </w:tcBorders>
            <w:vAlign w:val="bottom"/>
          </w:tcPr>
          <w:p>
            <w:pPr>
              <w:pStyle w:val="Normal"/>
              <w:widowControl w:val="false"/>
              <w:spacing w:before="120" w:after="120"/>
              <w:jc w:val="center"/>
              <w:rPr>
                <w:rFonts w:ascii="Calibri" w:hAnsi="Calibri" w:cs="Calibri"/>
              </w:rPr>
            </w:pPr>
            <w:r>
              <w:rPr>
                <w:rFonts w:cs="Calibri" w:ascii="Calibri" w:hAnsi="Calibri" w:asciiTheme="minorHAnsi" w:cstheme="minorHAnsi" w:hAnsiTheme="minorHAnsi"/>
              </w:rPr>
              <w:t>90</w:t>
            </w:r>
          </w:p>
        </w:tc>
        <w:tc>
          <w:tcPr>
            <w:tcW w:w="1904" w:type="dxa"/>
            <w:tcBorders>
              <w:top w:val="double" w:sz="4" w:space="0" w:color="A5A5A5"/>
              <w:start w:val="double" w:sz="4" w:space="0" w:color="A5A5A5"/>
              <w:bottom w:val="double" w:sz="4" w:space="0" w:color="A5A5A5"/>
              <w:end w:val="double" w:sz="4" w:space="0" w:color="A5A5A5"/>
            </w:tcBorders>
            <w:vAlign w:val="bottom"/>
          </w:tcPr>
          <w:p>
            <w:pPr>
              <w:pStyle w:val="Normal"/>
              <w:widowControl w:val="false"/>
              <w:spacing w:before="120" w:after="120"/>
              <w:jc w:val="center"/>
              <w:rPr>
                <w:rFonts w:ascii="Calibri" w:hAnsi="Calibri" w:cs="Calibri"/>
              </w:rPr>
            </w:pPr>
            <w:r>
              <w:rPr>
                <w:rFonts w:cs="Calibri" w:ascii="Calibri" w:hAnsi="Calibri" w:asciiTheme="minorHAnsi" w:cstheme="minorHAnsi" w:hAnsiTheme="minorHAnsi"/>
              </w:rPr>
              <w:t>80</w:t>
            </w:r>
          </w:p>
        </w:tc>
      </w:tr>
    </w:tbl>
    <w:p>
      <w:pPr>
        <w:pStyle w:val="Normal"/>
        <w:spacing w:before="120" w:after="120"/>
        <w:rPr>
          <w:rFonts w:ascii="Calibri" w:hAnsi="Calibri" w:cs="Calibri"/>
        </w:rPr>
      </w:pPr>
      <w:r>
        <w:rPr>
          <w:rFonts w:cs="Calibri" w:ascii="Calibri" w:hAnsi="Calibri"/>
        </w:rPr>
      </w:r>
    </w:p>
    <w:p>
      <w:pPr>
        <w:pStyle w:val="Normal"/>
        <w:spacing w:before="120" w:after="120"/>
        <w:rPr>
          <w:rFonts w:ascii="Calibri" w:hAnsi="Calibri" w:cs="Calibri"/>
        </w:rPr>
      </w:pPr>
      <w:r>
        <w:rPr>
          <w:rFonts w:cs="Calibri" w:ascii="Calibri" w:hAnsi="Calibri"/>
        </w:rPr>
      </w:r>
    </w:p>
    <w:p>
      <w:pPr>
        <w:pStyle w:val="Normal"/>
        <w:spacing w:before="120" w:after="120"/>
        <w:rPr>
          <w:rFonts w:ascii="Calibri" w:hAnsi="Calibri" w:cs="Calibri"/>
        </w:rPr>
      </w:pPr>
      <w:r>
        <w:rPr>
          <w:rFonts w:cs="Calibri" w:ascii="Calibri" w:hAnsi="Calibri"/>
        </w:rPr>
      </w:r>
    </w:p>
    <w:p>
      <w:pPr>
        <w:pStyle w:val="Normal"/>
        <w:spacing w:before="120" w:after="120"/>
        <w:rPr>
          <w:rFonts w:ascii="Calibri" w:hAnsi="Calibri" w:cs="Calibri"/>
        </w:rPr>
      </w:pPr>
      <w:r>
        <w:rPr>
          <w:rFonts w:cs="Calibri" w:ascii="Calibri" w:hAnsi="Calibri"/>
        </w:rPr>
      </w:r>
    </w:p>
    <w:p>
      <w:pPr>
        <w:pStyle w:val="Caption1"/>
        <w:spacing w:before="120" w:after="120"/>
        <w:jc w:val="center"/>
        <w:rPr>
          <w:rFonts w:ascii="Calibri" w:hAnsi="Calibri" w:cs="Calibri"/>
          <w:i w:val="false"/>
          <w:i w:val="false"/>
          <w:iCs w:val="false"/>
          <w:sz w:val="24"/>
          <w:szCs w:val="24"/>
        </w:rPr>
      </w:pPr>
      <w:r>
        <w:rPr>
          <w:rFonts w:cs="Calibri" w:ascii="Calibri" w:hAnsi="Calibri" w:asciiTheme="minorHAnsi" w:cstheme="minorHAnsi" w:hAnsiTheme="minorHAnsi"/>
          <w:i w:val="false"/>
          <w:iCs w:val="false"/>
          <w:sz w:val="24"/>
          <w:szCs w:val="24"/>
        </w:rPr>
        <w:t>Table A2: Reference configurations</w:t>
      </w:r>
    </w:p>
    <w:p>
      <w:pPr>
        <w:pStyle w:val="Normal"/>
        <w:spacing w:before="120" w:after="120"/>
        <w:jc w:val="center"/>
        <w:rPr>
          <w:rFonts w:ascii="Calibri" w:hAnsi="Calibri" w:cs="Calibri"/>
        </w:rPr>
      </w:pPr>
      <w:r>
        <w:rPr>
          <w:rFonts w:cs="Calibri" w:ascii="Calibri" w:hAnsi="Calibri"/>
        </w:rPr>
      </w:r>
    </w:p>
    <w:tbl>
      <w:tblPr>
        <w:tblW w:w="9654" w:type="dxa"/>
        <w:jc w:val="start"/>
        <w:tblInd w:w="1" w:type="dxa"/>
        <w:tblLayout w:type="fixed"/>
        <w:tblCellMar>
          <w:top w:w="0" w:type="dxa"/>
          <w:start w:w="0" w:type="dxa"/>
          <w:bottom w:w="0" w:type="dxa"/>
          <w:end w:w="0" w:type="dxa"/>
        </w:tblCellMar>
        <w:tblLook w:val="04a0" w:noHBand="0" w:noVBand="1" w:firstColumn="1" w:lastRow="0" w:lastColumn="0" w:firstRow="1"/>
      </w:tblPr>
      <w:tblGrid>
        <w:gridCol w:w="2602"/>
        <w:gridCol w:w="7051"/>
      </w:tblGrid>
      <w:tr>
        <w:trPr/>
        <w:tc>
          <w:tcPr>
            <w:tcW w:w="2602" w:type="dxa"/>
            <w:tcBorders>
              <w:top w:val="single" w:sz="6" w:space="0" w:color="000000"/>
              <w:bottom w:val="single" w:sz="6" w:space="0" w:color="000000"/>
            </w:tcBorders>
            <w:vAlign w:val="center"/>
          </w:tcPr>
          <w:p>
            <w:pPr>
              <w:pStyle w:val="Normal"/>
              <w:widowControl w:val="false"/>
              <w:spacing w:before="120" w:after="120"/>
              <w:jc w:val="center"/>
              <w:rPr>
                <w:rFonts w:ascii="Calibri" w:hAnsi="Calibri" w:cs="Calibri"/>
                <w:b/>
                <w:b/>
                <w:bCs/>
                <w:lang w:eastAsia="ko-KR"/>
              </w:rPr>
            </w:pPr>
            <w:r>
              <w:rPr>
                <w:rFonts w:cs="Calibri" w:ascii="Calibri" w:hAnsi="Calibri" w:asciiTheme="minorHAnsi" w:cstheme="minorHAnsi" w:hAnsiTheme="minorHAnsi"/>
                <w:b/>
                <w:bCs/>
                <w:i w:val="false"/>
                <w:iCs w:val="false"/>
                <w:strike w:val="false"/>
                <w:dstrike w:val="false"/>
                <w:outline w:val="false"/>
                <w:shadow w:val="false"/>
                <w:color w:val="000000"/>
                <w:sz w:val="24"/>
                <w:szCs w:val="24"/>
                <w:u w:val="none"/>
                <w:lang w:eastAsia="ko-KR"/>
              </w:rPr>
              <w:t>Parameters</w:t>
            </w:r>
          </w:p>
        </w:tc>
        <w:tc>
          <w:tcPr>
            <w:tcW w:w="7051" w:type="dxa"/>
            <w:tcBorders>
              <w:top w:val="single" w:sz="6" w:space="0" w:color="000000"/>
              <w:bottom w:val="single" w:sz="6" w:space="0" w:color="000000"/>
            </w:tcBorders>
            <w:vAlign w:val="center"/>
          </w:tcPr>
          <w:p>
            <w:pPr>
              <w:pStyle w:val="Normal"/>
              <w:widowControl w:val="false"/>
              <w:spacing w:before="120" w:after="120"/>
              <w:jc w:val="center"/>
              <w:rPr>
                <w:rFonts w:ascii="Calibri" w:hAnsi="Calibri" w:cs="Calibri"/>
                <w:b/>
                <w:b/>
                <w:bCs/>
              </w:rPr>
            </w:pPr>
            <w:r>
              <w:rPr>
                <w:rFonts w:cs="Calibri" w:ascii="Calibri" w:hAnsi="Calibri" w:asciiTheme="minorHAnsi" w:cstheme="minorHAnsi" w:hAnsiTheme="minorHAnsi"/>
                <w:b/>
                <w:bCs/>
                <w:i w:val="false"/>
                <w:iCs w:val="false"/>
                <w:strike w:val="false"/>
                <w:dstrike w:val="false"/>
                <w:outline w:val="false"/>
                <w:shadow w:val="false"/>
                <w:color w:val="000000"/>
                <w:sz w:val="24"/>
                <w:szCs w:val="24"/>
                <w:u w:val="none"/>
              </w:rPr>
              <w:t>Value</w:t>
            </w:r>
          </w:p>
        </w:tc>
      </w:tr>
      <w:tr>
        <w:trPr/>
        <w:tc>
          <w:tcPr>
            <w:tcW w:w="2602" w:type="dxa"/>
            <w:tcBorders/>
            <w:vAlign w:val="center"/>
          </w:tcPr>
          <w:p>
            <w:pPr>
              <w:pStyle w:val="Normal"/>
              <w:widowControl w:val="false"/>
              <w:spacing w:before="120" w:after="120"/>
              <w:jc w:val="center"/>
              <w:rPr>
                <w:rFonts w:ascii="Calibri" w:hAnsi="Calibri" w:cs="Calibri"/>
              </w:rPr>
            </w:pPr>
            <w:r>
              <w:rPr>
                <w:rFonts w:cs="Calibri" w:ascii="Calibri" w:hAnsi="Calibri" w:asciiTheme="minorHAnsi" w:cstheme="minorHAnsi" w:hAnsiTheme="minorHAnsi"/>
                <w:b w:val="false"/>
                <w:bCs w:val="false"/>
                <w:i w:val="false"/>
                <w:iCs w:val="false"/>
                <w:strike w:val="false"/>
                <w:dstrike w:val="false"/>
                <w:outline w:val="false"/>
                <w:shadow w:val="false"/>
                <w:color w:val="000000"/>
                <w:sz w:val="24"/>
                <w:szCs w:val="24"/>
                <w:u w:val="none"/>
              </w:rPr>
              <w:t>Simulation bandwidth</w:t>
            </w:r>
          </w:p>
        </w:tc>
        <w:tc>
          <w:tcPr>
            <w:tcW w:w="7051" w:type="dxa"/>
            <w:tcBorders/>
            <w:vAlign w:val="center"/>
          </w:tcPr>
          <w:p>
            <w:pPr>
              <w:pStyle w:val="Normal"/>
              <w:widowControl w:val="false"/>
              <w:spacing w:before="120" w:after="120"/>
              <w:jc w:val="center"/>
              <w:rPr>
                <w:rFonts w:ascii="Calibri" w:hAnsi="Calibri" w:cs="Calibri"/>
              </w:rPr>
            </w:pPr>
            <w:r>
              <w:rPr>
                <w:rFonts w:cs="Calibri" w:ascii="Calibri" w:hAnsi="Calibri" w:asciiTheme="minorHAnsi" w:cstheme="minorHAnsi" w:hAnsiTheme="minorHAnsi"/>
                <w:b w:val="false"/>
                <w:bCs w:val="false"/>
                <w:i w:val="false"/>
                <w:iCs w:val="false"/>
                <w:strike w:val="false"/>
                <w:dstrike w:val="false"/>
                <w:outline w:val="false"/>
                <w:shadow w:val="false"/>
                <w:color w:val="000000"/>
                <w:sz w:val="24"/>
                <w:szCs w:val="24"/>
                <w:u w:val="none"/>
              </w:rPr>
              <w:t>100 MHz</w:t>
            </w:r>
          </w:p>
        </w:tc>
      </w:tr>
      <w:tr>
        <w:trPr/>
        <w:tc>
          <w:tcPr>
            <w:tcW w:w="2602" w:type="dxa"/>
            <w:tcBorders/>
            <w:vAlign w:val="center"/>
          </w:tcPr>
          <w:p>
            <w:pPr>
              <w:pStyle w:val="Normal"/>
              <w:widowControl w:val="false"/>
              <w:spacing w:before="120" w:after="120"/>
              <w:jc w:val="center"/>
              <w:rPr>
                <w:rFonts w:ascii="Calibri" w:hAnsi="Calibri" w:cs="Calibri"/>
              </w:rPr>
            </w:pPr>
            <w:r>
              <w:rPr>
                <w:rFonts w:cs="Calibri" w:ascii="Calibri" w:hAnsi="Calibri" w:asciiTheme="minorHAnsi" w:cstheme="minorHAnsi" w:hAnsiTheme="minorHAnsi"/>
                <w:b w:val="false"/>
                <w:bCs w:val="false"/>
                <w:i w:val="false"/>
                <w:iCs w:val="false"/>
                <w:strike w:val="false"/>
                <w:dstrike w:val="false"/>
                <w:outline w:val="false"/>
                <w:shadow w:val="false"/>
                <w:color w:val="000000"/>
                <w:sz w:val="24"/>
                <w:szCs w:val="24"/>
                <w:u w:val="none"/>
              </w:rPr>
              <w:t>Scenario</w:t>
            </w:r>
          </w:p>
        </w:tc>
        <w:tc>
          <w:tcPr>
            <w:tcW w:w="7051" w:type="dxa"/>
            <w:tcBorders/>
            <w:vAlign w:val="center"/>
          </w:tcPr>
          <w:p>
            <w:pPr>
              <w:pStyle w:val="TAC"/>
              <w:widowControl w:val="false"/>
              <w:spacing w:before="120" w:after="120"/>
              <w:jc w:val="center"/>
              <w:rPr>
                <w:rFonts w:ascii="Calibri" w:hAnsi="Calibri" w:cs="Calibri"/>
                <w:sz w:val="24"/>
              </w:rPr>
            </w:pPr>
            <w:r>
              <w:rPr>
                <w:rFonts w:cs="Calibri" w:ascii="Calibri" w:hAnsi="Calibri" w:asciiTheme="minorHAnsi" w:cstheme="minorHAnsi" w:hAnsiTheme="minorHAnsi"/>
                <w:b w:val="false"/>
                <w:bCs w:val="false"/>
                <w:i w:val="false"/>
                <w:iCs w:val="false"/>
                <w:strike w:val="false"/>
                <w:dstrike w:val="false"/>
                <w:outline w:val="false"/>
                <w:shadow w:val="false"/>
                <w:color w:val="000000"/>
                <w:sz w:val="24"/>
                <w:szCs w:val="24"/>
                <w:u w:val="none"/>
              </w:rPr>
              <w:t>Urban Macro;</w:t>
            </w:r>
          </w:p>
          <w:p>
            <w:pPr>
              <w:pStyle w:val="Normal"/>
              <w:widowControl w:val="false"/>
              <w:spacing w:before="120" w:after="120"/>
              <w:jc w:val="center"/>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cs="Calibri" w:ascii="Calibri" w:hAnsi="Calibri" w:asciiTheme="minorHAnsi" w:cstheme="minorHAnsi" w:hAnsiTheme="minorHAnsi"/>
                <w:b w:val="false"/>
                <w:bCs w:val="false"/>
                <w:i w:val="false"/>
                <w:iCs w:val="false"/>
                <w:strike w:val="false"/>
                <w:dstrike w:val="false"/>
                <w:outline w:val="false"/>
                <w:shadow w:val="false"/>
                <w:color w:val="000000"/>
                <w:sz w:val="24"/>
                <w:szCs w:val="24"/>
                <w:u w:val="none"/>
                <w:lang w:eastAsia="ko-KR"/>
              </w:rPr>
              <w:t xml:space="preserve">Hexagonal grid, </w:t>
            </w:r>
            <w:r>
              <w:rPr>
                <w:rFonts w:cs="Calibri" w:ascii="Calibri" w:hAnsi="Calibri" w:asciiTheme="minorHAnsi" w:cstheme="minorHAnsi" w:hAnsiTheme="minorHAnsi"/>
                <w:b w:val="false"/>
                <w:bCs w:val="false"/>
                <w:i w:val="false"/>
                <w:iCs w:val="false"/>
                <w:strike w:val="false"/>
                <w:dstrike w:val="false"/>
                <w:outline w:val="false"/>
                <w:shadow w:val="false"/>
                <w:color w:val="000000"/>
                <w:sz w:val="24"/>
                <w:szCs w:val="24"/>
                <w:u w:val="none"/>
              </w:rPr>
              <w:t>7</w:t>
            </w:r>
            <w:r>
              <w:rPr>
                <w:rFonts w:cs="Calibri" w:ascii="Calibri" w:hAnsi="Calibri" w:asciiTheme="minorHAnsi" w:cstheme="minorHAnsi" w:hAnsiTheme="minorHAnsi"/>
                <w:b w:val="false"/>
                <w:bCs w:val="false"/>
                <w:i w:val="false"/>
                <w:iCs w:val="false"/>
                <w:strike w:val="false"/>
                <w:dstrike w:val="false"/>
                <w:outline w:val="false"/>
                <w:shadow w:val="false"/>
                <w:color w:val="000000"/>
                <w:sz w:val="24"/>
                <w:szCs w:val="24"/>
                <w:u w:val="none"/>
                <w:lang w:eastAsia="ko-KR"/>
              </w:rPr>
              <w:t xml:space="preserve"> macro sites, 3 sectors per site</w:t>
            </w:r>
          </w:p>
        </w:tc>
      </w:tr>
      <w:tr>
        <w:trPr/>
        <w:tc>
          <w:tcPr>
            <w:tcW w:w="2602" w:type="dxa"/>
            <w:tcBorders/>
            <w:vAlign w:val="center"/>
          </w:tcPr>
          <w:p>
            <w:pPr>
              <w:pStyle w:val="Normal"/>
              <w:widowControl w:val="false"/>
              <w:spacing w:before="120" w:after="120"/>
              <w:jc w:val="center"/>
              <w:rPr>
                <w:rFonts w:ascii="Calibri" w:hAnsi="Calibri" w:cs="Calibri"/>
              </w:rPr>
            </w:pPr>
            <w:r>
              <w:rPr>
                <w:rFonts w:cs="Calibri" w:ascii="Calibri" w:hAnsi="Calibri" w:asciiTheme="minorHAnsi" w:cstheme="minorHAnsi" w:hAnsiTheme="minorHAnsi"/>
                <w:b w:val="false"/>
                <w:bCs w:val="false"/>
                <w:i w:val="false"/>
                <w:iCs w:val="false"/>
                <w:strike w:val="false"/>
                <w:dstrike w:val="false"/>
                <w:outline w:val="false"/>
                <w:shadow w:val="false"/>
                <w:color w:val="000000"/>
                <w:sz w:val="24"/>
                <w:szCs w:val="24"/>
                <w:u w:val="none"/>
              </w:rPr>
              <w:t>Inter-BS distance</w:t>
            </w:r>
          </w:p>
        </w:tc>
        <w:tc>
          <w:tcPr>
            <w:tcW w:w="7051" w:type="dxa"/>
            <w:tcBorders/>
            <w:vAlign w:val="center"/>
          </w:tcPr>
          <w:p>
            <w:pPr>
              <w:pStyle w:val="Normal"/>
              <w:widowControl w:val="false"/>
              <w:spacing w:before="120" w:after="120"/>
              <w:jc w:val="center"/>
              <w:rPr>
                <w:rFonts w:ascii="Calibri" w:hAnsi="Calibri" w:cs="Calibri"/>
              </w:rPr>
            </w:pPr>
            <w:r>
              <w:rPr>
                <w:rFonts w:cs="Calibri" w:ascii="Calibri" w:hAnsi="Calibri" w:asciiTheme="minorHAnsi" w:cstheme="minorHAnsi" w:hAnsiTheme="minorHAnsi"/>
                <w:b w:val="false"/>
                <w:bCs w:val="false"/>
                <w:i w:val="false"/>
                <w:iCs w:val="false"/>
                <w:strike w:val="false"/>
                <w:dstrike w:val="false"/>
                <w:outline w:val="false"/>
                <w:shadow w:val="false"/>
                <w:color w:val="000000"/>
                <w:sz w:val="24"/>
                <w:szCs w:val="24"/>
                <w:u w:val="none"/>
              </w:rPr>
              <w:t>500m</w:t>
            </w:r>
          </w:p>
        </w:tc>
      </w:tr>
      <w:tr>
        <w:trPr/>
        <w:tc>
          <w:tcPr>
            <w:tcW w:w="2602" w:type="dxa"/>
            <w:tcBorders/>
            <w:vAlign w:val="center"/>
          </w:tcPr>
          <w:p>
            <w:pPr>
              <w:pStyle w:val="Normal"/>
              <w:widowControl w:val="false"/>
              <w:spacing w:before="120" w:after="120"/>
              <w:jc w:val="center"/>
              <w:rPr>
                <w:rFonts w:ascii="Calibri" w:hAnsi="Calibri" w:cs="Calibri"/>
              </w:rPr>
            </w:pPr>
            <w:r>
              <w:rPr>
                <w:rFonts w:cs="Calibri" w:ascii="Calibri" w:hAnsi="Calibri" w:asciiTheme="minorHAnsi" w:cstheme="minorHAnsi" w:hAnsiTheme="minorHAnsi"/>
                <w:b w:val="false"/>
                <w:bCs w:val="false"/>
                <w:i w:val="false"/>
                <w:iCs w:val="false"/>
                <w:strike w:val="false"/>
                <w:dstrike w:val="false"/>
                <w:outline w:val="false"/>
                <w:shadow w:val="false"/>
                <w:color w:val="000000"/>
                <w:sz w:val="24"/>
                <w:szCs w:val="24"/>
                <w:u w:val="none"/>
              </w:rPr>
              <w:t>Carrier frequency</w:t>
            </w:r>
          </w:p>
        </w:tc>
        <w:tc>
          <w:tcPr>
            <w:tcW w:w="7051" w:type="dxa"/>
            <w:tcBorders/>
            <w:vAlign w:val="center"/>
          </w:tcPr>
          <w:p>
            <w:pPr>
              <w:pStyle w:val="Normal"/>
              <w:widowControl w:val="false"/>
              <w:spacing w:before="120" w:after="120"/>
              <w:jc w:val="center"/>
              <w:rPr>
                <w:rFonts w:ascii="Calibri" w:hAnsi="Calibri" w:cs="Calibri"/>
              </w:rPr>
            </w:pPr>
            <w:r>
              <w:rPr>
                <w:rFonts w:cs="Calibri" w:ascii="Calibri" w:hAnsi="Calibri" w:asciiTheme="minorHAnsi" w:cstheme="minorHAnsi" w:hAnsiTheme="minorHAnsi"/>
                <w:b w:val="false"/>
                <w:bCs w:val="false"/>
                <w:i w:val="false"/>
                <w:iCs w:val="false"/>
                <w:strike w:val="false"/>
                <w:dstrike w:val="false"/>
                <w:outline w:val="false"/>
                <w:shadow w:val="false"/>
                <w:color w:val="000000"/>
                <w:sz w:val="24"/>
                <w:szCs w:val="24"/>
                <w:u w:val="none"/>
              </w:rPr>
              <w:t>4GHz</w:t>
            </w:r>
          </w:p>
        </w:tc>
      </w:tr>
      <w:tr>
        <w:trPr/>
        <w:tc>
          <w:tcPr>
            <w:tcW w:w="2602" w:type="dxa"/>
            <w:tcBorders/>
            <w:vAlign w:val="center"/>
          </w:tcPr>
          <w:p>
            <w:pPr>
              <w:pStyle w:val="Normal"/>
              <w:widowControl w:val="false"/>
              <w:spacing w:before="120" w:after="120"/>
              <w:jc w:val="center"/>
              <w:rPr>
                <w:rFonts w:ascii="Calibri" w:hAnsi="Calibri" w:cs="Calibri"/>
              </w:rPr>
            </w:pPr>
            <w:r>
              <w:rPr>
                <w:rFonts w:cs="Calibri" w:ascii="Calibri" w:hAnsi="Calibri" w:asciiTheme="minorHAnsi" w:cstheme="minorHAnsi" w:hAnsiTheme="minorHAnsi"/>
                <w:b w:val="false"/>
                <w:bCs w:val="false"/>
                <w:i w:val="false"/>
                <w:iCs w:val="false"/>
                <w:strike w:val="false"/>
                <w:dstrike w:val="false"/>
                <w:outline w:val="false"/>
                <w:shadow w:val="false"/>
                <w:color w:val="000000"/>
                <w:sz w:val="24"/>
                <w:szCs w:val="24"/>
                <w:u w:val="none"/>
              </w:rPr>
              <w:t>SCS</w:t>
            </w:r>
          </w:p>
        </w:tc>
        <w:tc>
          <w:tcPr>
            <w:tcW w:w="7051" w:type="dxa"/>
            <w:tcBorders/>
            <w:vAlign w:val="center"/>
          </w:tcPr>
          <w:p>
            <w:pPr>
              <w:pStyle w:val="Normal"/>
              <w:widowControl w:val="false"/>
              <w:spacing w:before="120" w:after="120"/>
              <w:jc w:val="center"/>
              <w:rPr>
                <w:rFonts w:ascii="Calibri" w:hAnsi="Calibri" w:cs="Calibri"/>
              </w:rPr>
            </w:pPr>
            <w:r>
              <w:rPr>
                <w:rFonts w:cs="Calibri" w:ascii="Calibri" w:hAnsi="Calibri" w:asciiTheme="minorHAnsi" w:cstheme="minorHAnsi" w:hAnsiTheme="minorHAnsi"/>
                <w:b w:val="false"/>
                <w:bCs w:val="false"/>
                <w:i w:val="false"/>
                <w:iCs w:val="false"/>
                <w:strike w:val="false"/>
                <w:dstrike w:val="false"/>
                <w:outline w:val="false"/>
                <w:shadow w:val="false"/>
                <w:color w:val="000000"/>
                <w:sz w:val="24"/>
                <w:szCs w:val="24"/>
                <w:u w:val="none"/>
              </w:rPr>
              <w:t>30KHz</w:t>
            </w:r>
          </w:p>
        </w:tc>
      </w:tr>
      <w:tr>
        <w:trPr/>
        <w:tc>
          <w:tcPr>
            <w:tcW w:w="2602" w:type="dxa"/>
            <w:tcBorders/>
            <w:vAlign w:val="center"/>
          </w:tcPr>
          <w:p>
            <w:pPr>
              <w:pStyle w:val="Normal"/>
              <w:widowControl w:val="false"/>
              <w:spacing w:before="120" w:after="120"/>
              <w:jc w:val="center"/>
              <w:rPr>
                <w:rFonts w:ascii="Calibri" w:hAnsi="Calibri" w:cs="Calibri"/>
              </w:rPr>
            </w:pPr>
            <w:r>
              <w:rPr>
                <w:rFonts w:cs="Calibri" w:ascii="Calibri" w:hAnsi="Calibri" w:asciiTheme="minorHAnsi" w:cstheme="minorHAnsi" w:hAnsiTheme="minorHAnsi"/>
                <w:b w:val="false"/>
                <w:bCs w:val="false"/>
                <w:i w:val="false"/>
                <w:iCs w:val="false"/>
                <w:strike w:val="false"/>
                <w:dstrike w:val="false"/>
                <w:outline w:val="false"/>
                <w:shadow w:val="false"/>
                <w:color w:val="000000"/>
                <w:sz w:val="24"/>
                <w:szCs w:val="24"/>
                <w:u w:val="none"/>
              </w:rPr>
              <w:t>Total DL power level</w:t>
            </w:r>
          </w:p>
        </w:tc>
        <w:tc>
          <w:tcPr>
            <w:tcW w:w="7051" w:type="dxa"/>
            <w:tcBorders/>
            <w:vAlign w:val="center"/>
          </w:tcPr>
          <w:p>
            <w:pPr>
              <w:pStyle w:val="Normal"/>
              <w:widowControl w:val="false"/>
              <w:spacing w:before="120" w:after="120"/>
              <w:jc w:val="center"/>
              <w:rPr>
                <w:rFonts w:ascii="Calibri" w:hAnsi="Calibri" w:cs="Calibri"/>
              </w:rPr>
            </w:pPr>
            <w:r>
              <w:rPr>
                <w:rFonts w:cs="Calibri" w:ascii="Calibri" w:hAnsi="Calibri" w:asciiTheme="minorHAnsi" w:cstheme="minorHAnsi" w:hAnsiTheme="minorHAnsi"/>
                <w:b w:val="false"/>
                <w:bCs w:val="false"/>
                <w:i w:val="false"/>
                <w:iCs w:val="false"/>
                <w:strike w:val="false"/>
                <w:dstrike w:val="false"/>
                <w:outline w:val="false"/>
                <w:shadow w:val="false"/>
                <w:color w:val="000000"/>
                <w:sz w:val="24"/>
                <w:szCs w:val="24"/>
                <w:u w:val="none"/>
              </w:rPr>
              <w:t>52dBm for 32 TxRU</w:t>
            </w:r>
          </w:p>
        </w:tc>
      </w:tr>
      <w:tr>
        <w:trPr/>
        <w:tc>
          <w:tcPr>
            <w:tcW w:w="2602" w:type="dxa"/>
            <w:tcBorders/>
            <w:vAlign w:val="center"/>
          </w:tcPr>
          <w:p>
            <w:pPr>
              <w:pStyle w:val="TAC"/>
              <w:widowControl w:val="false"/>
              <w:spacing w:before="120" w:after="120"/>
              <w:jc w:val="center"/>
              <w:rPr>
                <w:rFonts w:ascii="Calibri" w:hAnsi="Calibri" w:cs="Calibri"/>
                <w:sz w:val="24"/>
              </w:rPr>
            </w:pPr>
            <w:r>
              <w:rPr>
                <w:rFonts w:cs="Calibri" w:ascii="Calibri" w:hAnsi="Calibri" w:asciiTheme="minorHAnsi" w:cstheme="minorHAnsi" w:hAnsiTheme="minorHAnsi"/>
                <w:b w:val="false"/>
                <w:bCs w:val="false"/>
                <w:i w:val="false"/>
                <w:iCs w:val="false"/>
                <w:strike w:val="false"/>
                <w:dstrike w:val="false"/>
                <w:outline w:val="false"/>
                <w:shadow w:val="false"/>
                <w:color w:val="000000"/>
                <w:sz w:val="24"/>
                <w:szCs w:val="24"/>
                <w:u w:val="none"/>
              </w:rPr>
              <w:t>UE dropping</w:t>
            </w:r>
          </w:p>
        </w:tc>
        <w:tc>
          <w:tcPr>
            <w:tcW w:w="7051" w:type="dxa"/>
            <w:tcBorders/>
            <w:vAlign w:val="center"/>
          </w:tcPr>
          <w:p>
            <w:pPr>
              <w:pStyle w:val="Normal"/>
              <w:widowControl w:val="false"/>
              <w:spacing w:before="120" w:after="120"/>
              <w:jc w:val="center"/>
              <w:textAlignment w:val="center"/>
              <w:rPr>
                <w:rFonts w:ascii="Calibri" w:hAnsi="Calibri" w:cs="Calibri"/>
              </w:rPr>
            </w:pPr>
            <w:r>
              <w:rPr>
                <w:rFonts w:cs="Calibri" w:ascii="Calibri" w:hAnsi="Calibri" w:asciiTheme="minorHAnsi" w:cstheme="minorHAnsi" w:hAnsiTheme="minorHAnsi"/>
                <w:b w:val="false"/>
                <w:bCs w:val="false"/>
                <w:i w:val="false"/>
                <w:iCs w:val="false"/>
                <w:strike w:val="false"/>
                <w:dstrike w:val="false"/>
                <w:outline w:val="false"/>
                <w:shadow w:val="false"/>
                <w:color w:val="000000"/>
                <w:sz w:val="24"/>
                <w:szCs w:val="24"/>
                <w:u w:val="none"/>
              </w:rPr>
              <w:t>Random in cell;</w:t>
            </w:r>
          </w:p>
          <w:p>
            <w:pPr>
              <w:pStyle w:val="Normal"/>
              <w:widowControl w:val="false"/>
              <w:spacing w:before="120" w:after="120"/>
              <w:jc w:val="center"/>
              <w:textAlignment w:val="center"/>
              <w:rPr>
                <w:rFonts w:ascii="Calibri" w:hAnsi="Calibri" w:cs="Calibri"/>
              </w:rPr>
            </w:pPr>
            <w:r>
              <w:rPr>
                <w:rFonts w:cs="Calibri" w:ascii="Calibri" w:hAnsi="Calibri" w:asciiTheme="minorHAnsi" w:cstheme="minorHAnsi" w:hAnsiTheme="minorHAnsi"/>
                <w:b w:val="false"/>
                <w:bCs w:val="false"/>
                <w:i w:val="false"/>
                <w:iCs w:val="false"/>
                <w:strike w:val="false"/>
                <w:dstrike w:val="false"/>
                <w:outline w:val="false"/>
                <w:shadow w:val="false"/>
                <w:color w:val="000000"/>
                <w:sz w:val="24"/>
                <w:szCs w:val="24"/>
                <w:u w:val="none"/>
              </w:rPr>
              <w:t>100% of users are outdoor;</w:t>
            </w:r>
          </w:p>
          <w:p>
            <w:pPr>
              <w:pStyle w:val="TAC"/>
              <w:widowControl w:val="false"/>
              <w:spacing w:before="120" w:after="120"/>
              <w:jc w:val="center"/>
              <w:rPr>
                <w:rFonts w:ascii="Calibri" w:hAnsi="Calibri" w:cs="Calibri"/>
                <w:sz w:val="24"/>
              </w:rPr>
            </w:pPr>
            <w:r>
              <w:rPr>
                <w:rFonts w:cs="Calibri" w:ascii="Calibri" w:hAnsi="Calibri" w:asciiTheme="minorHAnsi" w:cstheme="minorHAnsi" w:hAnsiTheme="minorHAnsi"/>
                <w:b w:val="false"/>
                <w:bCs w:val="false"/>
                <w:i w:val="false"/>
                <w:iCs w:val="false"/>
                <w:strike w:val="false"/>
                <w:dstrike w:val="false"/>
                <w:outline w:val="false"/>
                <w:shadow w:val="false"/>
                <w:color w:val="000000"/>
                <w:sz w:val="24"/>
                <w:szCs w:val="24"/>
                <w:u w:val="none"/>
              </w:rPr>
              <w:t>Used 3km/h for modeling fading channel</w:t>
            </w:r>
          </w:p>
        </w:tc>
      </w:tr>
      <w:tr>
        <w:trPr/>
        <w:tc>
          <w:tcPr>
            <w:tcW w:w="2602" w:type="dxa"/>
            <w:tcBorders/>
            <w:vAlign w:val="center"/>
          </w:tcPr>
          <w:p>
            <w:pPr>
              <w:pStyle w:val="TAC"/>
              <w:widowControl w:val="false"/>
              <w:spacing w:before="120" w:after="120"/>
              <w:jc w:val="center"/>
              <w:rPr>
                <w:rFonts w:ascii="Calibri" w:hAnsi="Calibri" w:cs="Calibri"/>
                <w:sz w:val="24"/>
              </w:rPr>
            </w:pPr>
            <w:r>
              <w:rPr>
                <w:rFonts w:cs="Calibri" w:ascii="Calibri" w:hAnsi="Calibri" w:asciiTheme="minorHAnsi" w:cstheme="minorHAnsi" w:hAnsiTheme="minorHAnsi"/>
                <w:b w:val="false"/>
                <w:bCs w:val="false"/>
                <w:i w:val="false"/>
                <w:iCs w:val="false"/>
                <w:strike w:val="false"/>
                <w:dstrike w:val="false"/>
                <w:outline w:val="false"/>
                <w:shadow w:val="false"/>
                <w:color w:val="000000"/>
                <w:sz w:val="24"/>
                <w:szCs w:val="24"/>
                <w:u w:val="none"/>
              </w:rPr>
              <w:t>Number of UEs per cell</w:t>
            </w:r>
          </w:p>
        </w:tc>
        <w:tc>
          <w:tcPr>
            <w:tcW w:w="7051" w:type="dxa"/>
            <w:tcBorders/>
            <w:vAlign w:val="center"/>
          </w:tcPr>
          <w:p>
            <w:pPr>
              <w:pStyle w:val="TAC"/>
              <w:widowControl w:val="false"/>
              <w:spacing w:before="120" w:after="120"/>
              <w:jc w:val="center"/>
              <w:rPr>
                <w:rFonts w:ascii="Calibri" w:hAnsi="Calibri" w:cs="Calibri"/>
                <w:sz w:val="24"/>
              </w:rPr>
            </w:pPr>
            <w:r>
              <w:rPr>
                <w:rFonts w:cs="Calibri" w:ascii="Calibri" w:hAnsi="Calibri" w:asciiTheme="minorHAnsi" w:cstheme="minorHAnsi" w:hAnsiTheme="minorHAnsi"/>
                <w:b w:val="false"/>
                <w:bCs w:val="false"/>
                <w:i w:val="false"/>
                <w:iCs w:val="false"/>
                <w:strike w:val="false"/>
                <w:dstrike w:val="false"/>
                <w:outline w:val="false"/>
                <w:shadow w:val="false"/>
                <w:color w:val="000000"/>
                <w:sz w:val="24"/>
                <w:szCs w:val="24"/>
                <w:u w:val="none"/>
              </w:rPr>
              <w:t>Depends on RU requirement</w:t>
            </w:r>
          </w:p>
        </w:tc>
      </w:tr>
      <w:tr>
        <w:trPr/>
        <w:tc>
          <w:tcPr>
            <w:tcW w:w="2602" w:type="dxa"/>
            <w:tcBorders>
              <w:bottom w:val="single" w:sz="6" w:space="0" w:color="000000"/>
            </w:tcBorders>
            <w:vAlign w:val="center"/>
          </w:tcPr>
          <w:p>
            <w:pPr>
              <w:pStyle w:val="TableContents"/>
              <w:widowControl w:val="false"/>
              <w:spacing w:before="0" w:after="120"/>
              <w:ind w:start="89" w:hanging="0"/>
              <w:jc w:val="center"/>
              <w:rPr>
                <w:rFonts w:ascii="Calibri" w:hAnsi="Calibri" w:cs="Calibri"/>
                <w:color w:val="000000"/>
              </w:rPr>
            </w:pPr>
            <w:r>
              <w:rPr>
                <w:rFonts w:cs="Calibri" w:ascii="Calibri" w:hAnsi="Calibri" w:asciiTheme="minorHAnsi" w:cstheme="minorHAnsi" w:hAnsiTheme="minorHAnsi"/>
                <w:b w:val="false"/>
                <w:bCs w:val="false"/>
                <w:i w:val="false"/>
                <w:iCs w:val="false"/>
                <w:strike w:val="false"/>
                <w:dstrike w:val="false"/>
                <w:outline w:val="false"/>
                <w:shadow w:val="false"/>
                <w:color w:val="000000"/>
                <w:sz w:val="24"/>
                <w:szCs w:val="24"/>
                <w:u w:val="none"/>
              </w:rPr>
              <w:t>User mobility direction</w:t>
            </w:r>
          </w:p>
        </w:tc>
        <w:tc>
          <w:tcPr>
            <w:tcW w:w="7051" w:type="dxa"/>
            <w:tcBorders>
              <w:bottom w:val="single" w:sz="6" w:space="0" w:color="000000"/>
            </w:tcBorders>
            <w:vAlign w:val="center"/>
          </w:tcPr>
          <w:p>
            <w:pPr>
              <w:pStyle w:val="TableContents"/>
              <w:widowControl w:val="false"/>
              <w:spacing w:before="0" w:after="120"/>
              <w:ind w:start="89" w:hanging="0"/>
              <w:jc w:val="center"/>
              <w:rPr>
                <w:rFonts w:ascii="Calibri" w:hAnsi="Calibri" w:cs="Calibri"/>
                <w:color w:val="000000"/>
              </w:rPr>
            </w:pPr>
            <w:r>
              <w:rPr>
                <w:rFonts w:cs="Calibri" w:ascii="Calibri" w:hAnsi="Calibri" w:asciiTheme="minorHAnsi" w:cstheme="minorHAnsi" w:hAnsiTheme="minorHAnsi"/>
                <w:b w:val="false"/>
                <w:bCs w:val="false"/>
                <w:i w:val="false"/>
                <w:iCs w:val="false"/>
                <w:strike w:val="false"/>
                <w:dstrike w:val="false"/>
                <w:outline w:val="false"/>
                <w:shadow w:val="false"/>
                <w:color w:val="000000"/>
                <w:sz w:val="24"/>
                <w:szCs w:val="24"/>
                <w:u w:val="none"/>
              </w:rPr>
              <w:t>Random</w:t>
            </w:r>
          </w:p>
        </w:tc>
      </w:tr>
    </w:tbl>
    <w:p>
      <w:pPr>
        <w:pStyle w:val="Normal"/>
        <w:spacing w:before="120" w:after="120"/>
        <w:rPr>
          <w:rFonts w:ascii="Calibri" w:hAnsi="Calibri" w:cs="Calibri"/>
        </w:rPr>
      </w:pPr>
      <w:r>
        <w:rPr/>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Symbol">
    <w:charset w:val="01" w:characterSet="utf-8"/>
    <w:family w:val="roman"/>
    <w:pitch w:val="variable"/>
  </w:font>
  <w:font w:name="Courier New">
    <w:charset w:val="01" w:characterSet="utf-8"/>
    <w:family w:val="roman"/>
    <w:pitch w:val="variable"/>
  </w:font>
  <w:font w:name="Wingdings">
    <w:charset w:val="01" w:characterSet="utf-8"/>
    <w:family w:val="roman"/>
    <w:pitch w:val="variable"/>
  </w:font>
  <w:font w:name="Liberation Sans">
    <w:altName w:val="Arial"/>
    <w:charset w:val="01" w:characterSet="utf-8"/>
    <w:family w:val="roman"/>
    <w:pitch w:val="variable"/>
  </w:font>
  <w:font w:name="Arial">
    <w:charset w:val="01" w:characterSet="utf-8"/>
    <w:family w:val="roman"/>
    <w:pitch w:val="variable"/>
  </w:font>
  <w:font w:name="Calibri">
    <w:charset w:val="01" w:characterSet="utf-8"/>
    <w:family w:val="roman"/>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3">
    <w:lvl w:ilvl="0">
      <w:start w:val="1"/>
      <w:numFmt w:val="decimal"/>
      <w:lvlText w:val="%1"/>
      <w:lvlJc w:val="start"/>
      <w:pPr>
        <w:tabs>
          <w:tab w:val="num" w:pos="432"/>
        </w:tabs>
        <w:ind w:start="432" w:hanging="432"/>
      </w:pPr>
      <w:rPr>
        <w:sz w:val="28"/>
        <w:i w:val="false"/>
        <w:szCs w:val="28"/>
        <w:lang w:val="en-US"/>
      </w:rPr>
    </w:lvl>
    <w:lvl w:ilvl="1">
      <w:start w:val="1"/>
      <w:numFmt w:val="decimal"/>
      <w:lvlText w:val="%1.%2"/>
      <w:lvlJc w:val="start"/>
      <w:pPr>
        <w:tabs>
          <w:tab w:val="num" w:pos="576"/>
        </w:tabs>
        <w:ind w:start="576" w:hanging="576"/>
      </w:pPr>
      <w:rPr>
        <w:sz w:val="22"/>
        <w:i w:val="false"/>
        <w:b/>
        <w:rFonts w:cs="Times New Roman"/>
      </w:rPr>
    </w:lvl>
    <w:lvl w:ilvl="2">
      <w:start w:val="1"/>
      <w:numFmt w:val="decimal"/>
      <w:lvlText w:val="%1.%2.%3"/>
      <w:lvlJc w:val="start"/>
      <w:pPr>
        <w:tabs>
          <w:tab w:val="num" w:pos="720"/>
        </w:tabs>
        <w:ind w:start="720" w:hanging="720"/>
      </w:pPr>
      <w:rPr/>
    </w:lvl>
    <w:lvl w:ilvl="3">
      <w:start w:val="1"/>
      <w:numFmt w:val="decimal"/>
      <w:lvlText w:val="%1.%2.%3.%4"/>
      <w:lvlJc w:val="start"/>
      <w:pPr>
        <w:tabs>
          <w:tab w:val="num" w:pos="864"/>
        </w:tabs>
        <w:ind w:start="864" w:hanging="864"/>
      </w:pPr>
      <w:rPr/>
    </w:lvl>
    <w:lvl w:ilvl="4">
      <w:start w:val="1"/>
      <w:numFmt w:val="decimal"/>
      <w:lvlText w:val="%1.%2.%3.%4.%5"/>
      <w:lvlJc w:val="start"/>
      <w:pPr>
        <w:tabs>
          <w:tab w:val="num" w:pos="1008"/>
        </w:tabs>
        <w:ind w:start="1008" w:hanging="1008"/>
      </w:pPr>
      <w:rPr/>
    </w:lvl>
    <w:lvl w:ilvl="5">
      <w:start w:val="1"/>
      <w:numFmt w:val="decimal"/>
      <w:lvlText w:val="%1.%2.%3.%4.%5.%6"/>
      <w:lvlJc w:val="start"/>
      <w:pPr>
        <w:tabs>
          <w:tab w:val="num" w:pos="1152"/>
        </w:tabs>
        <w:ind w:start="1152" w:hanging="1152"/>
      </w:pPr>
      <w:rPr/>
    </w:lvl>
    <w:lvl w:ilvl="6">
      <w:start w:val="1"/>
      <w:numFmt w:val="decimal"/>
      <w:lvlText w:val="%1.%2.%3.%4.%5.%6.%7"/>
      <w:lvlJc w:val="start"/>
      <w:pPr>
        <w:tabs>
          <w:tab w:val="num" w:pos="1296"/>
        </w:tabs>
        <w:ind w:start="1296" w:hanging="1296"/>
      </w:pPr>
      <w:rPr/>
    </w:lvl>
    <w:lvl w:ilvl="7">
      <w:start w:val="1"/>
      <w:numFmt w:val="decimal"/>
      <w:lvlText w:val="%1.%2.%3.%4.%5.%6.%7.%8"/>
      <w:lvlJc w:val="start"/>
      <w:pPr>
        <w:tabs>
          <w:tab w:val="num" w:pos="1440"/>
        </w:tabs>
        <w:ind w:start="1440" w:hanging="1440"/>
      </w:pPr>
      <w:rPr/>
    </w:lvl>
    <w:lvl w:ilvl="8">
      <w:start w:val="1"/>
      <w:numFmt w:val="decimal"/>
      <w:lvlText w:val="%1.%2.%3.%4.%5.%6.%7.%8.%9"/>
      <w:lvlJc w:val="start"/>
      <w:pPr>
        <w:tabs>
          <w:tab w:val="num" w:pos="1584"/>
        </w:tabs>
        <w:ind w:start="1584" w:hanging="1584"/>
      </w:pPr>
      <w:rPr/>
    </w:lvl>
  </w:abstractNum>
  <w:abstractNum w:abstractNumId="4">
    <w:lvl w:ilvl="0">
      <w:start w:val="1"/>
      <w:numFmt w:val="decimal"/>
      <w:lvlText w:val="%1"/>
      <w:lvlJc w:val="start"/>
      <w:pPr>
        <w:tabs>
          <w:tab w:val="num" w:pos="720"/>
        </w:tabs>
        <w:ind w:start="720" w:hanging="360"/>
      </w:pPr>
      <w:rPr/>
    </w:lvl>
    <w:lvl w:ilvl="1">
      <w:start w:val="1"/>
      <w:numFmt w:val="decimal"/>
      <w:lvlText w:val="%1.%2"/>
      <w:lvlJc w:val="start"/>
      <w:pPr>
        <w:tabs>
          <w:tab w:val="num" w:pos="1440"/>
        </w:tabs>
        <w:ind w:start="1440" w:hanging="360"/>
      </w:pPr>
      <w:rPr/>
    </w:lvl>
    <w:lvl w:ilvl="2">
      <w:start w:val="1"/>
      <w:numFmt w:val="decimal"/>
      <w:lvlText w:val="%1.%2.%3"/>
      <w:lvlJc w:val="start"/>
      <w:pPr>
        <w:tabs>
          <w:tab w:val="num" w:pos="1800"/>
        </w:tabs>
        <w:ind w:start="1800" w:hanging="360"/>
      </w:pPr>
      <w:rPr/>
    </w:lvl>
    <w:lvl w:ilvl="3">
      <w:start w:val="1"/>
      <w:numFmt w:val="decimal"/>
      <w:lvlText w:val="%2.%3.%4"/>
      <w:lvlJc w:val="start"/>
      <w:pPr>
        <w:tabs>
          <w:tab w:val="num" w:pos="2160"/>
        </w:tabs>
        <w:ind w:start="2160" w:hanging="360"/>
      </w:pPr>
      <w:rPr/>
    </w:lvl>
    <w:lvl w:ilvl="4">
      <w:start w:val="1"/>
      <w:numFmt w:val="decimal"/>
      <w:lvlText w:val="%3.%4.%5"/>
      <w:lvlJc w:val="start"/>
      <w:pPr>
        <w:tabs>
          <w:tab w:val="num" w:pos="2520"/>
        </w:tabs>
        <w:ind w:start="2520" w:hanging="360"/>
      </w:pPr>
      <w:rPr/>
    </w:lvl>
    <w:lvl w:ilvl="5">
      <w:start w:val="1"/>
      <w:numFmt w:val="decimal"/>
      <w:lvlText w:val="%4.%5.%6"/>
      <w:lvlJc w:val="start"/>
      <w:pPr>
        <w:tabs>
          <w:tab w:val="num" w:pos="2880"/>
        </w:tabs>
        <w:ind w:start="2880" w:hanging="360"/>
      </w:pPr>
      <w:rPr/>
    </w:lvl>
    <w:lvl w:ilvl="6">
      <w:start w:val="1"/>
      <w:numFmt w:val="decimal"/>
      <w:lvlText w:val="%5.%6.%7"/>
      <w:lvlJc w:val="start"/>
      <w:pPr>
        <w:tabs>
          <w:tab w:val="num" w:pos="3240"/>
        </w:tabs>
        <w:ind w:start="3240" w:hanging="360"/>
      </w:pPr>
      <w:rPr/>
    </w:lvl>
    <w:lvl w:ilvl="7">
      <w:start w:val="1"/>
      <w:numFmt w:val="decimal"/>
      <w:lvlText w:val="%6.%7.%8"/>
      <w:lvlJc w:val="start"/>
      <w:pPr>
        <w:tabs>
          <w:tab w:val="num" w:pos="3600"/>
        </w:tabs>
        <w:ind w:start="3600" w:hanging="360"/>
      </w:pPr>
      <w:rPr/>
    </w:lvl>
    <w:lvl w:ilvl="8">
      <w:start w:val="1"/>
      <w:numFmt w:val="decimal"/>
      <w:lvlText w:val="%7.%8.%9"/>
      <w:lvlJc w:val="start"/>
      <w:pPr>
        <w:tabs>
          <w:tab w:val="num" w:pos="3960"/>
        </w:tabs>
        <w:ind w:start="3960" w:hanging="360"/>
      </w:pPr>
      <w:rPr/>
    </w:lvl>
  </w:abstractNum>
  <w:abstractNum w:abstractNumId="5">
    <w:lvl w:ilvl="0">
      <w:start w:val="1"/>
      <w:numFmt w:val="bullet"/>
      <w:lvlText w:val=""/>
      <w:lvlJc w:val="start"/>
      <w:pPr>
        <w:tabs>
          <w:tab w:val="num" w:pos="0"/>
        </w:tabs>
        <w:ind w:start="1051" w:hanging="42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6">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60"/>
  <w:defaultTabStop w:val="571"/>
  <w:autoHyphenation w:val="true"/>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kern w:val="2"/>
        <w:szCs w:val="24"/>
        <w:lang w:val="en-IN"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both"/>
    </w:pPr>
    <w:rPr>
      <w:rFonts w:ascii="Liberation Serif" w:hAnsi="Liberation Serif" w:eastAsia="Noto Serif CJK SC" w:cs="Lohit Devanagari"/>
      <w:color w:val="auto"/>
      <w:kern w:val="2"/>
      <w:sz w:val="24"/>
      <w:szCs w:val="24"/>
      <w:lang w:val="en-IN" w:eastAsia="zh-CN" w:bidi="hi-IN"/>
    </w:rPr>
  </w:style>
  <w:style w:type="paragraph" w:styleId="Heading1">
    <w:name w:val="Heading 1"/>
    <w:basedOn w:val="Normal"/>
    <w:next w:val="Normal"/>
    <w:uiPriority w:val="9"/>
    <w:qFormat/>
    <w:pPr>
      <w:keepNext w:val="true"/>
      <w:numPr>
        <w:ilvl w:val="0"/>
        <w:numId w:val="1"/>
      </w:numPr>
      <w:spacing w:before="120" w:after="120"/>
      <w:outlineLvl w:val="0"/>
    </w:pPr>
    <w:rPr>
      <w:b/>
      <w:bCs/>
      <w:sz w:val="28"/>
      <w:szCs w:val="28"/>
    </w:rPr>
  </w:style>
  <w:style w:type="paragraph" w:styleId="Heading2">
    <w:name w:val="Heading 2"/>
    <w:basedOn w:val="Normal"/>
    <w:next w:val="Normal"/>
    <w:uiPriority w:val="9"/>
    <w:unhideWhenUsed/>
    <w:qFormat/>
    <w:pPr>
      <w:keepNext w:val="true"/>
      <w:numPr>
        <w:ilvl w:val="1"/>
        <w:numId w:val="1"/>
      </w:numPr>
      <w:spacing w:before="120" w:after="120"/>
      <w:outlineLvl w:val="1"/>
    </w:pPr>
    <w:rPr>
      <w:b/>
      <w:bCs/>
    </w:rPr>
  </w:style>
  <w:style w:type="character" w:styleId="DefaultParagraphFont" w:default="1">
    <w:name w:val="Default Paragraph Font"/>
    <w:uiPriority w:val="1"/>
    <w:semiHidden/>
    <w:unhideWhenUsed/>
    <w:qFormat/>
    <w:rPr/>
  </w:style>
  <w:style w:type="character" w:styleId="Annotationreference">
    <w:name w:val="annotation reference"/>
    <w:qFormat/>
    <w:rPr>
      <w:sz w:val="16"/>
      <w:szCs w:val="16"/>
    </w:rPr>
  </w:style>
  <w:style w:type="character" w:styleId="NumberingSymbols" w:customStyle="1">
    <w:name w:val="Numbering Symbols"/>
    <w:qFormat/>
    <w:rPr/>
  </w:style>
  <w:style w:type="character" w:styleId="WW8Num9z0" w:customStyle="1">
    <w:name w:val="WW8Num9z0"/>
    <w:qFormat/>
    <w:rPr>
      <w:rFonts w:ascii="Symbol" w:hAnsi="Symbol" w:cs="Symbol"/>
      <w:lang w:val="en-US" w:eastAsia="zh-CN"/>
    </w:rPr>
  </w:style>
  <w:style w:type="character" w:styleId="WW8Num9z1" w:customStyle="1">
    <w:name w:val="WW8Num9z1"/>
    <w:qFormat/>
    <w:rPr>
      <w:rFonts w:ascii="Courier New" w:hAnsi="Courier New" w:cs="Courier New"/>
    </w:rPr>
  </w:style>
  <w:style w:type="character" w:styleId="WW8Num9z2" w:customStyle="1">
    <w:name w:val="WW8Num9z2"/>
    <w:qFormat/>
    <w:rPr>
      <w:rFonts w:ascii="Wingdings" w:hAnsi="Wingdings" w:cs="Wingdings"/>
    </w:rPr>
  </w:style>
  <w:style w:type="character" w:styleId="WW8Num8z0" w:customStyle="1">
    <w:name w:val="WW8Num8z0"/>
    <w:qFormat/>
    <w:rPr>
      <w:bCs/>
      <w:lang w:eastAsia="zh-CN"/>
    </w:rPr>
  </w:style>
  <w:style w:type="character" w:styleId="WW8Num8z1" w:customStyle="1">
    <w:name w:val="WW8Num8z1"/>
    <w:qFormat/>
    <w:rPr>
      <w:rFonts w:ascii="Wingdings" w:hAnsi="Wingdings" w:cs="Wingdings"/>
    </w:rPr>
  </w:style>
  <w:style w:type="character" w:styleId="CommentTextChar" w:customStyle="1">
    <w:name w:val="Comment Text Char"/>
    <w:basedOn w:val="DefaultParagraphFont"/>
    <w:link w:val="Annotationtext"/>
    <w:uiPriority w:val="99"/>
    <w:qFormat/>
    <w:rsid w:val="007c3cbb"/>
    <w:rPr>
      <w:rFonts w:cs="Mangal"/>
      <w:szCs w:val="18"/>
    </w:rPr>
  </w:style>
  <w:style w:type="character" w:styleId="CommentSubjectChar" w:customStyle="1">
    <w:name w:val="Comment Subject Char"/>
    <w:basedOn w:val="CommentTextChar"/>
    <w:link w:val="Annotationsubject"/>
    <w:uiPriority w:val="99"/>
    <w:semiHidden/>
    <w:qFormat/>
    <w:rsid w:val="007c3cbb"/>
    <w:rPr>
      <w:rFonts w:cs="Mangal"/>
      <w:b/>
      <w:bCs/>
      <w:szCs w:val="18"/>
    </w:rPr>
  </w:style>
  <w:style w:type="character" w:styleId="LineNumbering">
    <w:name w:val="Line Number"/>
    <w:rPr/>
  </w:style>
  <w:style w:type="paragraph" w:styleId="Heading" w:customStyle="1">
    <w:name w:val="Heading"/>
    <w:basedOn w:val="Normal"/>
    <w:next w:val="TextBody"/>
    <w:qFormat/>
    <w:pPr>
      <w:keepNext w:val="true"/>
      <w:spacing w:before="240" w:after="120"/>
    </w:pPr>
    <w:rPr>
      <w:rFonts w:ascii="Liberation Sans" w:hAnsi="Liberation Sans" w:eastAsia="Noto Sans CJK SC"/>
      <w:sz w:val="28"/>
      <w:szCs w:val="28"/>
    </w:rPr>
  </w:style>
  <w:style w:type="paragraph" w:styleId="TextBody">
    <w:name w:val="Body Text"/>
    <w:basedOn w:val="Normal"/>
    <w:pPr>
      <w:spacing w:lineRule="auto" w:line="276" w:before="0" w:after="140"/>
    </w:pPr>
    <w:rPr/>
  </w:style>
  <w:style w:type="paragraph" w:styleId="List">
    <w:name w:val="List"/>
    <w:basedOn w:val="TextBody"/>
    <w:pPr/>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style>
  <w:style w:type="paragraph" w:styleId="Caption1">
    <w:name w:val="caption"/>
    <w:basedOn w:val="Normal"/>
    <w:next w:val="Normal"/>
    <w:qFormat/>
    <w:pPr>
      <w:spacing w:before="0" w:after="200"/>
    </w:pPr>
    <w:rPr>
      <w:rFonts w:eastAsia="Malgun Gothic"/>
      <w:i/>
      <w:iCs/>
      <w:color w:val="44546A" w:themeColor="text2"/>
      <w:sz w:val="18"/>
      <w:szCs w:val="18"/>
      <w:lang w:val="en-GB" w:eastAsia="en-US"/>
    </w:rPr>
  </w:style>
  <w:style w:type="paragraph" w:styleId="ListParagraph">
    <w:name w:val="List Paragraph"/>
    <w:basedOn w:val="Normal"/>
    <w:qFormat/>
    <w:pPr/>
    <w:rPr>
      <w:rFonts w:eastAsia="" w:eastAsiaTheme="minorEastAsia"/>
      <w:lang w:eastAsia="ko-KR"/>
    </w:rPr>
  </w:style>
  <w:style w:type="paragraph" w:styleId="TableContents" w:customStyle="1">
    <w:name w:val="Table Contents"/>
    <w:basedOn w:val="Normal"/>
    <w:qFormat/>
    <w:pPr>
      <w:suppressLineNumbers/>
    </w:pPr>
    <w:rPr/>
  </w:style>
  <w:style w:type="paragraph" w:styleId="TableHeading" w:customStyle="1">
    <w:name w:val="Table Heading"/>
    <w:basedOn w:val="TableContents"/>
    <w:qFormat/>
    <w:pPr>
      <w:jc w:val="center"/>
    </w:pPr>
    <w:rPr>
      <w:b/>
      <w:bCs/>
    </w:rPr>
  </w:style>
  <w:style w:type="paragraph" w:styleId="Standard" w:customStyle="1">
    <w:name w:val="Standard"/>
    <w:qFormat/>
    <w:pPr>
      <w:widowControl/>
      <w:suppressAutoHyphens w:val="true"/>
      <w:bidi w:val="0"/>
      <w:spacing w:before="0" w:after="0"/>
      <w:jc w:val="start"/>
      <w:textAlignment w:val="baseline"/>
    </w:pPr>
    <w:rPr>
      <w:rFonts w:ascii="Liberation Serif" w:hAnsi="Liberation Serif" w:eastAsia="Noto Sans CJK SC Regular" w:cs="FreeSans"/>
      <w:color w:val="00000A"/>
      <w:kern w:val="0"/>
      <w:sz w:val="22"/>
      <w:szCs w:val="24"/>
      <w:lang w:val="en-IN" w:eastAsia="zh-CN" w:bidi="hi-IN"/>
    </w:rPr>
  </w:style>
  <w:style w:type="paragraph" w:styleId="PreformattedText" w:customStyle="1">
    <w:name w:val="Preformatted Text"/>
    <w:basedOn w:val="Normal"/>
    <w:qFormat/>
    <w:pPr/>
    <w:rPr/>
  </w:style>
  <w:style w:type="paragraph" w:styleId="References" w:customStyle="1">
    <w:name w:val="References"/>
    <w:basedOn w:val="Normal"/>
    <w:qFormat/>
    <w:pPr>
      <w:spacing w:before="0" w:after="60"/>
    </w:pPr>
    <w:rPr>
      <w:sz w:val="20"/>
      <w:szCs w:val="16"/>
    </w:rPr>
  </w:style>
  <w:style w:type="paragraph" w:styleId="TAL" w:customStyle="1">
    <w:name w:val="TAL"/>
    <w:basedOn w:val="Normal"/>
    <w:qFormat/>
    <w:pPr>
      <w:keepNext w:val="true"/>
      <w:keepLines/>
      <w:spacing w:before="50" w:after="0"/>
    </w:pPr>
    <w:rPr>
      <w:rFonts w:ascii="Arial" w:hAnsi="Arial"/>
      <w:sz w:val="18"/>
    </w:rPr>
  </w:style>
  <w:style w:type="paragraph" w:styleId="TAC" w:customStyle="1">
    <w:name w:val="TAC"/>
    <w:basedOn w:val="TAL"/>
    <w:qFormat/>
    <w:pPr>
      <w:jc w:val="center"/>
    </w:pPr>
    <w:rPr/>
  </w:style>
  <w:style w:type="paragraph" w:styleId="Revision">
    <w:name w:val="Revision"/>
    <w:uiPriority w:val="99"/>
    <w:semiHidden/>
    <w:qFormat/>
    <w:rsid w:val="00da7968"/>
    <w:pPr>
      <w:widowControl/>
      <w:suppressAutoHyphens w:val="false"/>
      <w:bidi w:val="0"/>
      <w:spacing w:before="0" w:after="0"/>
      <w:jc w:val="start"/>
    </w:pPr>
    <w:rPr>
      <w:rFonts w:ascii="Liberation Serif" w:hAnsi="Liberation Serif" w:eastAsia="Noto Serif CJK SC" w:cs="Mangal"/>
      <w:color w:val="auto"/>
      <w:kern w:val="2"/>
      <w:sz w:val="24"/>
      <w:szCs w:val="21"/>
      <w:lang w:val="en-IN" w:eastAsia="zh-CN" w:bidi="hi-IN"/>
    </w:rPr>
  </w:style>
  <w:style w:type="paragraph" w:styleId="Annotationtext">
    <w:name w:val="annotation text"/>
    <w:basedOn w:val="Normal"/>
    <w:link w:val="CommentTextChar"/>
    <w:uiPriority w:val="99"/>
    <w:unhideWhenUsed/>
    <w:qFormat/>
    <w:rsid w:val="007c3cbb"/>
    <w:pPr/>
    <w:rPr>
      <w:rFonts w:cs="Mangal"/>
      <w:sz w:val="20"/>
      <w:szCs w:val="18"/>
    </w:rPr>
  </w:style>
  <w:style w:type="paragraph" w:styleId="Annotationsubject">
    <w:name w:val="annotation subject"/>
    <w:basedOn w:val="Annotationtext"/>
    <w:next w:val="Annotationtext"/>
    <w:link w:val="CommentSubjectChar"/>
    <w:uiPriority w:val="99"/>
    <w:semiHidden/>
    <w:unhideWhenUsed/>
    <w:qFormat/>
    <w:rsid w:val="007c3cbb"/>
    <w:pPr/>
    <w:rPr>
      <w:b/>
      <w:bCs/>
    </w:rPr>
  </w:style>
  <w:style w:type="numbering" w:styleId="NoList" w:default="1">
    <w:name w:val="No List"/>
    <w:uiPriority w:val="99"/>
    <w:semiHidden/>
    <w:unhideWhenUsed/>
    <w:qFormat/>
  </w:style>
  <w:style w:type="numbering" w:styleId="Numbering123" w:customStyle="1">
    <w:name w:val="Numbering 123"/>
    <w:qFormat/>
  </w:style>
  <w:style w:type="numbering" w:styleId="WW8Num9" w:customStyle="1">
    <w:name w:val="WW8Num9"/>
    <w:qFormat/>
  </w:style>
  <w:style w:type="numbering" w:styleId="WW8Num8" w:customStyle="1">
    <w:name w:val="WW8Num8"/>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1109</TotalTime>
  <Application>LibreOffice/7.4.5.1$Linux_X86_64 LibreOffice_project/5b836ae11a8f2f3ddf6e88bcd7da796d725223ae</Application>
  <AppVersion>15.0000</AppVersion>
  <Pages>6</Pages>
  <Words>1575</Words>
  <Characters>8353</Characters>
  <CharactersWithSpaces>9836</CharactersWithSpaces>
  <Paragraphs>99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2022-11-15T16:40:31Z</dcterms:created>
  <dc:creator/>
  <dc:description/>
  <dc:language>en-IN</dc:language>
  <cp:lastModifiedBy/>
  <dcterms:modified xsi:type="dcterms:W3CDTF">2023-02-17T18:03:01Z</dcterms:modified>
  <cp:revision>163</cp:revision>
  <dc:subject/>
  <dc:title/>
</cp:coreProperties>
</file>

<file path=docProps/custom.xml><?xml version="1.0" encoding="utf-8"?>
<Properties xmlns="http://schemas.openxmlformats.org/officeDocument/2006/custom-properties" xmlns:vt="http://schemas.openxmlformats.org/officeDocument/2006/docPropsVTypes"/>
</file>