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DE7D3" w14:textId="767F95B5" w:rsidR="00A77383" w:rsidRDefault="00B933D8" w:rsidP="00957CBD">
      <w:pPr>
        <w:tabs>
          <w:tab w:val="left" w:pos="1985"/>
        </w:tabs>
        <w:ind w:left="1817" w:hangingChars="826" w:hanging="1817"/>
        <w:rPr>
          <w:rFonts w:ascii="Arial" w:hAnsi="Arial" w:cs="Arial"/>
          <w:b/>
          <w:sz w:val="22"/>
          <w:lang w:val="en-US"/>
        </w:rPr>
      </w:pPr>
      <w:r w:rsidRPr="00A77383">
        <w:rPr>
          <w:rFonts w:ascii="Arial" w:hAnsi="Arial" w:cs="Arial"/>
          <w:b/>
          <w:sz w:val="22"/>
          <w:lang w:val="en-US"/>
        </w:rPr>
        <w:t>3GPP TSG RAN WG1 #11</w:t>
      </w:r>
      <w:r w:rsidR="004C6D4D">
        <w:rPr>
          <w:rFonts w:ascii="Arial" w:hAnsi="Arial" w:cs="Arial"/>
          <w:b/>
          <w:sz w:val="22"/>
          <w:lang w:val="en-US"/>
        </w:rPr>
        <w:t>2</w:t>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t xml:space="preserve">   </w:t>
      </w:r>
      <w:r w:rsidR="00C77F62" w:rsidRPr="00C77F62">
        <w:rPr>
          <w:rFonts w:ascii="Arial" w:hAnsi="Arial" w:cs="Arial"/>
          <w:b/>
          <w:sz w:val="22"/>
          <w:lang w:val="en-US"/>
        </w:rPr>
        <w:t>R1-2301639</w:t>
      </w:r>
    </w:p>
    <w:p w14:paraId="7ED1C4A1" w14:textId="0812D6B8" w:rsidR="00B933D8" w:rsidRPr="00957CBD" w:rsidRDefault="00195B95" w:rsidP="00957CBD">
      <w:pPr>
        <w:tabs>
          <w:tab w:val="left" w:pos="1985"/>
        </w:tabs>
        <w:ind w:left="1817" w:hangingChars="826" w:hanging="1817"/>
        <w:rPr>
          <w:rFonts w:ascii="Arial" w:hAnsi="Arial" w:cs="Arial"/>
          <w:b/>
          <w:sz w:val="22"/>
        </w:rPr>
      </w:pPr>
      <w:r>
        <w:rPr>
          <w:rFonts w:ascii="Arial" w:hAnsi="Arial" w:cs="Arial"/>
          <w:b/>
          <w:sz w:val="22"/>
        </w:rPr>
        <w:t>Athens</w:t>
      </w:r>
      <w:r w:rsidR="00A77383">
        <w:rPr>
          <w:rFonts w:ascii="Arial" w:hAnsi="Arial" w:cs="Arial"/>
          <w:b/>
          <w:sz w:val="22"/>
        </w:rPr>
        <w:t xml:space="preserve">, </w:t>
      </w:r>
      <w:r>
        <w:rPr>
          <w:rFonts w:ascii="Arial" w:hAnsi="Arial" w:cs="Arial"/>
          <w:b/>
          <w:sz w:val="22"/>
        </w:rPr>
        <w:t>Greece</w:t>
      </w:r>
      <w:r w:rsidR="00A77383">
        <w:rPr>
          <w:rFonts w:ascii="Arial" w:hAnsi="Arial" w:cs="Arial"/>
          <w:b/>
          <w:sz w:val="22"/>
        </w:rPr>
        <w:t xml:space="preserve">, </w:t>
      </w:r>
      <w:r>
        <w:rPr>
          <w:rFonts w:ascii="Arial" w:hAnsi="Arial" w:cs="Arial"/>
          <w:b/>
          <w:sz w:val="22"/>
        </w:rPr>
        <w:t>February 27</w:t>
      </w:r>
      <w:r w:rsidR="00B933D8" w:rsidRPr="00957CBD">
        <w:rPr>
          <w:rFonts w:ascii="Arial" w:hAnsi="Arial" w:cs="Arial" w:hint="eastAsia"/>
          <w:b/>
          <w:sz w:val="22"/>
        </w:rPr>
        <w:t>th</w:t>
      </w:r>
      <w:r w:rsidR="00B933D8" w:rsidRPr="00957CBD">
        <w:rPr>
          <w:rFonts w:ascii="Arial" w:hAnsi="Arial" w:cs="Arial"/>
          <w:b/>
          <w:sz w:val="22"/>
        </w:rPr>
        <w:t xml:space="preserve"> – </w:t>
      </w:r>
      <w:r>
        <w:rPr>
          <w:rFonts w:ascii="Arial" w:hAnsi="Arial" w:cs="Arial"/>
          <w:b/>
          <w:sz w:val="22"/>
        </w:rPr>
        <w:t>March 3rd</w:t>
      </w:r>
      <w:r w:rsidR="00B933D8" w:rsidRPr="00957CBD">
        <w:rPr>
          <w:rFonts w:ascii="Arial" w:hAnsi="Arial" w:cs="Arial"/>
          <w:b/>
          <w:sz w:val="22"/>
        </w:rPr>
        <w:t>, 202</w:t>
      </w:r>
      <w:r>
        <w:rPr>
          <w:rFonts w:ascii="Arial" w:hAnsi="Arial" w:cs="Arial"/>
          <w:b/>
          <w:sz w:val="22"/>
        </w:rPr>
        <w:t>3</w:t>
      </w:r>
    </w:p>
    <w:p w14:paraId="55862A40" w14:textId="77777777" w:rsidR="00DB21FA" w:rsidRPr="00B933D8" w:rsidRDefault="00DB21FA" w:rsidP="00202249">
      <w:pPr>
        <w:tabs>
          <w:tab w:val="left" w:pos="1985"/>
        </w:tabs>
        <w:ind w:left="1817" w:hangingChars="826" w:hanging="1817"/>
        <w:rPr>
          <w:rFonts w:ascii="Arial" w:hAnsi="Arial" w:cs="Arial"/>
          <w:b/>
          <w:sz w:val="22"/>
        </w:rPr>
      </w:pPr>
    </w:p>
    <w:p w14:paraId="08664EDD" w14:textId="50F19C7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94F23">
        <w:rPr>
          <w:rFonts w:ascii="Arial" w:hAnsi="Arial" w:cs="Arial"/>
          <w:b/>
          <w:sz w:val="22"/>
        </w:rPr>
        <w:t>2</w:t>
      </w:r>
    </w:p>
    <w:p w14:paraId="57EC2955" w14:textId="51100DBD"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r>
      <w:r w:rsidR="00B933D8">
        <w:rPr>
          <w:rFonts w:ascii="Arial" w:hAnsi="Arial" w:cs="Arial"/>
          <w:b/>
          <w:sz w:val="22"/>
        </w:rPr>
        <w:t>KDDI Corporation</w:t>
      </w:r>
    </w:p>
    <w:p w14:paraId="19FA92CC" w14:textId="532B7201"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67119D" w:rsidRPr="0067119D">
        <w:rPr>
          <w:rFonts w:ascii="Arial" w:hAnsi="Arial" w:cs="Arial"/>
          <w:b/>
          <w:sz w:val="22"/>
        </w:rPr>
        <w:t>Discussion on subband non-overlapping full duplex</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AC7882"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b/>
          <w:bCs/>
          <w:szCs w:val="20"/>
          <w:lang w:val="en-US"/>
        </w:rPr>
      </w:pPr>
      <w:bookmarkStart w:id="1" w:name="_Ref118581063"/>
      <w:r w:rsidRPr="00AC7882">
        <w:rPr>
          <w:rFonts w:cs="Arial"/>
          <w:b/>
          <w:bCs/>
          <w:szCs w:val="20"/>
          <w:lang w:val="en-US"/>
        </w:rPr>
        <w:t>Introduction</w:t>
      </w:r>
      <w:bookmarkEnd w:id="1"/>
    </w:p>
    <w:p w14:paraId="79AB804D" w14:textId="64F132BA" w:rsidR="00AC3374" w:rsidRPr="005C5439" w:rsidRDefault="001523B2" w:rsidP="00AC3374">
      <w:pPr>
        <w:spacing w:before="180"/>
        <w:ind w:firstLineChars="50" w:firstLine="100"/>
        <w:jc w:val="both"/>
        <w:rPr>
          <w:lang w:val="en-US"/>
        </w:rPr>
      </w:pPr>
      <w:r w:rsidRPr="005C5439">
        <w:rPr>
          <w:lang w:val="en-US"/>
        </w:rPr>
        <w:t>RAN</w:t>
      </w:r>
      <w:r w:rsidR="00936AF2" w:rsidRPr="005C5439">
        <w:rPr>
          <w:lang w:val="en-US"/>
        </w:rPr>
        <w:t>#9</w:t>
      </w:r>
      <w:r w:rsidR="00A80BBA" w:rsidRPr="005C5439">
        <w:rPr>
          <w:lang w:val="en-US"/>
        </w:rPr>
        <w:t>7</w:t>
      </w:r>
      <w:r w:rsidR="00936AF2" w:rsidRPr="005C5439">
        <w:rPr>
          <w:lang w:val="en-US"/>
        </w:rPr>
        <w:t xml:space="preserve">-e endorsed the </w:t>
      </w:r>
      <w:r w:rsidR="00A80BBA" w:rsidRPr="005C5439">
        <w:rPr>
          <w:lang w:val="en-US"/>
        </w:rPr>
        <w:t xml:space="preserve">revised </w:t>
      </w:r>
      <w:r w:rsidR="00936AF2" w:rsidRPr="005C5439">
        <w:rPr>
          <w:lang w:val="en-US"/>
        </w:rPr>
        <w:t>Rel-18 study items on “Study on e</w:t>
      </w:r>
      <w:r w:rsidR="000B384E" w:rsidRPr="005C5439">
        <w:rPr>
          <w:lang w:val="en-US"/>
        </w:rPr>
        <w:t>volution of NR duplex operation” [1]</w:t>
      </w:r>
      <w:r w:rsidRPr="005C5439">
        <w:rPr>
          <w:lang w:val="en-US"/>
        </w:rPr>
        <w:t xml:space="preserve">. </w:t>
      </w:r>
      <w:r w:rsidR="00936AF2" w:rsidRPr="005C5439">
        <w:rPr>
          <w:lang w:val="en-US"/>
        </w:rPr>
        <w:t xml:space="preserve">The objectives for this SI </w:t>
      </w:r>
      <w:r w:rsidR="0028370B" w:rsidRPr="005C5439">
        <w:rPr>
          <w:lang w:val="en-US"/>
        </w:rPr>
        <w:t xml:space="preserve">are </w:t>
      </w:r>
      <w:r w:rsidR="00936AF2" w:rsidRPr="005C5439">
        <w:rPr>
          <w:lang w:val="en-US"/>
        </w:rPr>
        <w:t>shown below:</w:t>
      </w:r>
    </w:p>
    <w:tbl>
      <w:tblPr>
        <w:tblStyle w:val="a9"/>
        <w:tblW w:w="0" w:type="auto"/>
        <w:tblLook w:val="04A0" w:firstRow="1" w:lastRow="0" w:firstColumn="1" w:lastColumn="0" w:noHBand="0" w:noVBand="1"/>
      </w:tblPr>
      <w:tblGrid>
        <w:gridCol w:w="9629"/>
      </w:tblGrid>
      <w:tr w:rsidR="00936AF2" w:rsidRPr="005C5439" w14:paraId="3A160E42" w14:textId="77777777" w:rsidTr="00936AF2">
        <w:tc>
          <w:tcPr>
            <w:tcW w:w="9629" w:type="dxa"/>
          </w:tcPr>
          <w:p w14:paraId="1A76DBEA" w14:textId="77777777" w:rsidR="00936AF2" w:rsidRPr="005C5439" w:rsidRDefault="00936AF2" w:rsidP="00936AF2">
            <w:pPr>
              <w:ind w:right="-99"/>
              <w:jc w:val="both"/>
              <w:rPr>
                <w:bCs/>
              </w:rPr>
            </w:pPr>
            <w:r w:rsidRPr="005C5439">
              <w:rPr>
                <w:bCs/>
              </w:rPr>
              <w:t>In this study, the followings are assumed:</w:t>
            </w:r>
          </w:p>
          <w:p w14:paraId="5CDF574E"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Duplex enhancement at the gNB side</w:t>
            </w:r>
          </w:p>
          <w:p w14:paraId="7F25271F"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Half duplex operation at the UE side</w:t>
            </w:r>
          </w:p>
          <w:p w14:paraId="4F5ABDA8"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No restriction on frequency ranges</w:t>
            </w:r>
          </w:p>
          <w:p w14:paraId="672AB75C" w14:textId="77777777" w:rsidR="00936AF2" w:rsidRPr="005C5439" w:rsidRDefault="00936AF2" w:rsidP="00936AF2">
            <w:pPr>
              <w:ind w:right="-99"/>
              <w:jc w:val="both"/>
              <w:rPr>
                <w:bCs/>
              </w:rPr>
            </w:pPr>
          </w:p>
          <w:p w14:paraId="6CC942C0" w14:textId="77777777" w:rsidR="00936AF2" w:rsidRPr="005C5439" w:rsidRDefault="00936AF2" w:rsidP="00936AF2">
            <w:pPr>
              <w:ind w:right="-99"/>
              <w:jc w:val="both"/>
              <w:rPr>
                <w:bCs/>
              </w:rPr>
            </w:pPr>
            <w:r w:rsidRPr="005C5439">
              <w:rPr>
                <w:bCs/>
              </w:rPr>
              <w:t>The detailed objectives are as follows:</w:t>
            </w:r>
          </w:p>
          <w:p w14:paraId="0012A309"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Identify applicable and relevant deployment scenarios (RAN1).</w:t>
            </w:r>
          </w:p>
          <w:p w14:paraId="6605374E"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Develop evaluation methodology for duplex enhancement (RAN1).</w:t>
            </w:r>
          </w:p>
          <w:p w14:paraId="71279D86"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 xml:space="preserve">Study the subband non-overlapping full duplex and </w:t>
            </w:r>
            <w:bookmarkStart w:id="2" w:name="_Hlk89796625"/>
            <w:r w:rsidRPr="005C5439">
              <w:rPr>
                <w:lang w:val="en-US"/>
              </w:rPr>
              <w:t xml:space="preserve">potential enhancements on </w:t>
            </w:r>
            <w:r w:rsidRPr="005C5439">
              <w:rPr>
                <w:bCs/>
              </w:rPr>
              <w:t>dynamic/flexible TDD</w:t>
            </w:r>
            <w:bookmarkEnd w:id="2"/>
            <w:r w:rsidRPr="005C5439">
              <w:rPr>
                <w:bCs/>
              </w:rPr>
              <w:t xml:space="preserve"> (RAN1, RAN4).</w:t>
            </w:r>
          </w:p>
          <w:p w14:paraId="17D324A1"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Identify possible schemes and evaluate their feasibility and performances (RAN1).</w:t>
            </w:r>
          </w:p>
          <w:p w14:paraId="1A30ED36"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 xml:space="preserve">Study inter-gNB and inter-UE CLI handling and identify solutions to manage them (RAN1). </w:t>
            </w:r>
          </w:p>
          <w:p w14:paraId="6208F759" w14:textId="77777777" w:rsidR="00936AF2" w:rsidRPr="005C5439" w:rsidRDefault="00936AF2" w:rsidP="00E61706">
            <w:pPr>
              <w:pStyle w:val="a5"/>
              <w:numPr>
                <w:ilvl w:val="1"/>
                <w:numId w:val="12"/>
              </w:numPr>
              <w:overflowPunct w:val="0"/>
              <w:autoSpaceDE w:val="0"/>
              <w:autoSpaceDN w:val="0"/>
              <w:adjustRightInd w:val="0"/>
              <w:ind w:leftChars="0"/>
              <w:contextualSpacing/>
              <w:jc w:val="both"/>
              <w:textAlignment w:val="baseline"/>
              <w:rPr>
                <w:bCs/>
              </w:rPr>
            </w:pPr>
            <w:r w:rsidRPr="005C5439">
              <w:rPr>
                <w:bCs/>
              </w:rPr>
              <w:t xml:space="preserve">Consider intra-subband CLI and inter-subband CLI in case of the </w:t>
            </w:r>
            <w:r w:rsidRPr="005C5439">
              <w:rPr>
                <w:lang w:val="en-US"/>
              </w:rPr>
              <w:t>subband non-overlapping full duplex</w:t>
            </w:r>
            <w:r w:rsidRPr="005C5439">
              <w:rPr>
                <w:bCs/>
              </w:rPr>
              <w:t>.</w:t>
            </w:r>
          </w:p>
          <w:p w14:paraId="0D05FD28"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Study the performance of the identified schemes as well as the impact on legacy operation assuming their co-existence in co-channel and adjacent channels (RAN1).</w:t>
            </w:r>
          </w:p>
          <w:p w14:paraId="39CDA99E" w14:textId="77777777" w:rsidR="00936AF2" w:rsidRPr="005C5439" w:rsidRDefault="00936AF2" w:rsidP="00E61706">
            <w:pPr>
              <w:pStyle w:val="a5"/>
              <w:numPr>
                <w:ilvl w:val="0"/>
                <w:numId w:val="12"/>
              </w:numPr>
              <w:overflowPunct w:val="0"/>
              <w:autoSpaceDE w:val="0"/>
              <w:autoSpaceDN w:val="0"/>
              <w:adjustRightInd w:val="0"/>
              <w:ind w:leftChars="0"/>
              <w:contextualSpacing/>
              <w:textAlignment w:val="baseline"/>
              <w:rPr>
                <w:bCs/>
              </w:rPr>
            </w:pPr>
            <w:r w:rsidRPr="005C5439">
              <w:rPr>
                <w:bCs/>
              </w:rPr>
              <w:t>Study the feasibility of and impact on RF requirements considering adjacent-channel co-existence with the legacy operation (RAN4).</w:t>
            </w:r>
          </w:p>
          <w:p w14:paraId="21F0F42F"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Study the feasibility of and impact on RF requirements considering the self-interference, the inter-subband CLI, and the inter-operator CLI at gNB and the inter-subband CLI and inter-operator CLI at UE (RAN4).</w:t>
            </w:r>
          </w:p>
          <w:p w14:paraId="33D46420" w14:textId="77777777" w:rsidR="00936AF2" w:rsidRPr="005C5439" w:rsidRDefault="00936AF2" w:rsidP="00E61706">
            <w:pPr>
              <w:pStyle w:val="a5"/>
              <w:numPr>
                <w:ilvl w:val="0"/>
                <w:numId w:val="14"/>
              </w:numPr>
              <w:overflowPunct w:val="0"/>
              <w:autoSpaceDE w:val="0"/>
              <w:autoSpaceDN w:val="0"/>
              <w:adjustRightInd w:val="0"/>
              <w:ind w:leftChars="0"/>
              <w:contextualSpacing/>
              <w:jc w:val="both"/>
              <w:textAlignment w:val="baseline"/>
              <w:rPr>
                <w:bCs/>
              </w:rPr>
            </w:pPr>
            <w:r w:rsidRPr="005C5439">
              <w:rPr>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5C5439" w:rsidRDefault="00936AF2" w:rsidP="00E61706">
            <w:pPr>
              <w:pStyle w:val="a5"/>
              <w:numPr>
                <w:ilvl w:val="0"/>
                <w:numId w:val="14"/>
              </w:numPr>
              <w:overflowPunct w:val="0"/>
              <w:autoSpaceDE w:val="0"/>
              <w:autoSpaceDN w:val="0"/>
              <w:adjustRightInd w:val="0"/>
              <w:ind w:leftChars="0"/>
              <w:contextualSpacing/>
              <w:jc w:val="both"/>
              <w:textAlignment w:val="baseline"/>
              <w:rPr>
                <w:lang w:val="en-US"/>
              </w:rPr>
            </w:pPr>
            <w:r w:rsidRPr="005C5439">
              <w:rPr>
                <w:lang w:val="en-US"/>
              </w:rPr>
              <w:t>Summarize the regulatory aspects that have to be considered for deploying the identified duplex enhancements in TDD unpaired spectrum (RAN4).</w:t>
            </w:r>
          </w:p>
          <w:p w14:paraId="0F11D49C" w14:textId="68B51FFB" w:rsidR="00936AF2" w:rsidRPr="005C5439" w:rsidRDefault="00936AF2" w:rsidP="00936AF2">
            <w:pPr>
              <w:jc w:val="both"/>
              <w:rPr>
                <w:bCs/>
              </w:rPr>
            </w:pPr>
            <w:r w:rsidRPr="005C5439">
              <w:rPr>
                <w:bCs/>
              </w:rPr>
              <w:t xml:space="preserve">Note: For potential enhancements on dynamic/flexible TDD, utilize the outcome of discussion in Rel-15 and Rel-16 while avoiding the repetition of the same discussion. </w:t>
            </w:r>
          </w:p>
        </w:tc>
      </w:tr>
    </w:tbl>
    <w:p w14:paraId="583904E0" w14:textId="77777777" w:rsidR="000F3C34" w:rsidRPr="005C5439" w:rsidRDefault="000F3C34" w:rsidP="00936AF2">
      <w:pPr>
        <w:spacing w:after="160" w:line="256" w:lineRule="auto"/>
        <w:ind w:right="-99"/>
      </w:pPr>
    </w:p>
    <w:p w14:paraId="4AF83065" w14:textId="402D5387" w:rsidR="00936AF2" w:rsidRPr="005C5439" w:rsidRDefault="00936AF2" w:rsidP="00936AF2">
      <w:pPr>
        <w:spacing w:after="160" w:line="256" w:lineRule="auto"/>
        <w:ind w:right="-99"/>
        <w:rPr>
          <w:lang w:val="en-US"/>
        </w:rPr>
      </w:pPr>
      <w:r w:rsidRPr="005C5439">
        <w:t>In this contribution</w:t>
      </w:r>
      <w:r w:rsidR="00A00D96" w:rsidRPr="005C5439">
        <w:t xml:space="preserve">, we </w:t>
      </w:r>
      <w:r w:rsidR="00722F50">
        <w:t>discuss SBFD schemes within a carrier</w:t>
      </w:r>
      <w:r w:rsidR="00A00D96" w:rsidRPr="005C5439">
        <w:t xml:space="preserve"> </w:t>
      </w:r>
      <w:r w:rsidR="00722F50">
        <w:t xml:space="preserve">from inter-UE CLI impact perspective. </w:t>
      </w:r>
    </w:p>
    <w:p w14:paraId="55BEB859" w14:textId="579D4889" w:rsidR="00375956" w:rsidRPr="00AC7882" w:rsidRDefault="00375956"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ＭＳ 明朝" w:cs="Arial"/>
          <w:b/>
          <w:bCs/>
          <w:szCs w:val="20"/>
          <w:lang w:val="en-US" w:eastAsia="ja-JP"/>
        </w:rPr>
      </w:pPr>
      <w:r w:rsidRPr="00AC7882">
        <w:rPr>
          <w:rFonts w:eastAsia="ＭＳ 明朝" w:cs="Arial" w:hint="eastAsia"/>
          <w:b/>
          <w:bCs/>
          <w:szCs w:val="20"/>
          <w:lang w:val="en-US" w:eastAsia="ja-JP"/>
        </w:rPr>
        <w:lastRenderedPageBreak/>
        <w:t>S</w:t>
      </w:r>
      <w:r w:rsidRPr="00AC7882">
        <w:rPr>
          <w:rFonts w:eastAsia="ＭＳ 明朝" w:cs="Arial"/>
          <w:b/>
          <w:bCs/>
          <w:szCs w:val="20"/>
          <w:lang w:val="en-US" w:eastAsia="ja-JP"/>
        </w:rPr>
        <w:t>BFD schemes across BWP(s) within a carrier</w:t>
      </w:r>
    </w:p>
    <w:p w14:paraId="0B31086F" w14:textId="55093A34" w:rsidR="00375956" w:rsidRDefault="00375956" w:rsidP="00375956">
      <w:pPr>
        <w:rPr>
          <w:rFonts w:eastAsia="ＭＳ 明朝"/>
          <w:lang w:eastAsia="ja-JP"/>
        </w:rPr>
      </w:pPr>
      <w:r>
        <w:rPr>
          <w:rFonts w:eastAsia="ＭＳ 明朝" w:hint="eastAsia"/>
          <w:lang w:eastAsia="ja-JP"/>
        </w:rPr>
        <w:t>T</w:t>
      </w:r>
      <w:r>
        <w:rPr>
          <w:rFonts w:eastAsia="ＭＳ 明朝"/>
          <w:lang w:eastAsia="ja-JP"/>
        </w:rPr>
        <w:t xml:space="preserve">he following working assumption was made in RAN1 #110 and there was agreement with regard to the baseline scheme for SBFD operation within a carrier in RAN1 #110bis. </w:t>
      </w:r>
    </w:p>
    <w:tbl>
      <w:tblPr>
        <w:tblStyle w:val="a9"/>
        <w:tblW w:w="0" w:type="auto"/>
        <w:tblLook w:val="04A0" w:firstRow="1" w:lastRow="0" w:firstColumn="1" w:lastColumn="0" w:noHBand="0" w:noVBand="1"/>
      </w:tblPr>
      <w:tblGrid>
        <w:gridCol w:w="9629"/>
      </w:tblGrid>
      <w:tr w:rsidR="00375956" w14:paraId="43FFB434" w14:textId="77777777" w:rsidTr="00375956">
        <w:tc>
          <w:tcPr>
            <w:tcW w:w="9629" w:type="dxa"/>
          </w:tcPr>
          <w:p w14:paraId="02304C64" w14:textId="77777777" w:rsidR="00375956" w:rsidRDefault="00375956" w:rsidP="000C68E4">
            <w:pPr>
              <w:spacing w:before="120" w:after="120"/>
              <w:rPr>
                <w:b/>
                <w:highlight w:val="darkYellow"/>
                <w:lang w:eastAsia="zh-CN"/>
              </w:rPr>
            </w:pPr>
            <w:r>
              <w:rPr>
                <w:b/>
                <w:highlight w:val="darkYellow"/>
                <w:lang w:eastAsia="zh-CN"/>
              </w:rPr>
              <w:t>Working Assumption</w:t>
            </w:r>
          </w:p>
          <w:p w14:paraId="11EF5553" w14:textId="77777777" w:rsidR="00375956" w:rsidRDefault="00375956" w:rsidP="00BB1DD0">
            <w:pPr>
              <w:spacing w:before="120" w:after="120"/>
              <w:rPr>
                <w:rFonts w:eastAsia="Batang"/>
                <w:lang w:eastAsia="en-US"/>
              </w:rPr>
            </w:pPr>
            <w:r>
              <w:t>For SBFD operation within a TDD carrier, study SBFD</w:t>
            </w:r>
            <w:r>
              <w:rPr>
                <w:lang w:eastAsia="zh-CN"/>
              </w:rPr>
              <w:t xml:space="preserve"> scheme</w:t>
            </w:r>
            <w:r>
              <w:t xml:space="preserve"> </w:t>
            </w:r>
            <w:r>
              <w:rPr>
                <w:lang w:eastAsia="zh-CN"/>
              </w:rPr>
              <w:t>within</w:t>
            </w:r>
            <w:r>
              <w:t xml:space="preserve"> a single configured DL and UL BWP pair with aligned center frequencies as baseline. </w:t>
            </w:r>
          </w:p>
          <w:p w14:paraId="25A8FF16" w14:textId="77777777" w:rsidR="00375956" w:rsidRDefault="00375956" w:rsidP="00BB1DD0">
            <w:pPr>
              <w:pStyle w:val="a5"/>
              <w:numPr>
                <w:ilvl w:val="0"/>
                <w:numId w:val="48"/>
              </w:numPr>
              <w:suppressAutoHyphens/>
              <w:spacing w:before="120" w:after="120"/>
              <w:ind w:leftChars="0"/>
            </w:pPr>
            <w:r>
              <w:t>FFS feasibility</w:t>
            </w:r>
            <w:r>
              <w:rPr>
                <w:rFonts w:cs="Times"/>
              </w:rPr>
              <w:t xml:space="preserve"> and potential benefit of</w:t>
            </w:r>
            <w:r>
              <w:t xml:space="preserve"> SBFD scheme within a single configured DL and UL BWP pair with unaligned center frequencies</w:t>
            </w:r>
          </w:p>
          <w:p w14:paraId="2C2C9C0F" w14:textId="04C7BC2A" w:rsidR="00375956" w:rsidRPr="00863AF2" w:rsidRDefault="00375956" w:rsidP="00BB1DD0">
            <w:pPr>
              <w:pStyle w:val="a5"/>
              <w:numPr>
                <w:ilvl w:val="0"/>
                <w:numId w:val="48"/>
              </w:numPr>
              <w:suppressAutoHyphens/>
              <w:spacing w:before="120" w:after="120"/>
              <w:ind w:leftChars="0"/>
            </w:pPr>
            <w:r>
              <w:rPr>
                <w:rFonts w:cs="Times"/>
              </w:rPr>
              <w:t xml:space="preserve">FFS </w:t>
            </w:r>
            <w:r>
              <w:t>feasibility</w:t>
            </w:r>
            <w:r>
              <w:rPr>
                <w:rFonts w:cs="Times"/>
              </w:rPr>
              <w:t xml:space="preserve"> and potential benefit of SBFD scheme with more than one configured DL and UL BWP pair with aligned/unaligned center frequencies for a DL and UL BWP pair</w:t>
            </w:r>
          </w:p>
          <w:p w14:paraId="7D8A5957" w14:textId="79EEDD1B" w:rsidR="00863AF2" w:rsidRPr="00863AF2" w:rsidRDefault="00863AF2" w:rsidP="00863AF2">
            <w:pPr>
              <w:suppressAutoHyphens/>
              <w:spacing w:before="120" w:after="120"/>
            </w:pPr>
          </w:p>
          <w:p w14:paraId="73D1FC2B" w14:textId="77777777" w:rsidR="00863AF2" w:rsidRDefault="00863AF2" w:rsidP="000C68E4">
            <w:pPr>
              <w:spacing w:before="120" w:after="120"/>
              <w:jc w:val="both"/>
              <w:rPr>
                <w:b/>
                <w:highlight w:val="green"/>
                <w:lang w:eastAsia="zh-CN"/>
              </w:rPr>
            </w:pPr>
            <w:r>
              <w:rPr>
                <w:b/>
                <w:highlight w:val="green"/>
                <w:lang w:eastAsia="zh-CN"/>
              </w:rPr>
              <w:t>Agreement</w:t>
            </w:r>
          </w:p>
          <w:p w14:paraId="32B42517" w14:textId="59C3FA27" w:rsidR="00863AF2" w:rsidRPr="00BB1DD0" w:rsidRDefault="00863AF2" w:rsidP="00863AF2">
            <w:pPr>
              <w:suppressAutoHyphens/>
              <w:spacing w:before="120" w:after="120"/>
            </w:pPr>
            <w:r>
              <w:t xml:space="preserve">For SBFD operation within a TDD carrier, </w:t>
            </w:r>
            <w:r>
              <w:rPr>
                <w:lang w:eastAsia="zh-CN"/>
              </w:rPr>
              <w:t xml:space="preserve">it is agreed that </w:t>
            </w:r>
            <w:r>
              <w:t>SBFD</w:t>
            </w:r>
            <w:r>
              <w:rPr>
                <w:lang w:eastAsia="zh-CN"/>
              </w:rPr>
              <w:t xml:space="preserve"> scheme</w:t>
            </w:r>
            <w:r>
              <w:t xml:space="preserve"> </w:t>
            </w:r>
            <w:r>
              <w:rPr>
                <w:lang w:eastAsia="zh-CN"/>
              </w:rPr>
              <w:t>within</w:t>
            </w:r>
            <w:r>
              <w:t xml:space="preserve"> a single configured DL and UL BWP pair with aligned center frequencies </w:t>
            </w:r>
            <w:r>
              <w:rPr>
                <w:lang w:eastAsia="zh-CN"/>
              </w:rPr>
              <w:t xml:space="preserve">is the </w:t>
            </w:r>
            <w:r>
              <w:t>baseline.</w:t>
            </w:r>
          </w:p>
        </w:tc>
      </w:tr>
    </w:tbl>
    <w:p w14:paraId="0DA50DBF" w14:textId="77777777" w:rsidR="00E34463" w:rsidRDefault="00E34463" w:rsidP="00863AF2"/>
    <w:p w14:paraId="47F49140" w14:textId="5535D7CF" w:rsidR="00375956" w:rsidRDefault="00375956" w:rsidP="00375956">
      <w:pPr>
        <w:ind w:firstLineChars="50" w:firstLine="100"/>
        <w:rPr>
          <w:rFonts w:eastAsia="ＭＳ 明朝"/>
          <w:lang w:val="en-US" w:eastAsia="ja-JP"/>
        </w:rPr>
      </w:pPr>
      <w:r>
        <w:t xml:space="preserve">Our understanding is that the single configured DL and UL BWP pair is a legacy UE mandatory feature and has no UE RF impact, so it was agreed as the baseline scheme in the study. However, the BWP configuration in SBFD operation has different </w:t>
      </w:r>
      <w:r w:rsidR="00D7368C">
        <w:t xml:space="preserve">inter-UE </w:t>
      </w:r>
      <w:r>
        <w:t>CLI impact in inter-subband and inter-operator scenarios</w:t>
      </w:r>
      <w:r w:rsidR="00D7368C">
        <w:t>. W</w:t>
      </w:r>
      <w:r>
        <w:t>e believe that careful consideration is needed in RAN1 to avoid limiting SBFD deployment scenarios</w:t>
      </w:r>
      <w:r w:rsidR="00D7368C">
        <w:t xml:space="preserve"> by the degree of inter-UE CLI impact</w:t>
      </w:r>
      <w:r>
        <w:t xml:space="preserve">. </w:t>
      </w:r>
    </w:p>
    <w:p w14:paraId="05DEF536" w14:textId="4AD304FF" w:rsidR="00375956" w:rsidRDefault="00D7368C" w:rsidP="002451CA">
      <w:pPr>
        <w:ind w:firstLineChars="50" w:firstLine="100"/>
        <w:rPr>
          <w:rFonts w:eastAsia="ＭＳ 明朝"/>
          <w:lang w:val="en-US" w:eastAsia="ja-JP"/>
        </w:rPr>
      </w:pPr>
      <w:r w:rsidRPr="00D7368C">
        <w:rPr>
          <w:rFonts w:eastAsia="ＭＳ 明朝"/>
          <w:lang w:val="en-US" w:eastAsia="ja-JP"/>
        </w:rPr>
        <w:t xml:space="preserve">We have conducted tests to evaluate the inter-UE CLI impact in SBFD operations. Detailed results can be found in </w:t>
      </w:r>
      <w:r w:rsidR="00722F50">
        <w:rPr>
          <w:rFonts w:eastAsia="ＭＳ 明朝"/>
          <w:lang w:val="en-US" w:eastAsia="ja-JP"/>
        </w:rPr>
        <w:fldChar w:fldCharType="begin"/>
      </w:r>
      <w:r w:rsidR="00722F50">
        <w:rPr>
          <w:rFonts w:eastAsia="ＭＳ 明朝"/>
          <w:lang w:val="en-US" w:eastAsia="ja-JP"/>
        </w:rPr>
        <w:instrText xml:space="preserve"> REF _Ref118581068 \r \h </w:instrText>
      </w:r>
      <w:r w:rsidR="00722F50">
        <w:rPr>
          <w:rFonts w:eastAsia="ＭＳ 明朝"/>
          <w:lang w:val="en-US" w:eastAsia="ja-JP"/>
        </w:rPr>
      </w:r>
      <w:r w:rsidR="00722F50">
        <w:rPr>
          <w:rFonts w:eastAsia="ＭＳ 明朝"/>
          <w:lang w:val="en-US" w:eastAsia="ja-JP"/>
        </w:rPr>
        <w:fldChar w:fldCharType="separate"/>
      </w:r>
      <w:r w:rsidR="00722F50">
        <w:rPr>
          <w:rFonts w:eastAsia="ＭＳ 明朝"/>
          <w:lang w:val="en-US" w:eastAsia="ja-JP"/>
        </w:rPr>
        <w:t>[2]</w:t>
      </w:r>
      <w:r w:rsidR="00722F50">
        <w:rPr>
          <w:rFonts w:eastAsia="ＭＳ 明朝"/>
          <w:lang w:val="en-US" w:eastAsia="ja-JP"/>
        </w:rPr>
        <w:fldChar w:fldCharType="end"/>
      </w:r>
      <w:r w:rsidRPr="00D7368C">
        <w:rPr>
          <w:rFonts w:eastAsia="ＭＳ 明朝"/>
          <w:lang w:val="en-US" w:eastAsia="ja-JP"/>
        </w:rPr>
        <w:t>.</w:t>
      </w:r>
      <w:r>
        <w:rPr>
          <w:rFonts w:eastAsia="ＭＳ 明朝"/>
          <w:lang w:val="en-US" w:eastAsia="ja-JP"/>
        </w:rPr>
        <w:t xml:space="preserve"> </w:t>
      </w:r>
      <w:r w:rsidR="000415DF" w:rsidRPr="000415DF">
        <w:rPr>
          <w:rFonts w:eastAsia="ＭＳ 明朝"/>
          <w:lang w:val="en-US" w:eastAsia="ja-JP"/>
        </w:rPr>
        <w:t xml:space="preserve">Figure </w:t>
      </w:r>
      <w:r w:rsidR="004E23C3">
        <w:rPr>
          <w:rFonts w:eastAsia="ＭＳ 明朝"/>
          <w:lang w:val="en-US" w:eastAsia="ja-JP"/>
        </w:rPr>
        <w:t>1</w:t>
      </w:r>
      <w:r w:rsidR="000415DF" w:rsidRPr="000415DF">
        <w:rPr>
          <w:rFonts w:eastAsia="ＭＳ 明朝"/>
          <w:lang w:val="en-US" w:eastAsia="ja-JP"/>
        </w:rPr>
        <w:t xml:space="preserve"> illustrates the mechanism of potential DL performance degradation that occurs in the processing chain of the victim UE due to receiver impairments caused by the inter-UE CLI.</w:t>
      </w:r>
      <w:r w:rsidR="000415DF">
        <w:rPr>
          <w:rFonts w:eastAsia="ＭＳ 明朝"/>
          <w:lang w:val="en-US" w:eastAsia="ja-JP"/>
        </w:rPr>
        <w:t xml:space="preserve"> </w:t>
      </w:r>
      <w:r w:rsidRPr="00D7368C">
        <w:rPr>
          <w:rFonts w:eastAsia="ＭＳ 明朝"/>
          <w:lang w:val="en-US" w:eastAsia="ja-JP"/>
        </w:rPr>
        <w:t>The received signal at RX antenna of the victim UE is the composite of the desired signal from gNB and inter-UE CLI (including both co-channel and adjacent channel) from aggressor UEs. In the processing chain, there are two major blocks to generate DL performance degradation. One is ADC in RF domain, another is FFT block in digital domain. In more detail, if the inter-UE CLI is far larger than the desired signal, the digitized signal after the ADC has no valid information due to limited dynamic range of ADC, so called ADC saturation. Therefore, further digital domain processing is not helpful to recover the desired signal. It means that the inter-UE CLI strength should be kept below a certain threshold or ADC with much higher dynamic range capability should be equipped. Note that the latter approach is not feasible since the deployed legacy UEs cannot have the ADC with higher dynamic range capability. Assume that the ADC is not saturated. In digital domain, the input of FFT block is sum of the desired signal and interference signal. Therefore, by performing FFT operation to the signal, power of the interference signal leaks to the designed signal (which called spectral leakage by FFT block) because the interference signal may be unaligned with the desired signal in time domain.</w:t>
      </w:r>
    </w:p>
    <w:p w14:paraId="1C737A23" w14:textId="77777777" w:rsidR="00C53650" w:rsidRDefault="00C53650" w:rsidP="002451CA">
      <w:pPr>
        <w:ind w:firstLineChars="50" w:firstLine="100"/>
        <w:rPr>
          <w:rFonts w:eastAsia="ＭＳ 明朝"/>
          <w:lang w:val="en-US" w:eastAsia="ja-JP"/>
        </w:rPr>
      </w:pPr>
    </w:p>
    <w:p w14:paraId="64B9861C" w14:textId="77777777" w:rsidR="000415DF" w:rsidRDefault="000415DF" w:rsidP="000415DF">
      <w:pPr>
        <w:ind w:firstLineChars="50" w:firstLine="100"/>
        <w:jc w:val="center"/>
        <w:rPr>
          <w:rFonts w:ascii="Arial" w:eastAsiaTheme="minorEastAsia" w:hAnsi="Arial" w:cs="Arial"/>
        </w:rPr>
      </w:pPr>
      <w:r>
        <w:rPr>
          <w:rFonts w:ascii="Arial" w:eastAsiaTheme="minorEastAsia" w:hAnsi="Arial" w:cs="Arial"/>
          <w:noProof/>
          <w:lang w:val="en-US" w:eastAsia="ja-JP"/>
        </w:rPr>
        <w:drawing>
          <wp:inline distT="0" distB="0" distL="0" distR="0" wp14:anchorId="010066DC" wp14:editId="0776B0C9">
            <wp:extent cx="5400000" cy="1915977"/>
            <wp:effectExtent l="0" t="0" r="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00" cy="1915977"/>
                    </a:xfrm>
                    <a:prstGeom prst="rect">
                      <a:avLst/>
                    </a:prstGeom>
                    <a:noFill/>
                  </pic:spPr>
                </pic:pic>
              </a:graphicData>
            </a:graphic>
          </wp:inline>
        </w:drawing>
      </w:r>
    </w:p>
    <w:p w14:paraId="3C5AC33A" w14:textId="1C042EDF" w:rsidR="000415DF" w:rsidRPr="006945F0" w:rsidRDefault="000415DF" w:rsidP="000415DF">
      <w:pPr>
        <w:ind w:firstLineChars="50" w:firstLine="100"/>
        <w:jc w:val="center"/>
        <w:rPr>
          <w:rFonts w:ascii="Arial" w:eastAsiaTheme="minorEastAsia" w:hAnsi="Arial" w:cs="Arial"/>
          <w:b/>
        </w:rPr>
      </w:pPr>
      <w:r w:rsidRPr="006945F0">
        <w:rPr>
          <w:rFonts w:ascii="Arial" w:eastAsiaTheme="minorEastAsia" w:hAnsi="Arial" w:cs="Arial" w:hint="eastAsia"/>
          <w:b/>
        </w:rPr>
        <w:t xml:space="preserve">Figure </w:t>
      </w:r>
      <w:r w:rsidR="00CD58DE">
        <w:rPr>
          <w:rFonts w:ascii="Arial" w:eastAsiaTheme="minorEastAsia" w:hAnsi="Arial" w:cs="Arial"/>
          <w:b/>
        </w:rPr>
        <w:t xml:space="preserve">1: </w:t>
      </w:r>
      <w:r w:rsidRPr="006945F0">
        <w:rPr>
          <w:rFonts w:ascii="Arial" w:eastAsiaTheme="minorEastAsia" w:hAnsi="Arial" w:cs="Arial" w:hint="eastAsia"/>
          <w:b/>
        </w:rPr>
        <w:t>Victim UE</w:t>
      </w:r>
      <w:r w:rsidRPr="006945F0">
        <w:rPr>
          <w:rFonts w:ascii="Arial" w:eastAsiaTheme="minorEastAsia" w:hAnsi="Arial" w:cs="Arial"/>
          <w:b/>
        </w:rPr>
        <w:t>’s processing chain</w:t>
      </w:r>
    </w:p>
    <w:p w14:paraId="4B0BF991" w14:textId="77777777" w:rsidR="00AD34DF" w:rsidRDefault="00AD34DF">
      <w:pPr>
        <w:spacing w:after="0"/>
      </w:pPr>
      <w:r>
        <w:br w:type="page"/>
      </w:r>
    </w:p>
    <w:p w14:paraId="14D2195D" w14:textId="3AF45920" w:rsidR="00073B35" w:rsidRDefault="002566FB" w:rsidP="00391F82">
      <w:pPr>
        <w:ind w:firstLineChars="50" w:firstLine="100"/>
        <w:rPr>
          <w:rFonts w:eastAsia="ＭＳ 明朝"/>
          <w:lang w:val="en-US" w:eastAsia="ja-JP"/>
        </w:rPr>
      </w:pPr>
      <w:r>
        <w:lastRenderedPageBreak/>
        <w:t xml:space="preserve">There are </w:t>
      </w:r>
      <w:r w:rsidR="00164B6E">
        <w:t xml:space="preserve">two </w:t>
      </w:r>
      <w:r>
        <w:t xml:space="preserve">possible </w:t>
      </w:r>
      <w:r w:rsidR="00F43A04">
        <w:t>ways</w:t>
      </w:r>
      <w:r>
        <w:t xml:space="preserve"> to suppress inter-UE CLI impact: </w:t>
      </w:r>
      <w:r w:rsidR="00164B6E">
        <w:t xml:space="preserve">one is </w:t>
      </w:r>
      <w:r>
        <w:t>scheduling</w:t>
      </w:r>
      <w:r w:rsidR="00164B6E">
        <w:t xml:space="preserve"> and </w:t>
      </w:r>
      <w:r>
        <w:t xml:space="preserve">insertion of guard RBs </w:t>
      </w:r>
      <w:r w:rsidR="00164B6E">
        <w:t xml:space="preserve">between the desired signal (DL) </w:t>
      </w:r>
      <w:r>
        <w:t xml:space="preserve">and the interfering signal (UL), </w:t>
      </w:r>
      <w:r w:rsidR="00DA2475">
        <w:t xml:space="preserve">the other is </w:t>
      </w:r>
      <w:r w:rsidR="00C53650">
        <w:t xml:space="preserve">configuration </w:t>
      </w:r>
      <w:r>
        <w:t xml:space="preserve">of </w:t>
      </w:r>
      <w:r w:rsidR="00C53650">
        <w:t>DL BWP to adjust DL subband.</w:t>
      </w:r>
      <w:r>
        <w:t xml:space="preserve"> For inter-UE co-channel CLI, interference impact can be avoided by scheduling according to CLI-RSSI reports for each subband. On the other hand, for inter-UE adjacent-channel CLI, interference impact is a concern because </w:t>
      </w:r>
      <w:r w:rsidR="009143D8">
        <w:t xml:space="preserve">gNB </w:t>
      </w:r>
      <w:r w:rsidR="00164B6E">
        <w:t>cannot</w:t>
      </w:r>
      <w:r w:rsidR="009143D8">
        <w:t xml:space="preserve"> </w:t>
      </w:r>
      <w:r w:rsidR="00164B6E">
        <w:t xml:space="preserve">understand </w:t>
      </w:r>
      <w:r>
        <w:t xml:space="preserve">the </w:t>
      </w:r>
      <w:r w:rsidR="00164B6E">
        <w:t xml:space="preserve">relation </w:t>
      </w:r>
      <w:r>
        <w:t xml:space="preserve">between </w:t>
      </w:r>
      <w:r w:rsidR="009143D8">
        <w:t xml:space="preserve">victim </w:t>
      </w:r>
      <w:r>
        <w:t>UE</w:t>
      </w:r>
      <w:r w:rsidR="009143D8">
        <w:t xml:space="preserve"> and aggressor UE </w:t>
      </w:r>
      <w:r w:rsidR="00164B6E">
        <w:t xml:space="preserve">therefore </w:t>
      </w:r>
      <w:r>
        <w:t xml:space="preserve">the power difference between </w:t>
      </w:r>
      <w:r w:rsidR="009143D8">
        <w:t xml:space="preserve">desired signal and interfering signal </w:t>
      </w:r>
      <w:r>
        <w:t>can be large.</w:t>
      </w:r>
      <w:r w:rsidR="00391F82">
        <w:rPr>
          <w:rFonts w:eastAsia="ＭＳ 明朝" w:hint="eastAsia"/>
          <w:lang w:eastAsia="ja-JP"/>
        </w:rPr>
        <w:t xml:space="preserve"> </w:t>
      </w:r>
      <w:r w:rsidR="002572BB" w:rsidRPr="002572BB">
        <w:rPr>
          <w:rFonts w:eastAsia="ＭＳ 明朝"/>
          <w:lang w:val="en-US" w:eastAsia="ja-JP"/>
        </w:rPr>
        <w:t>It is evident that the guard RBs can suppress the inter-UE CLI because the spectral leakage by the FFT block is mainly populated in the boundary of the UL RB. The guard RBs can provide a sufficient distance between the DL RB and the UL RB.</w:t>
      </w:r>
      <w:r w:rsidR="00C53650">
        <w:rPr>
          <w:rFonts w:eastAsia="ＭＳ 明朝"/>
          <w:lang w:val="en-US" w:eastAsia="ja-JP"/>
        </w:rPr>
        <w:t xml:space="preserve"> </w:t>
      </w:r>
      <w:r w:rsidR="00B34893">
        <w:rPr>
          <w:rFonts w:eastAsia="ＭＳ 明朝"/>
          <w:lang w:val="en-US" w:eastAsia="ja-JP"/>
        </w:rPr>
        <w:t xml:space="preserve">However, configuration of sufficient guard RBs in order to cover severe case where inter-UE adjacent-channel CLI strength is large is not optimal way from frequency efficiency perspective. </w:t>
      </w:r>
      <w:r w:rsidR="00073B35">
        <w:rPr>
          <w:rFonts w:eastAsia="ＭＳ 明朝"/>
          <w:lang w:val="en-US" w:eastAsia="ja-JP"/>
        </w:rPr>
        <w:t xml:space="preserve">To overcome this issue, DL BWP configuration can be effective. </w:t>
      </w:r>
    </w:p>
    <w:p w14:paraId="67BBAA16" w14:textId="089C8494" w:rsidR="00391F82" w:rsidRDefault="00C53650" w:rsidP="00391F82">
      <w:pPr>
        <w:ind w:firstLineChars="50" w:firstLine="100"/>
        <w:rPr>
          <w:rFonts w:eastAsia="ＭＳ 明朝"/>
          <w:lang w:val="en-US" w:eastAsia="ja-JP"/>
        </w:rPr>
      </w:pPr>
      <w:r w:rsidRPr="00C53650">
        <w:rPr>
          <w:rFonts w:eastAsia="ＭＳ 明朝"/>
          <w:lang w:val="en-US" w:eastAsia="ja-JP"/>
        </w:rPr>
        <w:t>If network configure UE DL BWP to the DL subband</w:t>
      </w:r>
      <w:r w:rsidR="00073B35">
        <w:rPr>
          <w:rFonts w:eastAsia="ＭＳ 明朝"/>
          <w:lang w:val="en-US" w:eastAsia="ja-JP"/>
        </w:rPr>
        <w:t xml:space="preserve"> or one of the DL subbands,</w:t>
      </w:r>
      <w:r w:rsidRPr="00C53650">
        <w:rPr>
          <w:rFonts w:eastAsia="ＭＳ 明朝"/>
          <w:lang w:val="en-US" w:eastAsia="ja-JP"/>
        </w:rPr>
        <w:t xml:space="preserve"> UE can reduce a sampling rate / FFT size compared to configuring the DL BWP to the full channel bandwidth. This allows the power peak of asynchronous interfering signals to be shifted, thus reducing spectral leakage during FFT. </w:t>
      </w:r>
      <w:r w:rsidR="00AA296D">
        <w:rPr>
          <w:rFonts w:eastAsia="ＭＳ 明朝"/>
          <w:lang w:val="en-US" w:eastAsia="ja-JP"/>
        </w:rPr>
        <w:t xml:space="preserve">Therefore, inter-UE CLI effect can be mitigated regardless of inter-UE CLI for co-channel or adjacent-channel. </w:t>
      </w:r>
    </w:p>
    <w:p w14:paraId="4ECE24A7" w14:textId="6C5217F6" w:rsidR="00391F82" w:rsidRDefault="00391F82" w:rsidP="00391F82">
      <w:pPr>
        <w:ind w:firstLineChars="50" w:firstLine="100"/>
      </w:pPr>
      <w:r>
        <w:t xml:space="preserve">The interference suppression effect of guard RBs and </w:t>
      </w:r>
      <w:r w:rsidR="00073B35">
        <w:t xml:space="preserve">DL </w:t>
      </w:r>
      <w:r>
        <w:t xml:space="preserve">BWP </w:t>
      </w:r>
      <w:r w:rsidR="00073B35">
        <w:t xml:space="preserve">configuration </w:t>
      </w:r>
      <w:r>
        <w:t>was evaluated by testing.</w:t>
      </w:r>
      <w:r w:rsidR="000549BA" w:rsidRPr="000549BA">
        <w:t xml:space="preserve"> </w:t>
      </w:r>
      <w:r w:rsidR="00154773">
        <w:t>In the test, we used commercial UE (i.e. legacy UE)</w:t>
      </w:r>
      <w:r w:rsidR="009F0506">
        <w:t xml:space="preserve"> for the victim UE</w:t>
      </w:r>
      <w:r w:rsidR="00154773">
        <w:t xml:space="preserve">. </w:t>
      </w:r>
      <w:r w:rsidR="000549BA" w:rsidRPr="000549BA">
        <w:t>For the DL BWP size, the "BWP off" method (273 RBs including all RBs in an NR carrier) and the "BWP on" method (51 RBs including DL RBs only, not UL RBs at all) were used. The UE-to-UE distance and the RSRP of the victim UE were parameterized.</w:t>
      </w:r>
      <w:r w:rsidR="000549BA">
        <w:t xml:space="preserve"> </w:t>
      </w:r>
      <w:r>
        <w:t xml:space="preserve">Results on inter-UE co-channel CLI and and inter-UE adjacent-channel CLI are shown in Figures </w:t>
      </w:r>
      <w:r w:rsidR="004E23C3">
        <w:t>2</w:t>
      </w:r>
      <w:r>
        <w:t xml:space="preserve"> and </w:t>
      </w:r>
      <w:r w:rsidR="004E23C3">
        <w:t>3</w:t>
      </w:r>
      <w:r>
        <w:t xml:space="preserve">, respectively. Both results show that the inter-UE CLI impact is significant when the UE-to-UE distance is less than 1 m, although the number of guard RBs required can be suppressed by using a smaller </w:t>
      </w:r>
      <w:r w:rsidR="006E43FC">
        <w:t xml:space="preserve">DL </w:t>
      </w:r>
      <w:r>
        <w:t>BWP.</w:t>
      </w:r>
    </w:p>
    <w:p w14:paraId="2494DD2F" w14:textId="77777777" w:rsidR="00C87757" w:rsidRDefault="00C87757" w:rsidP="00391F82">
      <w:pPr>
        <w:ind w:firstLineChars="50" w:firstLine="100"/>
      </w:pPr>
    </w:p>
    <w:p w14:paraId="0E4078F5" w14:textId="77777777" w:rsidR="00C626A9" w:rsidRDefault="00C626A9" w:rsidP="00C626A9">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2629D625" wp14:editId="2E091FD6">
            <wp:extent cx="2880000" cy="1896805"/>
            <wp:effectExtent l="0" t="0" r="0" b="0"/>
            <wp:docPr id="3"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896805"/>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2F1718C7" wp14:editId="241E6170">
            <wp:extent cx="2880000" cy="1916618"/>
            <wp:effectExtent l="0" t="0" r="0" b="0"/>
            <wp:docPr id="4"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16618"/>
                    </a:xfrm>
                    <a:prstGeom prst="rect">
                      <a:avLst/>
                    </a:prstGeom>
                    <a:noFill/>
                  </pic:spPr>
                </pic:pic>
              </a:graphicData>
            </a:graphic>
          </wp:inline>
        </w:drawing>
      </w:r>
    </w:p>
    <w:p w14:paraId="5A6D1775" w14:textId="6786EFE9" w:rsidR="00C626A9" w:rsidRPr="00CD58DE" w:rsidRDefault="00C626A9" w:rsidP="00C626A9">
      <w:pPr>
        <w:jc w:val="center"/>
        <w:rPr>
          <w:rFonts w:ascii="Arial" w:eastAsiaTheme="minorEastAsia" w:hAnsi="Arial" w:cs="Arial"/>
          <w:b/>
          <w:bCs/>
        </w:rPr>
      </w:pPr>
      <w:r w:rsidRPr="00CD58DE">
        <w:rPr>
          <w:rFonts w:ascii="Arial" w:eastAsiaTheme="minorEastAsia" w:hAnsi="Arial" w:cs="Arial" w:hint="eastAsia"/>
          <w:b/>
          <w:bCs/>
        </w:rPr>
        <w:t xml:space="preserve">Figure </w:t>
      </w:r>
      <w:r w:rsidR="00CD58DE" w:rsidRPr="00CD58DE">
        <w:rPr>
          <w:rFonts w:ascii="Arial" w:eastAsiaTheme="minorEastAsia" w:hAnsi="Arial" w:cs="Arial"/>
          <w:b/>
          <w:bCs/>
        </w:rPr>
        <w:t>2:</w:t>
      </w:r>
      <w:r w:rsidRPr="00CD58DE">
        <w:rPr>
          <w:rFonts w:ascii="Arial" w:eastAsiaTheme="minorEastAsia" w:hAnsi="Arial" w:cs="Arial" w:hint="eastAsia"/>
          <w:b/>
          <w:bCs/>
        </w:rPr>
        <w:t xml:space="preserve"> </w:t>
      </w:r>
      <w:r w:rsidRPr="00CD58DE">
        <w:rPr>
          <w:rFonts w:ascii="Arial" w:eastAsiaTheme="minorEastAsia" w:hAnsi="Arial" w:cs="Arial"/>
          <w:b/>
          <w:bCs/>
        </w:rPr>
        <w:t>MCS versus # of guard RBs (co-channel CLI)</w:t>
      </w:r>
    </w:p>
    <w:p w14:paraId="7655FD99" w14:textId="2F9D48B0" w:rsidR="00391F82" w:rsidRPr="00CD58DE" w:rsidRDefault="00391F82" w:rsidP="00C626A9">
      <w:pPr>
        <w:rPr>
          <w:rFonts w:eastAsia="ＭＳ 明朝"/>
          <w:lang w:eastAsia="ja-JP"/>
        </w:rPr>
      </w:pPr>
    </w:p>
    <w:p w14:paraId="04017B68" w14:textId="77777777" w:rsidR="00C626A9" w:rsidRDefault="00C626A9" w:rsidP="00C626A9">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2B4B1535" wp14:editId="7A796007">
            <wp:extent cx="2880000" cy="1892571"/>
            <wp:effectExtent l="0" t="0" r="0" b="0"/>
            <wp:docPr id="5"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892571"/>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1D65DB37" wp14:editId="67978B65">
            <wp:extent cx="2880000" cy="1912732"/>
            <wp:effectExtent l="0" t="0" r="0" b="0"/>
            <wp:docPr id="6"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12732"/>
                    </a:xfrm>
                    <a:prstGeom prst="rect">
                      <a:avLst/>
                    </a:prstGeom>
                    <a:noFill/>
                  </pic:spPr>
                </pic:pic>
              </a:graphicData>
            </a:graphic>
          </wp:inline>
        </w:drawing>
      </w:r>
    </w:p>
    <w:p w14:paraId="47E8066B" w14:textId="2238C560" w:rsidR="00C626A9" w:rsidRDefault="00C626A9" w:rsidP="00C626A9">
      <w:pPr>
        <w:jc w:val="center"/>
        <w:rPr>
          <w:rFonts w:ascii="Arial" w:eastAsiaTheme="minorEastAsia" w:hAnsi="Arial" w:cs="Arial"/>
          <w:b/>
          <w:bCs/>
        </w:rPr>
      </w:pPr>
      <w:r w:rsidRPr="00CD58DE">
        <w:rPr>
          <w:rFonts w:ascii="Arial" w:eastAsiaTheme="minorEastAsia" w:hAnsi="Arial" w:cs="Arial" w:hint="eastAsia"/>
          <w:b/>
          <w:bCs/>
        </w:rPr>
        <w:t xml:space="preserve">Figure </w:t>
      </w:r>
      <w:r w:rsidR="00CD58DE" w:rsidRPr="00CD58DE">
        <w:rPr>
          <w:rFonts w:ascii="Arial" w:eastAsiaTheme="minorEastAsia" w:hAnsi="Arial" w:cs="Arial"/>
          <w:b/>
          <w:bCs/>
        </w:rPr>
        <w:t>3</w:t>
      </w:r>
      <w:r w:rsidR="00CD58DE">
        <w:rPr>
          <w:rFonts w:ascii="Arial" w:eastAsiaTheme="minorEastAsia" w:hAnsi="Arial" w:cs="Arial"/>
          <w:b/>
          <w:bCs/>
        </w:rPr>
        <w:t>:</w:t>
      </w:r>
      <w:r w:rsidRPr="00CD58DE">
        <w:rPr>
          <w:rFonts w:ascii="Arial" w:eastAsiaTheme="minorEastAsia" w:hAnsi="Arial" w:cs="Arial" w:hint="eastAsia"/>
          <w:b/>
          <w:bCs/>
        </w:rPr>
        <w:t xml:space="preserve"> </w:t>
      </w:r>
      <w:r w:rsidRPr="00CD58DE">
        <w:rPr>
          <w:rFonts w:ascii="Arial" w:eastAsiaTheme="minorEastAsia" w:hAnsi="Arial" w:cs="Arial"/>
          <w:b/>
          <w:bCs/>
        </w:rPr>
        <w:t>MCS versus # of guard RBs (adjacent-channel CLI)</w:t>
      </w:r>
    </w:p>
    <w:p w14:paraId="13DD2708" w14:textId="77777777" w:rsidR="00EB5097" w:rsidRDefault="00EB5097">
      <w:pPr>
        <w:spacing w:after="0"/>
        <w:rPr>
          <w:rFonts w:eastAsia="ＭＳ 明朝"/>
          <w:b/>
          <w:bCs/>
          <w:i/>
          <w:lang w:eastAsia="ja-JP"/>
        </w:rPr>
      </w:pPr>
      <w:r>
        <w:rPr>
          <w:rFonts w:eastAsia="ＭＳ 明朝"/>
          <w:b/>
          <w:bCs/>
          <w:i/>
          <w:lang w:eastAsia="ja-JP"/>
        </w:rPr>
        <w:br w:type="page"/>
      </w:r>
    </w:p>
    <w:p w14:paraId="67E39E0B" w14:textId="641BA6DC" w:rsidR="00803C31" w:rsidRPr="00304A88" w:rsidRDefault="00803C31" w:rsidP="00803C31">
      <w:pPr>
        <w:spacing w:after="60"/>
        <w:jc w:val="both"/>
        <w:rPr>
          <w:rFonts w:eastAsia="ＭＳ 明朝"/>
          <w:b/>
          <w:bCs/>
          <w:i/>
          <w:lang w:eastAsia="ja-JP"/>
        </w:rPr>
      </w:pPr>
      <w:r w:rsidRPr="00304A88">
        <w:rPr>
          <w:rFonts w:eastAsia="ＭＳ 明朝"/>
          <w:b/>
          <w:bCs/>
          <w:i/>
          <w:lang w:eastAsia="ja-JP"/>
        </w:rPr>
        <w:lastRenderedPageBreak/>
        <w:t xml:space="preserve">Observation 1: </w:t>
      </w:r>
    </w:p>
    <w:p w14:paraId="2232E9F5" w14:textId="7AF87B3A" w:rsidR="00803C31" w:rsidRPr="00234962" w:rsidRDefault="00803C31" w:rsidP="00803C31">
      <w:pPr>
        <w:spacing w:after="60"/>
        <w:rPr>
          <w:rFonts w:eastAsiaTheme="minorEastAsia"/>
          <w:b/>
          <w:bCs/>
          <w:i/>
        </w:rPr>
      </w:pPr>
      <w:r w:rsidRPr="00234962">
        <w:rPr>
          <w:rFonts w:eastAsiaTheme="minorEastAsia"/>
          <w:b/>
          <w:bCs/>
          <w:i/>
        </w:rPr>
        <w:t>For the inter-UE CLI</w:t>
      </w:r>
      <w:r w:rsidR="0042258E">
        <w:rPr>
          <w:rFonts w:eastAsiaTheme="minorEastAsia"/>
          <w:b/>
          <w:bCs/>
          <w:i/>
        </w:rPr>
        <w:t xml:space="preserve"> for legacy UE</w:t>
      </w:r>
      <w:r w:rsidRPr="00234962">
        <w:rPr>
          <w:rFonts w:eastAsiaTheme="minorEastAsia"/>
          <w:b/>
          <w:bCs/>
          <w:i/>
        </w:rPr>
        <w:t xml:space="preserve">, </w:t>
      </w:r>
    </w:p>
    <w:p w14:paraId="16462D4E" w14:textId="77777777" w:rsidR="00803C31" w:rsidRPr="00234962" w:rsidRDefault="00803C31" w:rsidP="00803C31">
      <w:pPr>
        <w:pStyle w:val="a5"/>
        <w:numPr>
          <w:ilvl w:val="0"/>
          <w:numId w:val="48"/>
        </w:numPr>
        <w:spacing w:after="60"/>
        <w:ind w:leftChars="0"/>
        <w:rPr>
          <w:rFonts w:eastAsiaTheme="minorEastAsia"/>
          <w:b/>
          <w:bCs/>
          <w:i/>
        </w:rPr>
      </w:pPr>
      <w:r w:rsidRPr="00234962">
        <w:rPr>
          <w:rFonts w:eastAsia="ＭＳ 明朝"/>
          <w:b/>
          <w:bCs/>
          <w:i/>
          <w:lang w:eastAsia="ja-JP"/>
        </w:rPr>
        <w:t>Increasing the guard RBs between DL and UL is helpful to reduce the inter-UE CLI</w:t>
      </w:r>
    </w:p>
    <w:p w14:paraId="1D44BFE3" w14:textId="77777777" w:rsidR="00803C31" w:rsidRPr="00234962" w:rsidRDefault="00803C31" w:rsidP="00803C31">
      <w:pPr>
        <w:pStyle w:val="a5"/>
        <w:numPr>
          <w:ilvl w:val="0"/>
          <w:numId w:val="48"/>
        </w:numPr>
        <w:spacing w:after="60"/>
        <w:ind w:leftChars="0"/>
        <w:rPr>
          <w:rFonts w:eastAsiaTheme="minorEastAsia"/>
          <w:b/>
          <w:bCs/>
          <w:i/>
        </w:rPr>
      </w:pPr>
      <w:r w:rsidRPr="00234962">
        <w:rPr>
          <w:rFonts w:eastAsia="ＭＳ 明朝"/>
          <w:b/>
          <w:bCs/>
          <w:i/>
          <w:lang w:eastAsia="ja-JP"/>
        </w:rPr>
        <w:t xml:space="preserve">Small DL BWP helps reducing the inter-UE CLI </w:t>
      </w:r>
    </w:p>
    <w:p w14:paraId="62099173" w14:textId="3476D9B0" w:rsidR="00164B6E" w:rsidRPr="00164B6E" w:rsidRDefault="00803C31" w:rsidP="00164B6E">
      <w:pPr>
        <w:pStyle w:val="a5"/>
        <w:numPr>
          <w:ilvl w:val="0"/>
          <w:numId w:val="48"/>
        </w:numPr>
        <w:spacing w:after="0"/>
        <w:ind w:leftChars="0"/>
        <w:rPr>
          <w:rFonts w:eastAsiaTheme="minorEastAsia"/>
          <w:iCs/>
        </w:rPr>
      </w:pPr>
      <w:r w:rsidRPr="00164B6E">
        <w:rPr>
          <w:rFonts w:eastAsiaTheme="minorEastAsia"/>
          <w:b/>
          <w:bCs/>
          <w:i/>
        </w:rPr>
        <w:t>When the U</w:t>
      </w:r>
      <w:r w:rsidR="00EB5097">
        <w:rPr>
          <w:rFonts w:eastAsiaTheme="minorEastAsia"/>
          <w:b/>
          <w:bCs/>
          <w:i/>
        </w:rPr>
        <w:t>E-to-UE distance is less than 1</w:t>
      </w:r>
      <w:r w:rsidRPr="00164B6E">
        <w:rPr>
          <w:rFonts w:eastAsiaTheme="minorEastAsia"/>
          <w:b/>
          <w:bCs/>
          <w:i/>
        </w:rPr>
        <w:t>m, the DL performance is still degraded even with the higher number of guard RBs due to limited dynamic range of ADC</w:t>
      </w:r>
    </w:p>
    <w:p w14:paraId="26C281EC" w14:textId="77777777" w:rsidR="00164B6E" w:rsidRPr="00EB5097" w:rsidRDefault="00164B6E" w:rsidP="00164B6E">
      <w:pPr>
        <w:spacing w:after="0"/>
        <w:rPr>
          <w:rFonts w:eastAsiaTheme="minorEastAsia"/>
          <w:iCs/>
        </w:rPr>
      </w:pPr>
    </w:p>
    <w:p w14:paraId="518A858D" w14:textId="4E8A03B0" w:rsidR="00C626A9" w:rsidRPr="00164B6E" w:rsidRDefault="00304A88" w:rsidP="00164B6E">
      <w:pPr>
        <w:spacing w:after="0"/>
        <w:rPr>
          <w:rFonts w:eastAsiaTheme="minorEastAsia"/>
          <w:iCs/>
        </w:rPr>
      </w:pPr>
      <w:r w:rsidRPr="00164B6E">
        <w:rPr>
          <w:rFonts w:eastAsiaTheme="minorEastAsia"/>
          <w:iCs/>
        </w:rPr>
        <w:t xml:space="preserve">Similar results have been </w:t>
      </w:r>
      <w:r w:rsidR="00C87757" w:rsidRPr="00164B6E">
        <w:rPr>
          <w:rFonts w:eastAsiaTheme="minorEastAsia"/>
          <w:iCs/>
        </w:rPr>
        <w:t xml:space="preserve">observed </w:t>
      </w:r>
      <w:r w:rsidRPr="00164B6E">
        <w:rPr>
          <w:rFonts w:eastAsiaTheme="minorEastAsia"/>
          <w:iCs/>
        </w:rPr>
        <w:t xml:space="preserve">in other studies </w:t>
      </w:r>
      <w:r w:rsidR="00722F50" w:rsidRPr="00164B6E">
        <w:rPr>
          <w:rFonts w:eastAsiaTheme="minorEastAsia"/>
          <w:iCs/>
        </w:rPr>
        <w:fldChar w:fldCharType="begin"/>
      </w:r>
      <w:r w:rsidR="00722F50" w:rsidRPr="00164B6E">
        <w:rPr>
          <w:rFonts w:eastAsiaTheme="minorEastAsia"/>
          <w:iCs/>
        </w:rPr>
        <w:instrText xml:space="preserve"> REF _Ref118581141 \r \h </w:instrText>
      </w:r>
      <w:r w:rsidR="00722F50" w:rsidRPr="00164B6E">
        <w:rPr>
          <w:rFonts w:eastAsiaTheme="minorEastAsia"/>
          <w:iCs/>
        </w:rPr>
      </w:r>
      <w:r w:rsidR="00722F50" w:rsidRPr="00164B6E">
        <w:rPr>
          <w:rFonts w:eastAsiaTheme="minorEastAsia"/>
          <w:iCs/>
        </w:rPr>
        <w:fldChar w:fldCharType="separate"/>
      </w:r>
      <w:r w:rsidR="00722F50" w:rsidRPr="00164B6E">
        <w:rPr>
          <w:rFonts w:eastAsiaTheme="minorEastAsia"/>
          <w:iCs/>
        </w:rPr>
        <w:t>[3]</w:t>
      </w:r>
      <w:r w:rsidR="00722F50" w:rsidRPr="00164B6E">
        <w:rPr>
          <w:rFonts w:eastAsiaTheme="minorEastAsia"/>
          <w:iCs/>
        </w:rPr>
        <w:fldChar w:fldCharType="end"/>
      </w:r>
      <w:r w:rsidRPr="00164B6E">
        <w:rPr>
          <w:rFonts w:eastAsiaTheme="minorEastAsia"/>
          <w:iCs/>
        </w:rPr>
        <w:t xml:space="preserve">, and </w:t>
      </w:r>
      <w:r w:rsidR="00EA4EC0" w:rsidRPr="00164B6E">
        <w:rPr>
          <w:rFonts w:eastAsiaTheme="minorEastAsia"/>
          <w:iCs/>
        </w:rPr>
        <w:t xml:space="preserve">therefore </w:t>
      </w:r>
      <w:r w:rsidRPr="00164B6E">
        <w:rPr>
          <w:rFonts w:eastAsiaTheme="minorEastAsia"/>
          <w:iCs/>
        </w:rPr>
        <w:t>RAN1 should consider methods to mitigate inter-UE CLI impact when UE-to-UE distance is less than 1m.</w:t>
      </w:r>
    </w:p>
    <w:p w14:paraId="6C46963B" w14:textId="77777777" w:rsidR="00752344" w:rsidRPr="00EB5097" w:rsidRDefault="00752344" w:rsidP="00304A88">
      <w:pPr>
        <w:ind w:firstLineChars="50" w:firstLine="100"/>
        <w:rPr>
          <w:rFonts w:eastAsiaTheme="minorEastAsia"/>
          <w:iCs/>
        </w:rPr>
      </w:pPr>
    </w:p>
    <w:p w14:paraId="0CCED345" w14:textId="77777777" w:rsidR="00803C31" w:rsidRPr="00803C31" w:rsidRDefault="00803C31" w:rsidP="00803C31">
      <w:pPr>
        <w:spacing w:after="60"/>
        <w:rPr>
          <w:rFonts w:eastAsiaTheme="minorEastAsia"/>
          <w:b/>
          <w:bCs/>
          <w:i/>
        </w:rPr>
      </w:pPr>
      <w:r w:rsidRPr="00803C31">
        <w:rPr>
          <w:rFonts w:eastAsiaTheme="minorEastAsia" w:hint="eastAsia"/>
          <w:b/>
          <w:bCs/>
          <w:i/>
        </w:rPr>
        <w:t>P</w:t>
      </w:r>
      <w:r w:rsidRPr="00803C31">
        <w:rPr>
          <w:rFonts w:eastAsiaTheme="minorEastAsia"/>
          <w:b/>
          <w:bCs/>
          <w:i/>
        </w:rPr>
        <w:t xml:space="preserve">roposal 1: </w:t>
      </w:r>
    </w:p>
    <w:p w14:paraId="758BA70D" w14:textId="77777777" w:rsidR="00803C31" w:rsidRDefault="00803C31" w:rsidP="00803C31">
      <w:pPr>
        <w:spacing w:after="60"/>
        <w:rPr>
          <w:rFonts w:eastAsiaTheme="minorEastAsia"/>
          <w:b/>
          <w:bCs/>
          <w:i/>
        </w:rPr>
      </w:pPr>
      <w:r w:rsidRPr="00803C31">
        <w:rPr>
          <w:rFonts w:eastAsiaTheme="minorEastAsia" w:hint="eastAsia"/>
          <w:b/>
          <w:bCs/>
          <w:i/>
        </w:rPr>
        <w:t>R</w:t>
      </w:r>
      <w:r w:rsidRPr="00803C31">
        <w:rPr>
          <w:rFonts w:eastAsiaTheme="minorEastAsia"/>
          <w:b/>
          <w:bCs/>
          <w:i/>
        </w:rPr>
        <w:t xml:space="preserve">AN1 should study inter-UE CLI when UE-to-UE distance is less than 1m and investigate mitigation methods. </w:t>
      </w:r>
    </w:p>
    <w:p w14:paraId="7550F072" w14:textId="77777777" w:rsidR="00304A88" w:rsidRPr="00803C31" w:rsidRDefault="00304A88" w:rsidP="00C626A9">
      <w:pPr>
        <w:rPr>
          <w:rFonts w:eastAsia="ＭＳ 明朝"/>
          <w:lang w:eastAsia="ja-JP"/>
        </w:rPr>
      </w:pPr>
    </w:p>
    <w:p w14:paraId="389FC79C" w14:textId="3CE30F92" w:rsidR="000415DF" w:rsidRDefault="0033468B" w:rsidP="00A050E5">
      <w:pPr>
        <w:ind w:firstLineChars="50" w:firstLine="100"/>
        <w:rPr>
          <w:rFonts w:eastAsia="ＭＳ 明朝"/>
          <w:lang w:eastAsia="ja-JP"/>
        </w:rPr>
      </w:pPr>
      <w:r>
        <w:rPr>
          <w:rFonts w:eastAsia="ＭＳ 明朝"/>
          <w:lang w:eastAsia="ja-JP"/>
        </w:rPr>
        <w:t>Based on the above observation</w:t>
      </w:r>
      <w:r w:rsidR="00534ADE">
        <w:rPr>
          <w:rFonts w:eastAsia="ＭＳ 明朝"/>
          <w:lang w:eastAsia="ja-JP"/>
        </w:rPr>
        <w:t xml:space="preserve"> regarding DL BWP configuration</w:t>
      </w:r>
      <w:r>
        <w:rPr>
          <w:rFonts w:eastAsia="ＭＳ 明朝"/>
          <w:lang w:eastAsia="ja-JP"/>
        </w:rPr>
        <w:t>, o</w:t>
      </w:r>
      <w:r w:rsidR="00A050E5" w:rsidRPr="00A050E5">
        <w:rPr>
          <w:rFonts w:eastAsia="ＭＳ 明朝"/>
          <w:lang w:eastAsia="ja-JP"/>
        </w:rPr>
        <w:t xml:space="preserve">ne </w:t>
      </w:r>
      <w:r w:rsidR="00EA4EC0">
        <w:rPr>
          <w:rFonts w:eastAsia="ＭＳ 明朝"/>
          <w:lang w:eastAsia="ja-JP"/>
        </w:rPr>
        <w:t>way</w:t>
      </w:r>
      <w:r w:rsidR="00A050E5">
        <w:rPr>
          <w:rFonts w:eastAsia="ＭＳ 明朝"/>
          <w:lang w:eastAsia="ja-JP"/>
        </w:rPr>
        <w:t xml:space="preserve"> to suppress inter-UE CLI </w:t>
      </w:r>
      <w:r w:rsidR="00A050E5" w:rsidRPr="00A050E5">
        <w:rPr>
          <w:rFonts w:eastAsia="ＭＳ 明朝"/>
          <w:lang w:eastAsia="ja-JP"/>
        </w:rPr>
        <w:t xml:space="preserve">is </w:t>
      </w:r>
      <w:r>
        <w:rPr>
          <w:rFonts w:eastAsia="ＭＳ 明朝"/>
          <w:lang w:eastAsia="ja-JP"/>
        </w:rPr>
        <w:t xml:space="preserve">the </w:t>
      </w:r>
      <w:r w:rsidRPr="00A050E5">
        <w:rPr>
          <w:rFonts w:eastAsia="ＭＳ 明朝"/>
          <w:lang w:eastAsia="ja-JP"/>
        </w:rPr>
        <w:t xml:space="preserve">configuration </w:t>
      </w:r>
      <w:r>
        <w:rPr>
          <w:rFonts w:eastAsia="ＭＳ 明朝"/>
          <w:lang w:eastAsia="ja-JP"/>
        </w:rPr>
        <w:t xml:space="preserve">of </w:t>
      </w:r>
      <w:r w:rsidR="00A050E5" w:rsidRPr="00A050E5">
        <w:rPr>
          <w:rFonts w:eastAsia="ＭＳ 明朝"/>
          <w:lang w:eastAsia="ja-JP"/>
        </w:rPr>
        <w:t xml:space="preserve">multiple </w:t>
      </w:r>
      <w:r w:rsidR="00A050E5">
        <w:rPr>
          <w:rFonts w:eastAsia="ＭＳ 明朝"/>
          <w:lang w:eastAsia="ja-JP"/>
        </w:rPr>
        <w:t xml:space="preserve">DL and UL </w:t>
      </w:r>
      <w:r w:rsidR="00A050E5" w:rsidRPr="00A050E5">
        <w:rPr>
          <w:rFonts w:eastAsia="ＭＳ 明朝"/>
          <w:lang w:eastAsia="ja-JP"/>
        </w:rPr>
        <w:t xml:space="preserve">BWP pairs. </w:t>
      </w:r>
      <w:r w:rsidR="000A3CBE">
        <w:rPr>
          <w:rFonts w:eastAsia="ＭＳ 明朝"/>
          <w:lang w:eastAsia="ja-JP"/>
        </w:rPr>
        <w:t xml:space="preserve">We consider that multiple BWP pairs are not activated at the same time, but are switched according to the slot type. </w:t>
      </w:r>
      <w:r w:rsidR="00A050E5" w:rsidRPr="00A050E5">
        <w:rPr>
          <w:rFonts w:eastAsia="ＭＳ 明朝"/>
          <w:lang w:eastAsia="ja-JP"/>
        </w:rPr>
        <w:t xml:space="preserve">For example, one </w:t>
      </w:r>
      <w:r w:rsidR="00A050E5">
        <w:rPr>
          <w:rFonts w:eastAsia="ＭＳ 明朝"/>
          <w:lang w:eastAsia="ja-JP"/>
        </w:rPr>
        <w:t xml:space="preserve">DL and UL </w:t>
      </w:r>
      <w:r w:rsidR="00A050E5" w:rsidRPr="00A050E5">
        <w:rPr>
          <w:rFonts w:eastAsia="ＭＳ 明朝"/>
          <w:lang w:eastAsia="ja-JP"/>
        </w:rPr>
        <w:t>BWP pair is configured with the same size as the channel bandwidth</w:t>
      </w:r>
      <w:r w:rsidR="000532B4">
        <w:rPr>
          <w:rFonts w:eastAsia="ＭＳ 明朝"/>
          <w:lang w:eastAsia="ja-JP"/>
        </w:rPr>
        <w:t xml:space="preserve"> for TDD slot</w:t>
      </w:r>
      <w:r w:rsidR="00A050E5" w:rsidRPr="00A050E5">
        <w:rPr>
          <w:rFonts w:eastAsia="ＭＳ 明朝"/>
          <w:lang w:eastAsia="ja-JP"/>
        </w:rPr>
        <w:t xml:space="preserve">, and the other is configured as a </w:t>
      </w:r>
      <w:r w:rsidR="00A050E5">
        <w:rPr>
          <w:rFonts w:eastAsia="ＭＳ 明朝"/>
          <w:lang w:eastAsia="ja-JP"/>
        </w:rPr>
        <w:t xml:space="preserve">DL and UL </w:t>
      </w:r>
      <w:r w:rsidR="00A050E5" w:rsidRPr="00A050E5">
        <w:rPr>
          <w:rFonts w:eastAsia="ＭＳ 明朝"/>
          <w:lang w:eastAsia="ja-JP"/>
        </w:rPr>
        <w:t xml:space="preserve">BWP pair for SBFD </w:t>
      </w:r>
      <w:r w:rsidR="000532B4">
        <w:rPr>
          <w:rFonts w:eastAsia="ＭＳ 明朝"/>
          <w:lang w:eastAsia="ja-JP"/>
        </w:rPr>
        <w:t>slot</w:t>
      </w:r>
      <w:r w:rsidR="00C90EAD">
        <w:rPr>
          <w:rFonts w:eastAsia="ＭＳ 明朝"/>
          <w:lang w:eastAsia="ja-JP"/>
        </w:rPr>
        <w:t xml:space="preserve"> as described in Figure 4</w:t>
      </w:r>
      <w:r w:rsidR="00E54D9F">
        <w:rPr>
          <w:rFonts w:eastAsia="ＭＳ 明朝"/>
          <w:lang w:eastAsia="ja-JP"/>
        </w:rPr>
        <w:t xml:space="preserve">. </w:t>
      </w:r>
      <w:r w:rsidR="00E54D9F" w:rsidRPr="00E54D9F">
        <w:rPr>
          <w:rFonts w:eastAsia="ＭＳ 明朝"/>
          <w:lang w:eastAsia="ja-JP"/>
        </w:rPr>
        <w:t xml:space="preserve">The BWP pair for SBFD </w:t>
      </w:r>
      <w:r w:rsidR="00C90EAD">
        <w:rPr>
          <w:rFonts w:eastAsia="ＭＳ 明朝"/>
          <w:lang w:eastAsia="ja-JP"/>
        </w:rPr>
        <w:t xml:space="preserve">slot </w:t>
      </w:r>
      <w:r w:rsidR="00E54D9F" w:rsidRPr="00E54D9F">
        <w:rPr>
          <w:rFonts w:eastAsia="ＭＳ 明朝"/>
          <w:lang w:eastAsia="ja-JP"/>
        </w:rPr>
        <w:t>can mitigate inter-UE CLI impact by configuring the DL BWP size to m</w:t>
      </w:r>
      <w:r w:rsidR="00E54D9F" w:rsidRPr="00727ED3">
        <w:rPr>
          <w:rFonts w:eastAsia="ＭＳ 明朝"/>
          <w:lang w:eastAsia="ja-JP"/>
        </w:rPr>
        <w:t>atch one of the DL subbands.</w:t>
      </w:r>
      <w:r w:rsidR="00E54D9F" w:rsidRPr="00727ED3">
        <w:t xml:space="preserve"> </w:t>
      </w:r>
      <w:r w:rsidR="00E315B8" w:rsidRPr="00727ED3">
        <w:rPr>
          <w:rFonts w:eastAsia="ＭＳ 明朝"/>
          <w:lang w:eastAsia="ja-JP"/>
        </w:rPr>
        <w:t xml:space="preserve">In addition to configuring the DL BWP, mitigating the inter-UE CLI will reduce the number of guard RBs required, thus improving the frequency utilization efficiency of the SBFD </w:t>
      </w:r>
      <w:r w:rsidR="00C90EAD" w:rsidRPr="00727ED3">
        <w:rPr>
          <w:rFonts w:eastAsia="ＭＳ 明朝"/>
          <w:lang w:eastAsia="ja-JP"/>
        </w:rPr>
        <w:t>slot</w:t>
      </w:r>
      <w:r w:rsidR="00E315B8" w:rsidRPr="00727ED3">
        <w:rPr>
          <w:rFonts w:eastAsia="ＭＳ 明朝"/>
          <w:lang w:eastAsia="ja-JP"/>
        </w:rPr>
        <w:t>.</w:t>
      </w:r>
      <w:r w:rsidR="004A577B" w:rsidRPr="00727ED3">
        <w:rPr>
          <w:rFonts w:eastAsia="ＭＳ 明朝" w:hint="eastAsia"/>
          <w:lang w:eastAsia="ja-JP"/>
        </w:rPr>
        <w:t xml:space="preserve"> </w:t>
      </w:r>
    </w:p>
    <w:p w14:paraId="26608597" w14:textId="77777777" w:rsidR="00CB6E97" w:rsidRPr="00727ED3" w:rsidRDefault="00CB6E97" w:rsidP="00A050E5">
      <w:pPr>
        <w:ind w:firstLineChars="50" w:firstLine="100"/>
        <w:rPr>
          <w:rFonts w:eastAsia="ＭＳ 明朝"/>
          <w:lang w:eastAsia="ja-JP"/>
        </w:rPr>
      </w:pPr>
    </w:p>
    <w:p w14:paraId="043F0E2F" w14:textId="5F16AB6E" w:rsidR="005034AE" w:rsidRDefault="00064054" w:rsidP="005034AE">
      <w:pPr>
        <w:ind w:firstLineChars="50" w:firstLine="100"/>
        <w:jc w:val="center"/>
        <w:rPr>
          <w:rFonts w:eastAsia="ＭＳ 明朝"/>
          <w:lang w:eastAsia="ja-JP"/>
        </w:rPr>
      </w:pPr>
      <w:r>
        <w:rPr>
          <w:rFonts w:eastAsia="ＭＳ 明朝"/>
          <w:noProof/>
          <w:lang w:val="en-US" w:eastAsia="ja-JP"/>
        </w:rPr>
        <w:drawing>
          <wp:inline distT="0" distB="0" distL="0" distR="0" wp14:anchorId="487A2872" wp14:editId="09CFB2F4">
            <wp:extent cx="3989717" cy="1820156"/>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11052" cy="1829889"/>
                    </a:xfrm>
                    <a:prstGeom prst="rect">
                      <a:avLst/>
                    </a:prstGeom>
                    <a:noFill/>
                    <a:ln>
                      <a:noFill/>
                    </a:ln>
                  </pic:spPr>
                </pic:pic>
              </a:graphicData>
            </a:graphic>
          </wp:inline>
        </w:drawing>
      </w:r>
    </w:p>
    <w:p w14:paraId="356B0A9C" w14:textId="25543508" w:rsidR="005034AE" w:rsidRPr="000532B4" w:rsidRDefault="00BA4CAE" w:rsidP="005034AE">
      <w:pPr>
        <w:ind w:firstLineChars="50" w:firstLine="100"/>
        <w:jc w:val="center"/>
        <w:rPr>
          <w:rFonts w:ascii="Arial" w:eastAsia="ＭＳ 明朝" w:hAnsi="Arial" w:cs="Arial"/>
          <w:b/>
          <w:bCs/>
          <w:lang w:eastAsia="ja-JP"/>
        </w:rPr>
      </w:pPr>
      <w:r>
        <w:rPr>
          <w:rFonts w:ascii="Arial" w:eastAsia="ＭＳ 明朝" w:hAnsi="Arial" w:cs="Arial"/>
          <w:b/>
          <w:bCs/>
          <w:lang w:eastAsia="ja-JP"/>
        </w:rPr>
        <w:t xml:space="preserve">Figure 4 </w:t>
      </w:r>
      <w:r w:rsidR="005034AE" w:rsidRPr="000532B4">
        <w:rPr>
          <w:rFonts w:ascii="Arial" w:eastAsia="ＭＳ 明朝" w:hAnsi="Arial" w:cs="Arial"/>
          <w:b/>
          <w:bCs/>
          <w:lang w:eastAsia="ja-JP"/>
        </w:rPr>
        <w:t xml:space="preserve">BWP configuration on operation of multiple </w:t>
      </w:r>
      <w:r w:rsidR="00064054">
        <w:rPr>
          <w:rFonts w:ascii="Arial" w:eastAsia="ＭＳ 明朝" w:hAnsi="Arial" w:cs="Arial"/>
          <w:b/>
          <w:bCs/>
          <w:lang w:eastAsia="ja-JP"/>
        </w:rPr>
        <w:t xml:space="preserve">DL and UL </w:t>
      </w:r>
      <w:r w:rsidR="005034AE" w:rsidRPr="000532B4">
        <w:rPr>
          <w:rFonts w:ascii="Arial" w:eastAsia="ＭＳ 明朝" w:hAnsi="Arial" w:cs="Arial"/>
          <w:b/>
          <w:bCs/>
          <w:lang w:eastAsia="ja-JP"/>
        </w:rPr>
        <w:t>BWP pairs</w:t>
      </w:r>
    </w:p>
    <w:p w14:paraId="55A019D5" w14:textId="36D4BD1A" w:rsidR="00A44697" w:rsidRDefault="00A44697" w:rsidP="00E315B8">
      <w:pPr>
        <w:ind w:firstLineChars="50" w:firstLine="100"/>
        <w:rPr>
          <w:rFonts w:eastAsia="ＭＳ 明朝"/>
          <w:lang w:eastAsia="ja-JP"/>
        </w:rPr>
      </w:pPr>
      <w:r>
        <w:rPr>
          <w:rFonts w:eastAsia="ＭＳ 明朝"/>
          <w:lang w:eastAsia="ja-JP"/>
        </w:rPr>
        <w:t xml:space="preserve">The operation using multiple BWP pairs needs </w:t>
      </w:r>
      <w:r w:rsidR="00E315B8" w:rsidRPr="00BB0D4E">
        <w:rPr>
          <w:rFonts w:eastAsia="ＭＳ 明朝"/>
          <w:lang w:eastAsia="ja-JP"/>
        </w:rPr>
        <w:t>BWP switching</w:t>
      </w:r>
      <w:r>
        <w:rPr>
          <w:rFonts w:eastAsia="ＭＳ 明朝"/>
          <w:lang w:eastAsia="ja-JP"/>
        </w:rPr>
        <w:t xml:space="preserve">. However, BWP switching </w:t>
      </w:r>
      <w:r w:rsidR="00E315B8">
        <w:rPr>
          <w:rFonts w:eastAsia="ＭＳ 明朝"/>
          <w:lang w:eastAsia="ja-JP"/>
        </w:rPr>
        <w:t xml:space="preserve">delay </w:t>
      </w:r>
      <w:r w:rsidR="00E315B8" w:rsidRPr="00BB0D4E">
        <w:rPr>
          <w:rFonts w:eastAsia="ＭＳ 明朝"/>
          <w:lang w:eastAsia="ja-JP"/>
        </w:rPr>
        <w:t xml:space="preserve">using the current specification </w:t>
      </w:r>
      <w:r w:rsidR="00E315B8">
        <w:rPr>
          <w:rFonts w:eastAsia="ＭＳ 明朝"/>
          <w:lang w:eastAsia="ja-JP"/>
        </w:rPr>
        <w:t>may be large</w:t>
      </w:r>
      <w:r>
        <w:rPr>
          <w:rFonts w:eastAsia="ＭＳ 明朝"/>
          <w:lang w:eastAsia="ja-JP"/>
        </w:rPr>
        <w:t xml:space="preserve">. However, </w:t>
      </w:r>
      <w:r w:rsidRPr="00835E67">
        <w:rPr>
          <w:rFonts w:eastAsia="ＭＳ 明朝"/>
          <w:lang w:eastAsia="ja-JP"/>
        </w:rPr>
        <w:t xml:space="preserve">In RAN1 #110bis, it was agreed as a baseline that the location of the SBFD </w:t>
      </w:r>
      <w:r>
        <w:rPr>
          <w:rFonts w:eastAsia="ＭＳ 明朝"/>
          <w:lang w:eastAsia="ja-JP"/>
        </w:rPr>
        <w:t>slot</w:t>
      </w:r>
      <w:r w:rsidRPr="00835E67">
        <w:rPr>
          <w:rFonts w:eastAsia="ＭＳ 明朝"/>
          <w:lang w:eastAsia="ja-JP"/>
        </w:rPr>
        <w:t xml:space="preserve"> is semi-static</w:t>
      </w:r>
      <w:r>
        <w:rPr>
          <w:rFonts w:eastAsia="ＭＳ 明朝"/>
          <w:lang w:eastAsia="ja-JP"/>
        </w:rPr>
        <w:t>ally configured</w:t>
      </w:r>
      <w:r w:rsidRPr="00835E67">
        <w:rPr>
          <w:rFonts w:eastAsia="ＭＳ 明朝"/>
          <w:lang w:eastAsia="ja-JP"/>
        </w:rPr>
        <w:t>.</w:t>
      </w:r>
      <w:r>
        <w:rPr>
          <w:rFonts w:eastAsia="ＭＳ 明朝"/>
          <w:lang w:eastAsia="ja-JP"/>
        </w:rPr>
        <w:t xml:space="preserve"> </w:t>
      </w:r>
    </w:p>
    <w:tbl>
      <w:tblPr>
        <w:tblStyle w:val="a9"/>
        <w:tblW w:w="0" w:type="auto"/>
        <w:tblLook w:val="04A0" w:firstRow="1" w:lastRow="0" w:firstColumn="1" w:lastColumn="0" w:noHBand="0" w:noVBand="1"/>
      </w:tblPr>
      <w:tblGrid>
        <w:gridCol w:w="9629"/>
      </w:tblGrid>
      <w:tr w:rsidR="00A44697" w14:paraId="3717EF18" w14:textId="77777777" w:rsidTr="00A44697">
        <w:tc>
          <w:tcPr>
            <w:tcW w:w="9629" w:type="dxa"/>
          </w:tcPr>
          <w:p w14:paraId="135B0C24" w14:textId="77777777" w:rsidR="00A44697" w:rsidRDefault="00A44697" w:rsidP="000C68E4">
            <w:pPr>
              <w:spacing w:before="120" w:after="120"/>
              <w:rPr>
                <w:b/>
                <w:highlight w:val="green"/>
                <w:lang w:eastAsia="zh-CN"/>
              </w:rPr>
            </w:pPr>
            <w:r>
              <w:rPr>
                <w:b/>
                <w:highlight w:val="green"/>
                <w:lang w:eastAsia="zh-CN"/>
              </w:rPr>
              <w:t>Agreement</w:t>
            </w:r>
          </w:p>
          <w:p w14:paraId="0479289E" w14:textId="6C8FB41C" w:rsidR="00A44697" w:rsidRPr="00A44697" w:rsidRDefault="00A44697" w:rsidP="00A44697">
            <w:pPr>
              <w:ind w:firstLineChars="50" w:firstLine="100"/>
              <w:rPr>
                <w:rFonts w:eastAsia="ＭＳ 明朝"/>
                <w:lang w:eastAsia="ja-JP"/>
              </w:rPr>
            </w:pPr>
            <w:r>
              <w:rPr>
                <w:lang w:val="en-US"/>
              </w:rPr>
              <w:t>For semi-static configuration of subband time locations for SBFD operation, it is agreed that explicit configuration of SBFD subband time locations within a period is the baseline.</w:t>
            </w:r>
          </w:p>
        </w:tc>
      </w:tr>
    </w:tbl>
    <w:p w14:paraId="48475547" w14:textId="77777777" w:rsidR="00A44697" w:rsidRDefault="00A44697" w:rsidP="00E315B8">
      <w:pPr>
        <w:ind w:firstLineChars="50" w:firstLine="100"/>
        <w:rPr>
          <w:rFonts w:eastAsia="ＭＳ 明朝"/>
          <w:lang w:eastAsia="ja-JP"/>
        </w:rPr>
      </w:pPr>
    </w:p>
    <w:p w14:paraId="1740EC22" w14:textId="3B8FD5B8" w:rsidR="00C5576A" w:rsidRDefault="00617ED9" w:rsidP="00E315B8">
      <w:pPr>
        <w:ind w:firstLineChars="50" w:firstLine="100"/>
        <w:rPr>
          <w:rFonts w:eastAsia="ＭＳ 明朝"/>
          <w:lang w:eastAsia="ja-JP"/>
        </w:rPr>
      </w:pPr>
      <w:r>
        <w:rPr>
          <w:rFonts w:eastAsia="ＭＳ 明朝"/>
          <w:lang w:eastAsia="ja-JP"/>
        </w:rPr>
        <w:t>Based on the agreement above</w:t>
      </w:r>
      <w:r w:rsidR="00A44697">
        <w:rPr>
          <w:rFonts w:eastAsia="ＭＳ 明朝"/>
          <w:lang w:eastAsia="ja-JP"/>
        </w:rPr>
        <w:t xml:space="preserve">, </w:t>
      </w:r>
      <w:r w:rsidR="00E315B8" w:rsidRPr="00BB0D4E">
        <w:rPr>
          <w:rFonts w:eastAsia="ＭＳ 明朝"/>
          <w:lang w:eastAsia="ja-JP"/>
        </w:rPr>
        <w:t xml:space="preserve">it </w:t>
      </w:r>
      <w:r w:rsidR="00A44697">
        <w:rPr>
          <w:rFonts w:eastAsia="ＭＳ 明朝"/>
          <w:lang w:eastAsia="ja-JP"/>
        </w:rPr>
        <w:t xml:space="preserve">can be </w:t>
      </w:r>
      <w:r w:rsidR="00E315B8" w:rsidRPr="00BB0D4E">
        <w:rPr>
          <w:rFonts w:eastAsia="ＭＳ 明朝"/>
          <w:lang w:eastAsia="ja-JP"/>
        </w:rPr>
        <w:t xml:space="preserve">assumed that </w:t>
      </w:r>
      <w:r w:rsidR="00C5576A">
        <w:rPr>
          <w:rFonts w:eastAsia="ＭＳ 明朝"/>
          <w:lang w:eastAsia="ja-JP"/>
        </w:rPr>
        <w:t>since UE knows the timing of the SBFD slots and TDD slots, UE can mitigate BWP switching delay</w:t>
      </w:r>
      <w:r w:rsidR="00C5576A" w:rsidRPr="00BB0D4E">
        <w:rPr>
          <w:rFonts w:eastAsia="ＭＳ 明朝"/>
          <w:lang w:eastAsia="ja-JP"/>
        </w:rPr>
        <w:t xml:space="preserve"> </w:t>
      </w:r>
      <w:r w:rsidR="00C5576A">
        <w:rPr>
          <w:rFonts w:eastAsia="ＭＳ 明朝"/>
          <w:lang w:eastAsia="ja-JP"/>
        </w:rPr>
        <w:t xml:space="preserve">by </w:t>
      </w:r>
      <w:r w:rsidR="004A577B">
        <w:rPr>
          <w:rFonts w:eastAsia="ＭＳ 明朝"/>
          <w:lang w:eastAsia="ja-JP"/>
        </w:rPr>
        <w:t xml:space="preserve">UE itself </w:t>
      </w:r>
      <w:r w:rsidR="00C5576A">
        <w:rPr>
          <w:rFonts w:eastAsia="ＭＳ 明朝"/>
          <w:lang w:eastAsia="ja-JP"/>
        </w:rPr>
        <w:t xml:space="preserve">being able to change the configuration of DL and UL BWP pair semi-statically without dynamic indication by network. </w:t>
      </w:r>
    </w:p>
    <w:p w14:paraId="2D56FA2D" w14:textId="37C27038" w:rsidR="00E315B8" w:rsidRDefault="00C5576A" w:rsidP="00E315B8">
      <w:pPr>
        <w:ind w:firstLineChars="50" w:firstLine="100"/>
        <w:rPr>
          <w:rFonts w:eastAsia="ＭＳ 明朝"/>
          <w:lang w:eastAsia="ja-JP"/>
        </w:rPr>
      </w:pPr>
      <w:r>
        <w:rPr>
          <w:rFonts w:eastAsia="ＭＳ 明朝"/>
          <w:lang w:eastAsia="ja-JP"/>
        </w:rPr>
        <w:t xml:space="preserve">For these reasons, </w:t>
      </w:r>
      <w:r w:rsidR="00E315B8" w:rsidRPr="00BB0D4E">
        <w:rPr>
          <w:rFonts w:eastAsia="ＭＳ 明朝"/>
          <w:lang w:eastAsia="ja-JP"/>
        </w:rPr>
        <w:t xml:space="preserve">we believe that </w:t>
      </w:r>
      <w:r>
        <w:rPr>
          <w:rFonts w:eastAsia="ＭＳ 明朝"/>
          <w:lang w:eastAsia="ja-JP"/>
        </w:rPr>
        <w:t xml:space="preserve">SBFD operation with multiple BWP pairs is well worth studying </w:t>
      </w:r>
      <w:r w:rsidR="00E315B8" w:rsidRPr="00BB0D4E">
        <w:rPr>
          <w:rFonts w:eastAsia="ＭＳ 明朝"/>
          <w:lang w:eastAsia="ja-JP"/>
        </w:rPr>
        <w:t>as a method for successful SBFD</w:t>
      </w:r>
      <w:r w:rsidR="00E315B8">
        <w:rPr>
          <w:rFonts w:eastAsia="ＭＳ 明朝"/>
          <w:lang w:eastAsia="ja-JP"/>
        </w:rPr>
        <w:t xml:space="preserve"> deployment. </w:t>
      </w:r>
    </w:p>
    <w:p w14:paraId="68872FD1" w14:textId="77777777" w:rsidR="00EB5097" w:rsidRDefault="00EB5097">
      <w:pPr>
        <w:spacing w:after="0"/>
        <w:rPr>
          <w:rFonts w:eastAsiaTheme="minorEastAsia"/>
          <w:b/>
          <w:bCs/>
          <w:i/>
        </w:rPr>
      </w:pPr>
      <w:r>
        <w:rPr>
          <w:rFonts w:eastAsiaTheme="minorEastAsia"/>
          <w:b/>
          <w:bCs/>
          <w:i/>
        </w:rPr>
        <w:br w:type="page"/>
      </w:r>
    </w:p>
    <w:p w14:paraId="034CE3B6" w14:textId="489DCB25" w:rsidR="00803C31" w:rsidRPr="00803C31" w:rsidRDefault="00803C31" w:rsidP="00803C31">
      <w:pPr>
        <w:spacing w:after="60"/>
        <w:rPr>
          <w:rFonts w:eastAsiaTheme="minorEastAsia"/>
          <w:b/>
          <w:bCs/>
          <w:i/>
        </w:rPr>
      </w:pPr>
      <w:r w:rsidRPr="00803C31">
        <w:rPr>
          <w:rFonts w:eastAsiaTheme="minorEastAsia" w:hint="eastAsia"/>
          <w:b/>
          <w:bCs/>
          <w:i/>
        </w:rPr>
        <w:lastRenderedPageBreak/>
        <w:t>P</w:t>
      </w:r>
      <w:r w:rsidRPr="00803C31">
        <w:rPr>
          <w:rFonts w:eastAsiaTheme="minorEastAsia"/>
          <w:b/>
          <w:bCs/>
          <w:i/>
        </w:rPr>
        <w:t xml:space="preserve">roposal 2: </w:t>
      </w:r>
    </w:p>
    <w:p w14:paraId="37C864E8" w14:textId="77777777" w:rsidR="00803C31" w:rsidRPr="00803C31" w:rsidRDefault="00803C31" w:rsidP="00803C31">
      <w:pPr>
        <w:spacing w:after="60"/>
        <w:rPr>
          <w:rFonts w:eastAsiaTheme="minorEastAsia"/>
          <w:b/>
          <w:bCs/>
          <w:i/>
        </w:rPr>
      </w:pPr>
      <w:r w:rsidRPr="00803C31">
        <w:rPr>
          <w:rFonts w:eastAsiaTheme="minorEastAsia"/>
          <w:b/>
          <w:bCs/>
          <w:i/>
        </w:rPr>
        <w:t xml:space="preserve">RAN1 to study the feasibility and potential benefit of SBFD scheme with more than one configured DL and UL pair with aligned/unaligned center frequencies for a DL and UL BWP pair. </w:t>
      </w:r>
    </w:p>
    <w:p w14:paraId="1DD3DD12" w14:textId="77777777" w:rsidR="00803C31" w:rsidRPr="00803C31" w:rsidRDefault="00803C31" w:rsidP="00803C31">
      <w:pPr>
        <w:pStyle w:val="a5"/>
        <w:numPr>
          <w:ilvl w:val="0"/>
          <w:numId w:val="48"/>
        </w:numPr>
        <w:spacing w:after="60"/>
        <w:ind w:leftChars="0"/>
        <w:rPr>
          <w:rFonts w:eastAsia="ＭＳ 明朝"/>
          <w:b/>
          <w:bCs/>
          <w:i/>
          <w:lang w:eastAsia="ja-JP"/>
        </w:rPr>
      </w:pPr>
      <w:r w:rsidRPr="00803C31">
        <w:rPr>
          <w:rFonts w:eastAsia="ＭＳ 明朝"/>
          <w:b/>
          <w:bCs/>
          <w:i/>
          <w:lang w:eastAsia="ja-JP"/>
        </w:rPr>
        <w:t>Single DL and UL BWP pair is activated at a time</w:t>
      </w:r>
    </w:p>
    <w:p w14:paraId="63D4BC46" w14:textId="77777777" w:rsidR="00803C31" w:rsidRPr="00803C31" w:rsidRDefault="00803C31" w:rsidP="00803C31">
      <w:pPr>
        <w:pStyle w:val="a5"/>
        <w:numPr>
          <w:ilvl w:val="0"/>
          <w:numId w:val="48"/>
        </w:numPr>
        <w:spacing w:after="60"/>
        <w:ind w:leftChars="0"/>
        <w:rPr>
          <w:rFonts w:eastAsia="ＭＳ 明朝"/>
          <w:b/>
          <w:bCs/>
          <w:i/>
          <w:lang w:eastAsia="ja-JP"/>
        </w:rPr>
      </w:pPr>
      <w:r w:rsidRPr="00803C31">
        <w:rPr>
          <w:rFonts w:eastAsia="ＭＳ 明朝"/>
          <w:b/>
          <w:bCs/>
          <w:i/>
          <w:lang w:eastAsia="ja-JP"/>
        </w:rPr>
        <w:t xml:space="preserve">DL and UL </w:t>
      </w:r>
      <w:r w:rsidRPr="00803C31">
        <w:rPr>
          <w:rFonts w:eastAsia="ＭＳ 明朝" w:hint="eastAsia"/>
          <w:b/>
          <w:bCs/>
          <w:i/>
          <w:lang w:eastAsia="ja-JP"/>
        </w:rPr>
        <w:t>B</w:t>
      </w:r>
      <w:r w:rsidRPr="00803C31">
        <w:rPr>
          <w:rFonts w:eastAsia="ＭＳ 明朝"/>
          <w:b/>
          <w:bCs/>
          <w:i/>
          <w:lang w:eastAsia="ja-JP"/>
        </w:rPr>
        <w:t>WP pairs are semi-statically switched without dynamic indication by network</w:t>
      </w:r>
    </w:p>
    <w:p w14:paraId="5284B30F" w14:textId="5D585D1E" w:rsidR="00E43732" w:rsidRPr="00803C31" w:rsidRDefault="00E43732" w:rsidP="00AC0EBC">
      <w:pPr>
        <w:spacing w:after="0"/>
        <w:rPr>
          <w:rFonts w:eastAsia="ＭＳ 明朝"/>
          <w:b/>
          <w:bCs/>
          <w:i/>
          <w:iCs/>
          <w:lang w:eastAsia="ja-JP"/>
        </w:rPr>
      </w:pPr>
    </w:p>
    <w:p w14:paraId="0B329346" w14:textId="4FFB8767" w:rsidR="0039592D" w:rsidRPr="00AC7882"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b/>
          <w:bCs/>
          <w:lang w:eastAsia="zh-CN"/>
        </w:rPr>
      </w:pPr>
      <w:r w:rsidRPr="00AC7882">
        <w:rPr>
          <w:rFonts w:eastAsia="SimSun" w:cs="Arial"/>
          <w:b/>
          <w:bCs/>
          <w:lang w:eastAsia="zh-CN"/>
        </w:rPr>
        <w:t>Conclusion</w:t>
      </w:r>
    </w:p>
    <w:p w14:paraId="432D2BE7" w14:textId="7347C73B" w:rsidR="005D16F4" w:rsidRDefault="005D16F4" w:rsidP="005D16F4">
      <w:pPr>
        <w:pStyle w:val="af5"/>
        <w:rPr>
          <w:rFonts w:ascii="Arial" w:eastAsia="Malgun Gothic" w:hAnsi="Arial" w:cs="Arial"/>
          <w:szCs w:val="20"/>
        </w:rPr>
      </w:pPr>
      <w:r w:rsidRPr="000D6DB9">
        <w:rPr>
          <w:rFonts w:ascii="Arial" w:eastAsia="Malgun Gothic" w:hAnsi="Arial" w:cs="Arial"/>
          <w:szCs w:val="20"/>
        </w:rPr>
        <w:t>In this contribution, we made the following observations and proposals:</w:t>
      </w:r>
    </w:p>
    <w:p w14:paraId="23B321AA" w14:textId="77777777" w:rsidR="00803C31" w:rsidRPr="000D6DB9" w:rsidRDefault="00803C31" w:rsidP="005D16F4">
      <w:pPr>
        <w:pStyle w:val="af5"/>
        <w:rPr>
          <w:rFonts w:ascii="Arial" w:eastAsia="Malgun Gothic" w:hAnsi="Arial" w:cs="Arial"/>
          <w:szCs w:val="20"/>
        </w:rPr>
      </w:pPr>
    </w:p>
    <w:p w14:paraId="14BA323E" w14:textId="77777777" w:rsidR="0082203F" w:rsidRPr="00304A88" w:rsidRDefault="0082203F" w:rsidP="0082203F">
      <w:pPr>
        <w:spacing w:after="60"/>
        <w:jc w:val="both"/>
        <w:rPr>
          <w:rFonts w:eastAsia="ＭＳ 明朝"/>
          <w:b/>
          <w:bCs/>
          <w:i/>
          <w:lang w:eastAsia="ja-JP"/>
        </w:rPr>
      </w:pPr>
      <w:r w:rsidRPr="00304A88">
        <w:rPr>
          <w:rFonts w:eastAsia="ＭＳ 明朝"/>
          <w:b/>
          <w:bCs/>
          <w:i/>
          <w:lang w:eastAsia="ja-JP"/>
        </w:rPr>
        <w:t xml:space="preserve">Observation 1: </w:t>
      </w:r>
    </w:p>
    <w:p w14:paraId="46262527" w14:textId="77777777" w:rsidR="0082203F" w:rsidRPr="00234962" w:rsidRDefault="0082203F" w:rsidP="0082203F">
      <w:pPr>
        <w:spacing w:after="60"/>
        <w:rPr>
          <w:rFonts w:eastAsiaTheme="minorEastAsia"/>
          <w:b/>
          <w:bCs/>
          <w:i/>
        </w:rPr>
      </w:pPr>
      <w:r w:rsidRPr="00234962">
        <w:rPr>
          <w:rFonts w:eastAsiaTheme="minorEastAsia"/>
          <w:b/>
          <w:bCs/>
          <w:i/>
        </w:rPr>
        <w:t>For the inter-UE CLI</w:t>
      </w:r>
      <w:r>
        <w:rPr>
          <w:rFonts w:eastAsiaTheme="minorEastAsia"/>
          <w:b/>
          <w:bCs/>
          <w:i/>
        </w:rPr>
        <w:t xml:space="preserve"> for legacy UE</w:t>
      </w:r>
      <w:r w:rsidRPr="00234962">
        <w:rPr>
          <w:rFonts w:eastAsiaTheme="minorEastAsia"/>
          <w:b/>
          <w:bCs/>
          <w:i/>
        </w:rPr>
        <w:t xml:space="preserve">, </w:t>
      </w:r>
    </w:p>
    <w:p w14:paraId="406C1E96" w14:textId="77777777" w:rsidR="0082203F" w:rsidRPr="00234962" w:rsidRDefault="0082203F" w:rsidP="0082203F">
      <w:pPr>
        <w:pStyle w:val="a5"/>
        <w:numPr>
          <w:ilvl w:val="0"/>
          <w:numId w:val="48"/>
        </w:numPr>
        <w:spacing w:after="60"/>
        <w:ind w:leftChars="0"/>
        <w:rPr>
          <w:rFonts w:eastAsiaTheme="minorEastAsia"/>
          <w:b/>
          <w:bCs/>
          <w:i/>
        </w:rPr>
      </w:pPr>
      <w:r w:rsidRPr="00234962">
        <w:rPr>
          <w:rFonts w:eastAsia="ＭＳ 明朝"/>
          <w:b/>
          <w:bCs/>
          <w:i/>
          <w:lang w:eastAsia="ja-JP"/>
        </w:rPr>
        <w:t>Increasing the guard RBs between DL and UL is helpful to reduce the inter-UE CLI</w:t>
      </w:r>
    </w:p>
    <w:p w14:paraId="0EDE3D08" w14:textId="77777777" w:rsidR="0082203F" w:rsidRPr="00234962" w:rsidRDefault="0082203F" w:rsidP="0082203F">
      <w:pPr>
        <w:pStyle w:val="a5"/>
        <w:numPr>
          <w:ilvl w:val="0"/>
          <w:numId w:val="48"/>
        </w:numPr>
        <w:spacing w:after="60"/>
        <w:ind w:leftChars="0"/>
        <w:rPr>
          <w:rFonts w:eastAsiaTheme="minorEastAsia"/>
          <w:b/>
          <w:bCs/>
          <w:i/>
        </w:rPr>
      </w:pPr>
      <w:r w:rsidRPr="00234962">
        <w:rPr>
          <w:rFonts w:eastAsia="ＭＳ 明朝"/>
          <w:b/>
          <w:bCs/>
          <w:i/>
          <w:lang w:eastAsia="ja-JP"/>
        </w:rPr>
        <w:t xml:space="preserve">Small DL BWP helps reducing the inter-UE CLI </w:t>
      </w:r>
    </w:p>
    <w:p w14:paraId="7ED81BE4" w14:textId="77777777" w:rsidR="0082203F" w:rsidRPr="00164B6E" w:rsidRDefault="0082203F" w:rsidP="0082203F">
      <w:pPr>
        <w:pStyle w:val="a5"/>
        <w:numPr>
          <w:ilvl w:val="0"/>
          <w:numId w:val="48"/>
        </w:numPr>
        <w:spacing w:after="0"/>
        <w:ind w:leftChars="0"/>
        <w:rPr>
          <w:rFonts w:eastAsiaTheme="minorEastAsia"/>
          <w:iCs/>
        </w:rPr>
      </w:pPr>
      <w:r w:rsidRPr="00164B6E">
        <w:rPr>
          <w:rFonts w:eastAsiaTheme="minorEastAsia"/>
          <w:b/>
          <w:bCs/>
          <w:i/>
        </w:rPr>
        <w:t>When the U</w:t>
      </w:r>
      <w:r>
        <w:rPr>
          <w:rFonts w:eastAsiaTheme="minorEastAsia"/>
          <w:b/>
          <w:bCs/>
          <w:i/>
        </w:rPr>
        <w:t>E-to-UE distance is less than 1</w:t>
      </w:r>
      <w:r w:rsidRPr="00164B6E">
        <w:rPr>
          <w:rFonts w:eastAsiaTheme="minorEastAsia"/>
          <w:b/>
          <w:bCs/>
          <w:i/>
        </w:rPr>
        <w:t>m, the DL performance is still degraded even with the higher number of guard RBs due to limited dynamic range of ADC</w:t>
      </w:r>
    </w:p>
    <w:p w14:paraId="0D3B0774" w14:textId="77777777" w:rsidR="00803C31" w:rsidRPr="0082203F" w:rsidRDefault="00803C31" w:rsidP="00803C31">
      <w:pPr>
        <w:spacing w:after="60"/>
        <w:rPr>
          <w:rFonts w:eastAsia="ＭＳ 明朝"/>
          <w:b/>
          <w:bCs/>
          <w:i/>
          <w:iCs/>
          <w:lang w:eastAsia="ja-JP"/>
        </w:rPr>
      </w:pPr>
    </w:p>
    <w:p w14:paraId="398284BB" w14:textId="77777777" w:rsidR="00E43732" w:rsidRPr="00803C31" w:rsidRDefault="00E43732" w:rsidP="00803C31">
      <w:pPr>
        <w:spacing w:after="60"/>
        <w:rPr>
          <w:rFonts w:eastAsiaTheme="minorEastAsia"/>
          <w:b/>
          <w:bCs/>
          <w:i/>
        </w:rPr>
      </w:pPr>
      <w:r w:rsidRPr="00803C31">
        <w:rPr>
          <w:rFonts w:eastAsiaTheme="minorEastAsia" w:hint="eastAsia"/>
          <w:b/>
          <w:bCs/>
          <w:i/>
        </w:rPr>
        <w:t>P</w:t>
      </w:r>
      <w:r w:rsidRPr="00803C31">
        <w:rPr>
          <w:rFonts w:eastAsiaTheme="minorEastAsia"/>
          <w:b/>
          <w:bCs/>
          <w:i/>
        </w:rPr>
        <w:t xml:space="preserve">roposal 1: </w:t>
      </w:r>
    </w:p>
    <w:p w14:paraId="62B9CAA7" w14:textId="026F459C" w:rsidR="00E43732" w:rsidRDefault="00E43732" w:rsidP="00803C31">
      <w:pPr>
        <w:spacing w:after="60"/>
        <w:rPr>
          <w:rFonts w:eastAsiaTheme="minorEastAsia"/>
          <w:b/>
          <w:bCs/>
          <w:i/>
        </w:rPr>
      </w:pPr>
      <w:r w:rsidRPr="00803C31">
        <w:rPr>
          <w:rFonts w:eastAsiaTheme="minorEastAsia" w:hint="eastAsia"/>
          <w:b/>
          <w:bCs/>
          <w:i/>
        </w:rPr>
        <w:t>R</w:t>
      </w:r>
      <w:r w:rsidRPr="00803C31">
        <w:rPr>
          <w:rFonts w:eastAsiaTheme="minorEastAsia"/>
          <w:b/>
          <w:bCs/>
          <w:i/>
        </w:rPr>
        <w:t xml:space="preserve">AN1 should study inter-UE CLI when UE-to-UE distance is less than 1m and investigate mitigation methods. </w:t>
      </w:r>
    </w:p>
    <w:p w14:paraId="01CE2095" w14:textId="77777777" w:rsidR="00803C31" w:rsidRPr="00803C31" w:rsidRDefault="00803C31" w:rsidP="00803C31">
      <w:pPr>
        <w:spacing w:after="60"/>
        <w:rPr>
          <w:rFonts w:eastAsiaTheme="minorEastAsia"/>
          <w:b/>
          <w:bCs/>
          <w:i/>
        </w:rPr>
      </w:pPr>
    </w:p>
    <w:p w14:paraId="287C178E" w14:textId="77777777" w:rsidR="00E43732" w:rsidRPr="00803C31" w:rsidRDefault="00E43732" w:rsidP="00803C31">
      <w:pPr>
        <w:spacing w:after="60"/>
        <w:rPr>
          <w:rFonts w:eastAsiaTheme="minorEastAsia"/>
          <w:b/>
          <w:bCs/>
          <w:i/>
        </w:rPr>
      </w:pPr>
      <w:r w:rsidRPr="00803C31">
        <w:rPr>
          <w:rFonts w:eastAsiaTheme="minorEastAsia" w:hint="eastAsia"/>
          <w:b/>
          <w:bCs/>
          <w:i/>
        </w:rPr>
        <w:t>P</w:t>
      </w:r>
      <w:r w:rsidRPr="00803C31">
        <w:rPr>
          <w:rFonts w:eastAsiaTheme="minorEastAsia"/>
          <w:b/>
          <w:bCs/>
          <w:i/>
        </w:rPr>
        <w:t xml:space="preserve">roposal 2: </w:t>
      </w:r>
    </w:p>
    <w:p w14:paraId="3BA07828" w14:textId="77777777" w:rsidR="00E43732" w:rsidRPr="00803C31" w:rsidRDefault="00E43732" w:rsidP="00803C31">
      <w:pPr>
        <w:spacing w:after="60"/>
        <w:rPr>
          <w:rFonts w:eastAsiaTheme="minorEastAsia"/>
          <w:b/>
          <w:bCs/>
          <w:i/>
        </w:rPr>
      </w:pPr>
      <w:r w:rsidRPr="00803C31">
        <w:rPr>
          <w:rFonts w:eastAsiaTheme="minorEastAsia"/>
          <w:b/>
          <w:bCs/>
          <w:i/>
        </w:rPr>
        <w:t xml:space="preserve">RAN1 to study the feasibility and potential benefit of SBFD scheme with more than one configured DL and UL pair with aligned/unaligned center frequencies for a DL and UL BWP pair. </w:t>
      </w:r>
    </w:p>
    <w:p w14:paraId="162E5AA5" w14:textId="77777777" w:rsidR="00E43732" w:rsidRPr="00803C31" w:rsidRDefault="00E43732" w:rsidP="00803C31">
      <w:pPr>
        <w:pStyle w:val="a5"/>
        <w:numPr>
          <w:ilvl w:val="0"/>
          <w:numId w:val="48"/>
        </w:numPr>
        <w:spacing w:after="60"/>
        <w:ind w:leftChars="0"/>
        <w:rPr>
          <w:rFonts w:eastAsia="ＭＳ 明朝"/>
          <w:b/>
          <w:bCs/>
          <w:i/>
          <w:lang w:eastAsia="ja-JP"/>
        </w:rPr>
      </w:pPr>
      <w:r w:rsidRPr="00803C31">
        <w:rPr>
          <w:rFonts w:eastAsia="ＭＳ 明朝"/>
          <w:b/>
          <w:bCs/>
          <w:i/>
          <w:lang w:eastAsia="ja-JP"/>
        </w:rPr>
        <w:t>Single DL and UL BWP pair is activated at a time</w:t>
      </w:r>
    </w:p>
    <w:p w14:paraId="0B5823B1" w14:textId="77777777" w:rsidR="00E43732" w:rsidRPr="00803C31" w:rsidRDefault="00E43732" w:rsidP="00803C31">
      <w:pPr>
        <w:pStyle w:val="a5"/>
        <w:numPr>
          <w:ilvl w:val="0"/>
          <w:numId w:val="48"/>
        </w:numPr>
        <w:spacing w:after="60"/>
        <w:ind w:leftChars="0"/>
        <w:rPr>
          <w:rFonts w:eastAsia="ＭＳ 明朝"/>
          <w:b/>
          <w:bCs/>
          <w:i/>
          <w:lang w:eastAsia="ja-JP"/>
        </w:rPr>
      </w:pPr>
      <w:r w:rsidRPr="00803C31">
        <w:rPr>
          <w:rFonts w:eastAsia="ＭＳ 明朝"/>
          <w:b/>
          <w:bCs/>
          <w:i/>
          <w:lang w:eastAsia="ja-JP"/>
        </w:rPr>
        <w:t xml:space="preserve">DL and UL </w:t>
      </w:r>
      <w:r w:rsidRPr="00803C31">
        <w:rPr>
          <w:rFonts w:eastAsia="ＭＳ 明朝" w:hint="eastAsia"/>
          <w:b/>
          <w:bCs/>
          <w:i/>
          <w:lang w:eastAsia="ja-JP"/>
        </w:rPr>
        <w:t>B</w:t>
      </w:r>
      <w:r w:rsidRPr="00803C31">
        <w:rPr>
          <w:rFonts w:eastAsia="ＭＳ 明朝"/>
          <w:b/>
          <w:bCs/>
          <w:i/>
          <w:lang w:eastAsia="ja-JP"/>
        </w:rPr>
        <w:t>WP pairs are semi-statically switched without dynamic indication by network</w:t>
      </w:r>
    </w:p>
    <w:p w14:paraId="70A3ABC2" w14:textId="77777777" w:rsidR="005C5439" w:rsidRPr="00E43732" w:rsidRDefault="005C5439" w:rsidP="005C5439">
      <w:pPr>
        <w:rPr>
          <w:rFonts w:eastAsia="ＭＳ 明朝"/>
          <w:i/>
          <w:iCs/>
          <w:lang w:val="en-US" w:eastAsia="ja-JP"/>
        </w:rPr>
      </w:pPr>
    </w:p>
    <w:p w14:paraId="505DBC43" w14:textId="6467E3AA" w:rsidR="00474670" w:rsidRPr="00066E15"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b/>
          <w:lang w:eastAsia="zh-CN"/>
        </w:rPr>
      </w:pPr>
      <w:bookmarkStart w:id="3" w:name="_GoBack"/>
      <w:r w:rsidRPr="00066E15">
        <w:rPr>
          <w:rFonts w:eastAsia="SimSun" w:cs="Arial"/>
          <w:b/>
          <w:lang w:eastAsia="zh-CN"/>
        </w:rPr>
        <w:t>References</w:t>
      </w:r>
    </w:p>
    <w:bookmarkEnd w:id="3"/>
    <w:p w14:paraId="65BF2DBA" w14:textId="5412C999" w:rsidR="00BC04EB" w:rsidRPr="002144E1" w:rsidRDefault="00BC04EB" w:rsidP="00732829">
      <w:pPr>
        <w:pStyle w:val="Reference"/>
        <w:rPr>
          <w:rFonts w:ascii="Times New Roman" w:hAnsi="Times New Roman" w:cs="Times New Roman"/>
        </w:rPr>
      </w:pPr>
      <w:r w:rsidRPr="002144E1">
        <w:rPr>
          <w:rFonts w:ascii="Times New Roman" w:hAnsi="Times New Roman" w:cs="Times New Roman"/>
        </w:rPr>
        <w:t>RP-</w:t>
      </w:r>
      <w:r w:rsidR="00732829" w:rsidRPr="002144E1">
        <w:rPr>
          <w:rFonts w:ascii="Times New Roman" w:hAnsi="Times New Roman" w:cs="Times New Roman"/>
        </w:rPr>
        <w:t xml:space="preserve">222110 </w:t>
      </w:r>
      <w:r w:rsidRPr="002144E1">
        <w:rPr>
          <w:rFonts w:ascii="Times New Roman" w:hAnsi="Times New Roman" w:cs="Times New Roman"/>
        </w:rPr>
        <w:t>“Revised SID: Study on evolution of NR duplex operation”</w:t>
      </w:r>
      <w:r w:rsidR="00B00192" w:rsidRPr="002144E1">
        <w:rPr>
          <w:rFonts w:ascii="Times New Roman" w:hAnsi="Times New Roman" w:cs="Times New Roman"/>
        </w:rPr>
        <w:t>;</w:t>
      </w:r>
      <w:r w:rsidRPr="002144E1">
        <w:rPr>
          <w:rFonts w:ascii="Times New Roman" w:hAnsi="Times New Roman" w:cs="Times New Roman"/>
        </w:rPr>
        <w:t xml:space="preserve"> RAN#9</w:t>
      </w:r>
      <w:r w:rsidR="00732829" w:rsidRPr="002144E1">
        <w:rPr>
          <w:rFonts w:ascii="Times New Roman" w:hAnsi="Times New Roman" w:cs="Times New Roman"/>
        </w:rPr>
        <w:t>7-e</w:t>
      </w:r>
    </w:p>
    <w:p w14:paraId="6FCCC633" w14:textId="3EB766F4" w:rsidR="005765DE" w:rsidRPr="002144E1" w:rsidRDefault="005765DE" w:rsidP="00732829">
      <w:pPr>
        <w:pStyle w:val="Reference"/>
        <w:rPr>
          <w:rFonts w:ascii="Times New Roman" w:hAnsi="Times New Roman" w:cs="Times New Roman"/>
        </w:rPr>
      </w:pPr>
      <w:bookmarkStart w:id="4" w:name="_Ref118581068"/>
      <w:r w:rsidRPr="002144E1">
        <w:rPr>
          <w:rFonts w:ascii="Times New Roman" w:hAnsi="Times New Roman" w:cs="Times New Roman"/>
        </w:rPr>
        <w:t>R1-2210143 “Inter-UE CLI Test Results for NR Duplex Evolution”, KDDI corporation, RAN1 #110bis-e</w:t>
      </w:r>
      <w:bookmarkEnd w:id="4"/>
    </w:p>
    <w:p w14:paraId="192F15C0" w14:textId="7104D50F" w:rsidR="005E34DC" w:rsidRPr="00A43B42" w:rsidRDefault="00A43B42" w:rsidP="00A43B42">
      <w:pPr>
        <w:pStyle w:val="Reference"/>
        <w:rPr>
          <w:rFonts w:ascii="Times New Roman" w:hAnsi="Times New Roman" w:cs="Times New Roman"/>
        </w:rPr>
      </w:pPr>
      <w:bookmarkStart w:id="5" w:name="_Ref118581141"/>
      <w:r w:rsidRPr="00A43B42">
        <w:rPr>
          <w:rFonts w:ascii="Times New Roman" w:hAnsi="Times New Roman" w:cs="Times New Roman"/>
        </w:rPr>
        <w:t xml:space="preserve">R1-2212115 </w:t>
      </w:r>
      <w:r>
        <w:rPr>
          <w:rFonts w:ascii="Times New Roman" w:hAnsi="Times New Roman" w:cs="Times New Roman"/>
        </w:rPr>
        <w:t>“</w:t>
      </w:r>
      <w:r w:rsidRPr="00A43B42">
        <w:rPr>
          <w:rFonts w:ascii="Times New Roman" w:hAnsi="Times New Roman" w:cs="Times New Roman"/>
        </w:rPr>
        <w:t>Feasibility and techniques for Subband non-overlapping full duplex</w:t>
      </w:r>
      <w:r w:rsidR="005765DE" w:rsidRPr="00A43B42">
        <w:rPr>
          <w:rFonts w:ascii="Times New Roman" w:hAnsi="Times New Roman" w:cs="Times New Roman"/>
        </w:rPr>
        <w:t>”, Qualcomm Incorporated</w:t>
      </w:r>
      <w:r w:rsidR="005765DE" w:rsidRPr="00A43B42">
        <w:rPr>
          <w:rFonts w:ascii="Times New Roman" w:eastAsia="ＭＳ 明朝" w:hAnsi="Times New Roman" w:cs="Times New Roman"/>
          <w:lang w:eastAsia="ja-JP"/>
        </w:rPr>
        <w:t>, RAN1 #11</w:t>
      </w:r>
      <w:bookmarkEnd w:id="5"/>
      <w:r w:rsidR="006C3DA1">
        <w:rPr>
          <w:rFonts w:ascii="Times New Roman" w:eastAsia="ＭＳ 明朝" w:hAnsi="Times New Roman" w:cs="Times New Roman"/>
          <w:lang w:eastAsia="ja-JP"/>
        </w:rPr>
        <w:t>1</w:t>
      </w:r>
    </w:p>
    <w:sectPr w:rsidR="005E34DC" w:rsidRPr="00A43B42" w:rsidSect="00BD4CF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88A695" w14:textId="77777777" w:rsidR="00BF3B96" w:rsidRDefault="00BF3B96" w:rsidP="00083046">
      <w:r>
        <w:separator/>
      </w:r>
    </w:p>
  </w:endnote>
  <w:endnote w:type="continuationSeparator" w:id="0">
    <w:p w14:paraId="13C98E02" w14:textId="77777777" w:rsidR="00BF3B96" w:rsidRDefault="00BF3B9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C59449" w14:textId="77777777" w:rsidR="00BF3B96" w:rsidRDefault="00BF3B96" w:rsidP="00083046">
      <w:r>
        <w:separator/>
      </w:r>
    </w:p>
  </w:footnote>
  <w:footnote w:type="continuationSeparator" w:id="0">
    <w:p w14:paraId="30A4EDAD" w14:textId="77777777" w:rsidR="00BF3B96" w:rsidRDefault="00BF3B96" w:rsidP="000830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D20AF"/>
    <w:multiLevelType w:val="hybridMultilevel"/>
    <w:tmpl w:val="2BB4042A"/>
    <w:lvl w:ilvl="0" w:tplc="137A89AA">
      <w:start w:val="1"/>
      <w:numFmt w:val="decimal"/>
      <w:lvlText w:val="%1)"/>
      <w:lvlJc w:val="left"/>
      <w:pPr>
        <w:tabs>
          <w:tab w:val="num" w:pos="720"/>
        </w:tabs>
        <w:ind w:left="720" w:hanging="360"/>
      </w:pPr>
    </w:lvl>
    <w:lvl w:ilvl="1" w:tplc="DB502C14" w:tentative="1">
      <w:start w:val="1"/>
      <w:numFmt w:val="decimal"/>
      <w:lvlText w:val="%2)"/>
      <w:lvlJc w:val="left"/>
      <w:pPr>
        <w:tabs>
          <w:tab w:val="num" w:pos="1440"/>
        </w:tabs>
        <w:ind w:left="1440" w:hanging="360"/>
      </w:pPr>
    </w:lvl>
    <w:lvl w:ilvl="2" w:tplc="6E369DEC" w:tentative="1">
      <w:start w:val="1"/>
      <w:numFmt w:val="decimal"/>
      <w:lvlText w:val="%3)"/>
      <w:lvlJc w:val="left"/>
      <w:pPr>
        <w:tabs>
          <w:tab w:val="num" w:pos="2160"/>
        </w:tabs>
        <w:ind w:left="2160" w:hanging="360"/>
      </w:pPr>
    </w:lvl>
    <w:lvl w:ilvl="3" w:tplc="FF307880" w:tentative="1">
      <w:start w:val="1"/>
      <w:numFmt w:val="decimal"/>
      <w:lvlText w:val="%4)"/>
      <w:lvlJc w:val="left"/>
      <w:pPr>
        <w:tabs>
          <w:tab w:val="num" w:pos="2880"/>
        </w:tabs>
        <w:ind w:left="2880" w:hanging="360"/>
      </w:pPr>
    </w:lvl>
    <w:lvl w:ilvl="4" w:tplc="4FC6BA1C" w:tentative="1">
      <w:start w:val="1"/>
      <w:numFmt w:val="decimal"/>
      <w:lvlText w:val="%5)"/>
      <w:lvlJc w:val="left"/>
      <w:pPr>
        <w:tabs>
          <w:tab w:val="num" w:pos="3600"/>
        </w:tabs>
        <w:ind w:left="3600" w:hanging="360"/>
      </w:pPr>
    </w:lvl>
    <w:lvl w:ilvl="5" w:tplc="3A260B56" w:tentative="1">
      <w:start w:val="1"/>
      <w:numFmt w:val="decimal"/>
      <w:lvlText w:val="%6)"/>
      <w:lvlJc w:val="left"/>
      <w:pPr>
        <w:tabs>
          <w:tab w:val="num" w:pos="4320"/>
        </w:tabs>
        <w:ind w:left="4320" w:hanging="360"/>
      </w:pPr>
    </w:lvl>
    <w:lvl w:ilvl="6" w:tplc="2A3820BC" w:tentative="1">
      <w:start w:val="1"/>
      <w:numFmt w:val="decimal"/>
      <w:lvlText w:val="%7)"/>
      <w:lvlJc w:val="left"/>
      <w:pPr>
        <w:tabs>
          <w:tab w:val="num" w:pos="5040"/>
        </w:tabs>
        <w:ind w:left="5040" w:hanging="360"/>
      </w:pPr>
    </w:lvl>
    <w:lvl w:ilvl="7" w:tplc="28B40074" w:tentative="1">
      <w:start w:val="1"/>
      <w:numFmt w:val="decimal"/>
      <w:lvlText w:val="%8)"/>
      <w:lvlJc w:val="left"/>
      <w:pPr>
        <w:tabs>
          <w:tab w:val="num" w:pos="5760"/>
        </w:tabs>
        <w:ind w:left="5760" w:hanging="360"/>
      </w:pPr>
    </w:lvl>
    <w:lvl w:ilvl="8" w:tplc="CB5E6C7C" w:tentative="1">
      <w:start w:val="1"/>
      <w:numFmt w:val="decimal"/>
      <w:lvlText w:val="%9)"/>
      <w:lvlJc w:val="left"/>
      <w:pPr>
        <w:tabs>
          <w:tab w:val="num" w:pos="6480"/>
        </w:tabs>
        <w:ind w:left="6480" w:hanging="360"/>
      </w:pPr>
    </w:lvl>
  </w:abstractNum>
  <w:abstractNum w:abstractNumId="3" w15:restartNumberingAfterBreak="0">
    <w:nsid w:val="06214077"/>
    <w:multiLevelType w:val="hybridMultilevel"/>
    <w:tmpl w:val="B2A6323C"/>
    <w:lvl w:ilvl="0" w:tplc="C108EC3C">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580" w:hanging="400"/>
      </w:pPr>
      <w:rPr>
        <w:rFonts w:ascii="Wingdings" w:hAnsi="Wingdings" w:hint="default"/>
      </w:rPr>
    </w:lvl>
    <w:lvl w:ilvl="2" w:tplc="04090005" w:tentative="1">
      <w:start w:val="1"/>
      <w:numFmt w:val="bullet"/>
      <w:lvlText w:val=""/>
      <w:lvlJc w:val="left"/>
      <w:pPr>
        <w:ind w:left="980" w:hanging="400"/>
      </w:pPr>
      <w:rPr>
        <w:rFonts w:ascii="Wingdings" w:hAnsi="Wingdings" w:hint="default"/>
      </w:rPr>
    </w:lvl>
    <w:lvl w:ilvl="3" w:tplc="04090001" w:tentative="1">
      <w:start w:val="1"/>
      <w:numFmt w:val="bullet"/>
      <w:lvlText w:val=""/>
      <w:lvlJc w:val="left"/>
      <w:pPr>
        <w:ind w:left="1380" w:hanging="400"/>
      </w:pPr>
      <w:rPr>
        <w:rFonts w:ascii="Wingdings" w:hAnsi="Wingdings" w:hint="default"/>
      </w:rPr>
    </w:lvl>
    <w:lvl w:ilvl="4" w:tplc="04090003" w:tentative="1">
      <w:start w:val="1"/>
      <w:numFmt w:val="bullet"/>
      <w:lvlText w:val=""/>
      <w:lvlJc w:val="left"/>
      <w:pPr>
        <w:ind w:left="1780" w:hanging="400"/>
      </w:pPr>
      <w:rPr>
        <w:rFonts w:ascii="Wingdings" w:hAnsi="Wingdings" w:hint="default"/>
      </w:rPr>
    </w:lvl>
    <w:lvl w:ilvl="5" w:tplc="04090005" w:tentative="1">
      <w:start w:val="1"/>
      <w:numFmt w:val="bullet"/>
      <w:lvlText w:val=""/>
      <w:lvlJc w:val="left"/>
      <w:pPr>
        <w:ind w:left="2180" w:hanging="400"/>
      </w:pPr>
      <w:rPr>
        <w:rFonts w:ascii="Wingdings" w:hAnsi="Wingdings" w:hint="default"/>
      </w:rPr>
    </w:lvl>
    <w:lvl w:ilvl="6" w:tplc="04090001" w:tentative="1">
      <w:start w:val="1"/>
      <w:numFmt w:val="bullet"/>
      <w:lvlText w:val=""/>
      <w:lvlJc w:val="left"/>
      <w:pPr>
        <w:ind w:left="2580" w:hanging="400"/>
      </w:pPr>
      <w:rPr>
        <w:rFonts w:ascii="Wingdings" w:hAnsi="Wingdings" w:hint="default"/>
      </w:rPr>
    </w:lvl>
    <w:lvl w:ilvl="7" w:tplc="04090003" w:tentative="1">
      <w:start w:val="1"/>
      <w:numFmt w:val="bullet"/>
      <w:lvlText w:val=""/>
      <w:lvlJc w:val="left"/>
      <w:pPr>
        <w:ind w:left="2980" w:hanging="400"/>
      </w:pPr>
      <w:rPr>
        <w:rFonts w:ascii="Wingdings" w:hAnsi="Wingdings" w:hint="default"/>
      </w:rPr>
    </w:lvl>
    <w:lvl w:ilvl="8" w:tplc="04090005" w:tentative="1">
      <w:start w:val="1"/>
      <w:numFmt w:val="bullet"/>
      <w:lvlText w:val=""/>
      <w:lvlJc w:val="left"/>
      <w:pPr>
        <w:ind w:left="3380" w:hanging="400"/>
      </w:pPr>
      <w:rPr>
        <w:rFonts w:ascii="Wingdings" w:hAnsi="Wingdings" w:hint="default"/>
      </w:rPr>
    </w:lvl>
  </w:abstractNum>
  <w:abstractNum w:abstractNumId="4"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Batang" w:eastAsia="Batang" w:hAnsi="Batang" w:cs="Batang"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5D717E5"/>
    <w:multiLevelType w:val="hybridMultilevel"/>
    <w:tmpl w:val="A7C230CC"/>
    <w:lvl w:ilvl="0" w:tplc="C108EC3C">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910994"/>
    <w:multiLevelType w:val="hybridMultilevel"/>
    <w:tmpl w:val="C7E2A1D6"/>
    <w:lvl w:ilvl="0" w:tplc="D18EF48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AA46647"/>
    <w:multiLevelType w:val="hybridMultilevel"/>
    <w:tmpl w:val="187EE1A6"/>
    <w:lvl w:ilvl="0" w:tplc="28048CE2">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7D450D7"/>
    <w:multiLevelType w:val="hybridMultilevel"/>
    <w:tmpl w:val="D2406AE4"/>
    <w:lvl w:ilvl="0" w:tplc="9E62AD4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5B5580"/>
    <w:multiLevelType w:val="hybridMultilevel"/>
    <w:tmpl w:val="366678C4"/>
    <w:lvl w:ilvl="0" w:tplc="975665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1"/>
  </w:num>
  <w:num w:numId="3">
    <w:abstractNumId w:val="23"/>
  </w:num>
  <w:num w:numId="4">
    <w:abstractNumId w:val="33"/>
  </w:num>
  <w:num w:numId="5">
    <w:abstractNumId w:val="16"/>
  </w:num>
  <w:num w:numId="6">
    <w:abstractNumId w:val="34"/>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0"/>
  </w:num>
  <w:num w:numId="10">
    <w:abstractNumId w:val="35"/>
  </w:num>
  <w:num w:numId="11">
    <w:abstractNumId w:val="4"/>
  </w:num>
  <w:num w:numId="12">
    <w:abstractNumId w:val="8"/>
  </w:num>
  <w:num w:numId="13">
    <w:abstractNumId w:val="10"/>
  </w:num>
  <w:num w:numId="14">
    <w:abstractNumId w:val="26"/>
  </w:num>
  <w:num w:numId="15">
    <w:abstractNumId w:val="5"/>
  </w:num>
  <w:num w:numId="16">
    <w:abstractNumId w:val="31"/>
  </w:num>
  <w:num w:numId="17">
    <w:abstractNumId w:val="12"/>
  </w:num>
  <w:num w:numId="18">
    <w:abstractNumId w:val="12"/>
    <w:lvlOverride w:ilvl="0">
      <w:startOverride w:val="1"/>
    </w:lvlOverride>
  </w:num>
  <w:num w:numId="19">
    <w:abstractNumId w:val="12"/>
    <w:lvlOverride w:ilvl="0">
      <w:startOverride w:val="1"/>
    </w:lvlOverride>
  </w:num>
  <w:num w:numId="20">
    <w:abstractNumId w:val="12"/>
  </w:num>
  <w:num w:numId="21">
    <w:abstractNumId w:val="20"/>
  </w:num>
  <w:num w:numId="22">
    <w:abstractNumId w:val="27"/>
  </w:num>
  <w:num w:numId="23">
    <w:abstractNumId w:val="15"/>
  </w:num>
  <w:num w:numId="24">
    <w:abstractNumId w:val="14"/>
  </w:num>
  <w:num w:numId="25">
    <w:abstractNumId w:val="13"/>
  </w:num>
  <w:num w:numId="26">
    <w:abstractNumId w:val="22"/>
  </w:num>
  <w:num w:numId="27">
    <w:abstractNumId w:val="24"/>
  </w:num>
  <w:num w:numId="28">
    <w:abstractNumId w:val="32"/>
  </w:num>
  <w:num w:numId="29">
    <w:abstractNumId w:val="29"/>
  </w:num>
  <w:num w:numId="30">
    <w:abstractNumId w:val="21"/>
  </w:num>
  <w:num w:numId="31">
    <w:abstractNumId w:val="25"/>
  </w:num>
  <w:num w:numId="32">
    <w:abstractNumId w:val="19"/>
  </w:num>
  <w:num w:numId="33">
    <w:abstractNumId w:val="3"/>
  </w:num>
  <w:num w:numId="34">
    <w:abstractNumId w:val="2"/>
  </w:num>
  <w:num w:numId="35">
    <w:abstractNumId w:val="12"/>
    <w:lvlOverride w:ilvl="0">
      <w:startOverride w:val="1"/>
    </w:lvlOverride>
  </w:num>
  <w:num w:numId="36">
    <w:abstractNumId w:val="20"/>
  </w:num>
  <w:num w:numId="37">
    <w:abstractNumId w:val="28"/>
  </w:num>
  <w:num w:numId="38">
    <w:abstractNumId w:val="12"/>
  </w:num>
  <w:num w:numId="39">
    <w:abstractNumId w:val="12"/>
  </w:num>
  <w:num w:numId="40">
    <w:abstractNumId w:val="12"/>
  </w:num>
  <w:num w:numId="41">
    <w:abstractNumId w:val="12"/>
  </w:num>
  <w:num w:numId="42">
    <w:abstractNumId w:val="12"/>
  </w:num>
  <w:num w:numId="43">
    <w:abstractNumId w:val="12"/>
    <w:lvlOverride w:ilvl="0">
      <w:startOverride w:val="1"/>
    </w:lvlOverride>
  </w:num>
  <w:num w:numId="44">
    <w:abstractNumId w:val="20"/>
  </w:num>
  <w:num w:numId="45">
    <w:abstractNumId w:val="20"/>
  </w:num>
  <w:num w:numId="46">
    <w:abstractNumId w:val="17"/>
  </w:num>
  <w:num w:numId="47">
    <w:abstractNumId w:val="9"/>
  </w:num>
  <w:num w:numId="4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3BA9"/>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5DF"/>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2B4"/>
    <w:rsid w:val="00053633"/>
    <w:rsid w:val="000537BB"/>
    <w:rsid w:val="00053930"/>
    <w:rsid w:val="000541F0"/>
    <w:rsid w:val="000543C0"/>
    <w:rsid w:val="000549BA"/>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4054"/>
    <w:rsid w:val="00065630"/>
    <w:rsid w:val="00065C00"/>
    <w:rsid w:val="0006699D"/>
    <w:rsid w:val="00066CF1"/>
    <w:rsid w:val="00066E15"/>
    <w:rsid w:val="000673BF"/>
    <w:rsid w:val="00070B29"/>
    <w:rsid w:val="00071043"/>
    <w:rsid w:val="0007119C"/>
    <w:rsid w:val="000711D5"/>
    <w:rsid w:val="000719BE"/>
    <w:rsid w:val="00071F1E"/>
    <w:rsid w:val="00071FE0"/>
    <w:rsid w:val="00072086"/>
    <w:rsid w:val="000720DC"/>
    <w:rsid w:val="00072453"/>
    <w:rsid w:val="00072C1F"/>
    <w:rsid w:val="00072CA8"/>
    <w:rsid w:val="00073763"/>
    <w:rsid w:val="00073B35"/>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AE3"/>
    <w:rsid w:val="00092E0B"/>
    <w:rsid w:val="00092F16"/>
    <w:rsid w:val="00093355"/>
    <w:rsid w:val="000934B6"/>
    <w:rsid w:val="00093E45"/>
    <w:rsid w:val="000942AD"/>
    <w:rsid w:val="0009443F"/>
    <w:rsid w:val="000948FB"/>
    <w:rsid w:val="00094B22"/>
    <w:rsid w:val="00095800"/>
    <w:rsid w:val="00095991"/>
    <w:rsid w:val="00096163"/>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3CBE"/>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8E4"/>
    <w:rsid w:val="000C6B7A"/>
    <w:rsid w:val="000C7440"/>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6EDD"/>
    <w:rsid w:val="000D732C"/>
    <w:rsid w:val="000D758A"/>
    <w:rsid w:val="000D7696"/>
    <w:rsid w:val="000D77B5"/>
    <w:rsid w:val="000D79BD"/>
    <w:rsid w:val="000D7BBA"/>
    <w:rsid w:val="000D7EDF"/>
    <w:rsid w:val="000E09F0"/>
    <w:rsid w:val="000E1471"/>
    <w:rsid w:val="000E1714"/>
    <w:rsid w:val="000E1AF3"/>
    <w:rsid w:val="000E2201"/>
    <w:rsid w:val="000E273C"/>
    <w:rsid w:val="000E34D6"/>
    <w:rsid w:val="000E4098"/>
    <w:rsid w:val="000E443C"/>
    <w:rsid w:val="000E44A6"/>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3C34"/>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4CA"/>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4773"/>
    <w:rsid w:val="00154AC1"/>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B6E"/>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8D"/>
    <w:rsid w:val="001952EA"/>
    <w:rsid w:val="00195B95"/>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7D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4E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232"/>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962"/>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1CA"/>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6FB"/>
    <w:rsid w:val="0025688C"/>
    <w:rsid w:val="0025697E"/>
    <w:rsid w:val="0025714B"/>
    <w:rsid w:val="002571A0"/>
    <w:rsid w:val="002572BB"/>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5FF8"/>
    <w:rsid w:val="002665C7"/>
    <w:rsid w:val="00266887"/>
    <w:rsid w:val="00266890"/>
    <w:rsid w:val="00266901"/>
    <w:rsid w:val="00266985"/>
    <w:rsid w:val="002669E5"/>
    <w:rsid w:val="00266A3B"/>
    <w:rsid w:val="00266A6D"/>
    <w:rsid w:val="00266C95"/>
    <w:rsid w:val="00267495"/>
    <w:rsid w:val="002679C3"/>
    <w:rsid w:val="0027020B"/>
    <w:rsid w:val="00270425"/>
    <w:rsid w:val="0027050B"/>
    <w:rsid w:val="00270568"/>
    <w:rsid w:val="0027067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F4F"/>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781"/>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0B8"/>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C7CBE"/>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88"/>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0B59"/>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0DA2"/>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383"/>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468B"/>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4E5"/>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5956"/>
    <w:rsid w:val="003765D7"/>
    <w:rsid w:val="0037679F"/>
    <w:rsid w:val="003769B6"/>
    <w:rsid w:val="00376CA1"/>
    <w:rsid w:val="003773A4"/>
    <w:rsid w:val="00377D5D"/>
    <w:rsid w:val="00377FD4"/>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1F82"/>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440"/>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6D9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58E"/>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27FAC"/>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6D"/>
    <w:rsid w:val="004A43B9"/>
    <w:rsid w:val="004A4659"/>
    <w:rsid w:val="004A465A"/>
    <w:rsid w:val="004A4830"/>
    <w:rsid w:val="004A4968"/>
    <w:rsid w:val="004A4F89"/>
    <w:rsid w:val="004A50EA"/>
    <w:rsid w:val="004A5267"/>
    <w:rsid w:val="004A5660"/>
    <w:rsid w:val="004A574A"/>
    <w:rsid w:val="004A577B"/>
    <w:rsid w:val="004A57B5"/>
    <w:rsid w:val="004A5A2F"/>
    <w:rsid w:val="004A5B0A"/>
    <w:rsid w:val="004A6A0D"/>
    <w:rsid w:val="004A6E8A"/>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6D4D"/>
    <w:rsid w:val="004C77F5"/>
    <w:rsid w:val="004C7C7E"/>
    <w:rsid w:val="004C7D14"/>
    <w:rsid w:val="004D026D"/>
    <w:rsid w:val="004D052C"/>
    <w:rsid w:val="004D0C38"/>
    <w:rsid w:val="004D108A"/>
    <w:rsid w:val="004D159C"/>
    <w:rsid w:val="004D193F"/>
    <w:rsid w:val="004D1EEB"/>
    <w:rsid w:val="004D2D51"/>
    <w:rsid w:val="004D377E"/>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23C3"/>
    <w:rsid w:val="004E3B40"/>
    <w:rsid w:val="004E3EC0"/>
    <w:rsid w:val="004E409D"/>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4AE"/>
    <w:rsid w:val="00503668"/>
    <w:rsid w:val="0050367A"/>
    <w:rsid w:val="00503993"/>
    <w:rsid w:val="00503A68"/>
    <w:rsid w:val="00503F9D"/>
    <w:rsid w:val="00504021"/>
    <w:rsid w:val="00505255"/>
    <w:rsid w:val="00505283"/>
    <w:rsid w:val="005054A7"/>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3C"/>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ADE"/>
    <w:rsid w:val="00534DBA"/>
    <w:rsid w:val="00534DF6"/>
    <w:rsid w:val="00535E8C"/>
    <w:rsid w:val="005368BF"/>
    <w:rsid w:val="00536B11"/>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59CB"/>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5DE"/>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439"/>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55"/>
    <w:rsid w:val="005E26D7"/>
    <w:rsid w:val="005E28AF"/>
    <w:rsid w:val="005E2E25"/>
    <w:rsid w:val="005E34DC"/>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061"/>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1832"/>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17ED9"/>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19D"/>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B53"/>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5F0"/>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DA1"/>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43FC"/>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BF7"/>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F50"/>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27ED3"/>
    <w:rsid w:val="007300A2"/>
    <w:rsid w:val="00730402"/>
    <w:rsid w:val="0073065F"/>
    <w:rsid w:val="00730AC8"/>
    <w:rsid w:val="00730C7C"/>
    <w:rsid w:val="007316B8"/>
    <w:rsid w:val="00731AAF"/>
    <w:rsid w:val="00731D5E"/>
    <w:rsid w:val="00731E27"/>
    <w:rsid w:val="00732453"/>
    <w:rsid w:val="007326FC"/>
    <w:rsid w:val="00732829"/>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BB"/>
    <w:rsid w:val="00742F13"/>
    <w:rsid w:val="0074401D"/>
    <w:rsid w:val="00744B93"/>
    <w:rsid w:val="00745A9F"/>
    <w:rsid w:val="00745BCD"/>
    <w:rsid w:val="00745DED"/>
    <w:rsid w:val="00746503"/>
    <w:rsid w:val="00746D48"/>
    <w:rsid w:val="0074762D"/>
    <w:rsid w:val="0075016A"/>
    <w:rsid w:val="00750E72"/>
    <w:rsid w:val="0075100B"/>
    <w:rsid w:val="00752344"/>
    <w:rsid w:val="00753938"/>
    <w:rsid w:val="00753A41"/>
    <w:rsid w:val="00753E6F"/>
    <w:rsid w:val="00753E93"/>
    <w:rsid w:val="007549E6"/>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2"/>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D5E"/>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8F9"/>
    <w:rsid w:val="007859A3"/>
    <w:rsid w:val="00786A58"/>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4F23"/>
    <w:rsid w:val="00795362"/>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605"/>
    <w:rsid w:val="007A58FB"/>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18"/>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31"/>
    <w:rsid w:val="00803CC8"/>
    <w:rsid w:val="00804239"/>
    <w:rsid w:val="0080482F"/>
    <w:rsid w:val="0080538D"/>
    <w:rsid w:val="00806325"/>
    <w:rsid w:val="0080641A"/>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03F"/>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5E67"/>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3AF2"/>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E6F"/>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2E25"/>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3D8"/>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157"/>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57CBD"/>
    <w:rsid w:val="00961446"/>
    <w:rsid w:val="00961F44"/>
    <w:rsid w:val="0096225A"/>
    <w:rsid w:val="00963AD4"/>
    <w:rsid w:val="00963BBC"/>
    <w:rsid w:val="00964255"/>
    <w:rsid w:val="0096481B"/>
    <w:rsid w:val="00964A24"/>
    <w:rsid w:val="009651A6"/>
    <w:rsid w:val="00965C63"/>
    <w:rsid w:val="00965CDB"/>
    <w:rsid w:val="009666A8"/>
    <w:rsid w:val="0096711C"/>
    <w:rsid w:val="00967223"/>
    <w:rsid w:val="009673DC"/>
    <w:rsid w:val="009674C6"/>
    <w:rsid w:val="00967881"/>
    <w:rsid w:val="00967D6D"/>
    <w:rsid w:val="00967F06"/>
    <w:rsid w:val="0097040D"/>
    <w:rsid w:val="00970A51"/>
    <w:rsid w:val="00970AEC"/>
    <w:rsid w:val="009714A9"/>
    <w:rsid w:val="00971507"/>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1D2D"/>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506"/>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0D96"/>
    <w:rsid w:val="00A01443"/>
    <w:rsid w:val="00A01472"/>
    <w:rsid w:val="00A01A1D"/>
    <w:rsid w:val="00A024D3"/>
    <w:rsid w:val="00A02A6B"/>
    <w:rsid w:val="00A02D0F"/>
    <w:rsid w:val="00A03089"/>
    <w:rsid w:val="00A03BDB"/>
    <w:rsid w:val="00A04117"/>
    <w:rsid w:val="00A04FCB"/>
    <w:rsid w:val="00A050E5"/>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9D5"/>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B42"/>
    <w:rsid w:val="00A43D8E"/>
    <w:rsid w:val="00A44099"/>
    <w:rsid w:val="00A444FB"/>
    <w:rsid w:val="00A44697"/>
    <w:rsid w:val="00A44DF1"/>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0B"/>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77C"/>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EEB"/>
    <w:rsid w:val="00A741C2"/>
    <w:rsid w:val="00A7437D"/>
    <w:rsid w:val="00A74895"/>
    <w:rsid w:val="00A749A7"/>
    <w:rsid w:val="00A749F8"/>
    <w:rsid w:val="00A75202"/>
    <w:rsid w:val="00A7598B"/>
    <w:rsid w:val="00A76907"/>
    <w:rsid w:val="00A7698F"/>
    <w:rsid w:val="00A77383"/>
    <w:rsid w:val="00A77710"/>
    <w:rsid w:val="00A778BB"/>
    <w:rsid w:val="00A77F81"/>
    <w:rsid w:val="00A80409"/>
    <w:rsid w:val="00A80BBA"/>
    <w:rsid w:val="00A81017"/>
    <w:rsid w:val="00A8148E"/>
    <w:rsid w:val="00A814C5"/>
    <w:rsid w:val="00A81908"/>
    <w:rsid w:val="00A81958"/>
    <w:rsid w:val="00A81B80"/>
    <w:rsid w:val="00A81B88"/>
    <w:rsid w:val="00A81E8C"/>
    <w:rsid w:val="00A81FB8"/>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96D"/>
    <w:rsid w:val="00AA2A7A"/>
    <w:rsid w:val="00AA3CDA"/>
    <w:rsid w:val="00AA3D32"/>
    <w:rsid w:val="00AA3FC0"/>
    <w:rsid w:val="00AA3FC3"/>
    <w:rsid w:val="00AA431D"/>
    <w:rsid w:val="00AA4330"/>
    <w:rsid w:val="00AA44DA"/>
    <w:rsid w:val="00AA46F1"/>
    <w:rsid w:val="00AA5FCD"/>
    <w:rsid w:val="00AA6041"/>
    <w:rsid w:val="00AA649D"/>
    <w:rsid w:val="00AA6808"/>
    <w:rsid w:val="00AA6D76"/>
    <w:rsid w:val="00AA729C"/>
    <w:rsid w:val="00AA729F"/>
    <w:rsid w:val="00AA74CE"/>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0EBC"/>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882"/>
    <w:rsid w:val="00AD058B"/>
    <w:rsid w:val="00AD0ADD"/>
    <w:rsid w:val="00AD0FDB"/>
    <w:rsid w:val="00AD1289"/>
    <w:rsid w:val="00AD1DB3"/>
    <w:rsid w:val="00AD1FD6"/>
    <w:rsid w:val="00AD20B9"/>
    <w:rsid w:val="00AD252D"/>
    <w:rsid w:val="00AD2C32"/>
    <w:rsid w:val="00AD34DF"/>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893"/>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3D8"/>
    <w:rsid w:val="00B936C9"/>
    <w:rsid w:val="00B93CE1"/>
    <w:rsid w:val="00B93E09"/>
    <w:rsid w:val="00B93E60"/>
    <w:rsid w:val="00B93EE0"/>
    <w:rsid w:val="00B9405C"/>
    <w:rsid w:val="00B9484E"/>
    <w:rsid w:val="00B94BD3"/>
    <w:rsid w:val="00B951CF"/>
    <w:rsid w:val="00B95AA0"/>
    <w:rsid w:val="00B9621F"/>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4CAE"/>
    <w:rsid w:val="00BA51BD"/>
    <w:rsid w:val="00BA586E"/>
    <w:rsid w:val="00BA5A0C"/>
    <w:rsid w:val="00BA5CB0"/>
    <w:rsid w:val="00BA6394"/>
    <w:rsid w:val="00BA6811"/>
    <w:rsid w:val="00BA6BAD"/>
    <w:rsid w:val="00BA7309"/>
    <w:rsid w:val="00BA7AEC"/>
    <w:rsid w:val="00BB01E0"/>
    <w:rsid w:val="00BB0244"/>
    <w:rsid w:val="00BB0448"/>
    <w:rsid w:val="00BB0750"/>
    <w:rsid w:val="00BB096F"/>
    <w:rsid w:val="00BB0D4E"/>
    <w:rsid w:val="00BB10D0"/>
    <w:rsid w:val="00BB10D3"/>
    <w:rsid w:val="00BB18D4"/>
    <w:rsid w:val="00BB18F3"/>
    <w:rsid w:val="00BB1DD0"/>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96"/>
    <w:rsid w:val="00BF3BB8"/>
    <w:rsid w:val="00BF51B0"/>
    <w:rsid w:val="00BF5C32"/>
    <w:rsid w:val="00BF5C43"/>
    <w:rsid w:val="00BF7C3F"/>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ED5"/>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650"/>
    <w:rsid w:val="00C53A38"/>
    <w:rsid w:val="00C53A87"/>
    <w:rsid w:val="00C53E87"/>
    <w:rsid w:val="00C543CC"/>
    <w:rsid w:val="00C544BF"/>
    <w:rsid w:val="00C54940"/>
    <w:rsid w:val="00C549ED"/>
    <w:rsid w:val="00C54B71"/>
    <w:rsid w:val="00C54F88"/>
    <w:rsid w:val="00C551A9"/>
    <w:rsid w:val="00C55414"/>
    <w:rsid w:val="00C5576A"/>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222"/>
    <w:rsid w:val="00C62546"/>
    <w:rsid w:val="00C625F5"/>
    <w:rsid w:val="00C626A9"/>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CFE"/>
    <w:rsid w:val="00C73F34"/>
    <w:rsid w:val="00C75058"/>
    <w:rsid w:val="00C753CF"/>
    <w:rsid w:val="00C756E5"/>
    <w:rsid w:val="00C75B14"/>
    <w:rsid w:val="00C75CAA"/>
    <w:rsid w:val="00C75D9A"/>
    <w:rsid w:val="00C76625"/>
    <w:rsid w:val="00C777BC"/>
    <w:rsid w:val="00C77F62"/>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57"/>
    <w:rsid w:val="00C877FD"/>
    <w:rsid w:val="00C87A0B"/>
    <w:rsid w:val="00C87AB9"/>
    <w:rsid w:val="00C87C14"/>
    <w:rsid w:val="00C87E29"/>
    <w:rsid w:val="00C905D0"/>
    <w:rsid w:val="00C90919"/>
    <w:rsid w:val="00C90C21"/>
    <w:rsid w:val="00C90E86"/>
    <w:rsid w:val="00C90EAD"/>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7"/>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657"/>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A18"/>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8DE"/>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6D9E"/>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927"/>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2EA"/>
    <w:rsid w:val="00D71344"/>
    <w:rsid w:val="00D71424"/>
    <w:rsid w:val="00D714E7"/>
    <w:rsid w:val="00D71842"/>
    <w:rsid w:val="00D71C6F"/>
    <w:rsid w:val="00D725AF"/>
    <w:rsid w:val="00D72B03"/>
    <w:rsid w:val="00D72E1A"/>
    <w:rsid w:val="00D73057"/>
    <w:rsid w:val="00D733D4"/>
    <w:rsid w:val="00D734E4"/>
    <w:rsid w:val="00D7368C"/>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475"/>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34A"/>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76C"/>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1D51"/>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4DDC"/>
    <w:rsid w:val="00E2520C"/>
    <w:rsid w:val="00E25A10"/>
    <w:rsid w:val="00E25BE7"/>
    <w:rsid w:val="00E25D40"/>
    <w:rsid w:val="00E25D9E"/>
    <w:rsid w:val="00E26079"/>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5B8"/>
    <w:rsid w:val="00E31A13"/>
    <w:rsid w:val="00E31EEB"/>
    <w:rsid w:val="00E32430"/>
    <w:rsid w:val="00E3341B"/>
    <w:rsid w:val="00E3384C"/>
    <w:rsid w:val="00E33A02"/>
    <w:rsid w:val="00E34463"/>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3732"/>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4D9F"/>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165"/>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383"/>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585"/>
    <w:rsid w:val="00EA2847"/>
    <w:rsid w:val="00EA3214"/>
    <w:rsid w:val="00EA3381"/>
    <w:rsid w:val="00EA39E8"/>
    <w:rsid w:val="00EA4766"/>
    <w:rsid w:val="00EA49AE"/>
    <w:rsid w:val="00EA4A8A"/>
    <w:rsid w:val="00EA4B34"/>
    <w:rsid w:val="00EA4EC0"/>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097"/>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9C0"/>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263"/>
    <w:rsid w:val="00F43884"/>
    <w:rsid w:val="00F43966"/>
    <w:rsid w:val="00F439FA"/>
    <w:rsid w:val="00F43A04"/>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24D"/>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1D2B"/>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03F"/>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제목 1(no line) (文字),H1 (文字),h1 (文字),app heading 1 (文字),l1 (文字),Memo Heading 1 (文字),h11 (文字),h12 (文字),h13 (文字),h14 (文字),h15 (文字),h16 (文字),Heading 1_a (文字),heading 1 (文字),h17 (文字),h111 (文字),h121 (文字),h131 (文字),h141 (文字),h151 (文字),h161 (文字)"/>
    <w:link w:val="1"/>
    <w:rsid w:val="002958FD"/>
    <w:rPr>
      <w:rFonts w:ascii="Arial" w:hAnsi="Arial"/>
      <w:sz w:val="32"/>
      <w:szCs w:val="32"/>
      <w:lang w:val="en-GB"/>
    </w:rPr>
  </w:style>
  <w:style w:type="character" w:customStyle="1" w:styleId="20">
    <w:name w:val="見出し 2 (文字)"/>
    <w:aliases w:val="Head2A (文字),2 (文字),H2 (文字),h2 (文字),UNDERRUBRIK 1-2 (文字)"/>
    <w:link w:val="2"/>
    <w:uiPriority w:val="9"/>
    <w:rsid w:val="002958FD"/>
    <w:rPr>
      <w:rFonts w:ascii="Arial" w:hAnsi="Arial"/>
      <w:sz w:val="24"/>
      <w:szCs w:val="32"/>
      <w:lang w:val="en-GB"/>
    </w:rPr>
  </w:style>
  <w:style w:type="character" w:customStyle="1" w:styleId="40">
    <w:name w:val="見出し 4 (文字)"/>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a5">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出段落,列表段落,列"/>
    <w:basedOn w:val="a"/>
    <w:link w:val="a6"/>
    <w:uiPriority w:val="34"/>
    <w:qFormat/>
    <w:rsid w:val="0072162A"/>
    <w:pPr>
      <w:ind w:leftChars="400" w:left="800"/>
    </w:pPr>
  </w:style>
  <w:style w:type="character" w:customStyle="1" w:styleId="30">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コメント文字列 (文字)"/>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コメント内容 (文字)"/>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フッター (文字)"/>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ＭＳ 明朝"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ＭＳ 明朝"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ＭＳ 明朝" w:cs="Batang"/>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見出しマップ (文字)"/>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E79D7"/>
    <w:rPr>
      <w:rFonts w:ascii="Arial" w:eastAsia="ＭＳ 明朝"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リスト段落 (文字)"/>
    <w:aliases w:val="- Bullets (文字),?? ?? (文字),????? (文字),???? (文字),Lista1 (文字),列出段落1 (文字),中等深浅网格 1 - 着色 21 (文字),列表段落1 (文字),—ño’i—Ž (文字),¥¡¡¡¡ì¬º¥¹¥È¶ÎÂä (文字),ÁÐ³ö¶ÎÂä (文字),¥ê¥¹¥È¶ÎÂä (文字),1st level - Bullet List Paragraph (文字),Lettre d'introduction (文字),列 (文字)"/>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ＭＳ 明朝"/>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図表番号 (文字)"/>
    <w:aliases w:val="cap (文字),cap Char (文字),Caption Char1 Char (文字),cap Char Char1 (文字),Caption Char Char1 Char (文字),cap Char2 (文字),Caption Char2 (文字),Caption Char Char Char (文字),Caption Char Char1 (文字),fig and tbl (文字),fighead2 (文字),Table Caption (文字)"/>
    <w:link w:val="aa"/>
    <w:rsid w:val="00510D77"/>
    <w:rPr>
      <w:rFonts w:eastAsia="Malgun Gothic"/>
      <w:b/>
      <w:bCs/>
      <w:lang w:val="en-GB"/>
    </w:rPr>
  </w:style>
  <w:style w:type="character" w:styleId="afc">
    <w:name w:val="Hyperlink"/>
    <w:uiPriority w:val="99"/>
    <w:unhideWhenUsed/>
    <w:qFormat/>
    <w:rsid w:val="006A6F6C"/>
    <w:rPr>
      <w:color w:val="0000FF"/>
      <w:u w:val="single"/>
    </w:rPr>
  </w:style>
  <w:style w:type="character" w:styleId="afd">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e">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ＭＳ 明朝"/>
      <w:lang w:val="en-US" w:eastAsia="en-GB"/>
    </w:rPr>
  </w:style>
  <w:style w:type="character" w:customStyle="1" w:styleId="a8">
    <w:name w:val="吹き出し (文字)"/>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ＭＳ 明朝"/>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見出し 5 (文字)"/>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見出し 6 (文字)"/>
    <w:basedOn w:val="a0"/>
    <w:link w:val="6"/>
    <w:uiPriority w:val="9"/>
    <w:semiHidden/>
    <w:rsid w:val="00E001B9"/>
    <w:rPr>
      <w:rFonts w:ascii="Calibri" w:eastAsia="Malgun Gothic" w:hAnsi="Calibri"/>
      <w:b/>
      <w:bCs/>
      <w:sz w:val="22"/>
      <w:szCs w:val="22"/>
      <w:lang w:val="x-none"/>
    </w:rPr>
  </w:style>
  <w:style w:type="character" w:customStyle="1" w:styleId="70">
    <w:name w:val="見出し 7 (文字)"/>
    <w:basedOn w:val="a0"/>
    <w:link w:val="7"/>
    <w:uiPriority w:val="9"/>
    <w:semiHidden/>
    <w:rsid w:val="00E001B9"/>
    <w:rPr>
      <w:rFonts w:ascii="Calibri" w:eastAsia="Malgun Gothic" w:hAnsi="Calibri"/>
      <w:sz w:val="24"/>
      <w:szCs w:val="24"/>
      <w:lang w:val="x-none"/>
    </w:rPr>
  </w:style>
  <w:style w:type="character" w:customStyle="1" w:styleId="80">
    <w:name w:val="見出し 8 (文字)"/>
    <w:basedOn w:val="a0"/>
    <w:link w:val="8"/>
    <w:uiPriority w:val="9"/>
    <w:semiHidden/>
    <w:rsid w:val="00E001B9"/>
    <w:rPr>
      <w:rFonts w:ascii="Calibri" w:eastAsia="Malgun Gothic" w:hAnsi="Calibri"/>
      <w:i/>
      <w:iCs/>
      <w:sz w:val="24"/>
      <w:szCs w:val="24"/>
      <w:lang w:val="x-none"/>
    </w:rPr>
  </w:style>
  <w:style w:type="character" w:customStyle="1" w:styleId="90">
    <w:name w:val="見出し 9 (文字)"/>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ＭＳ 明朝"/>
      <w:sz w:val="24"/>
      <w:lang w:val="en-US" w:eastAsia="x-none"/>
    </w:rPr>
  </w:style>
  <w:style w:type="character" w:styleId="aff">
    <w:name w:val="Strong"/>
    <w:basedOn w:val="a0"/>
    <w:qFormat/>
    <w:rsid w:val="0000512D"/>
    <w:rPr>
      <w:b/>
      <w:bCs/>
    </w:rPr>
  </w:style>
  <w:style w:type="paragraph" w:styleId="aff0">
    <w:name w:val="Subtitle"/>
    <w:basedOn w:val="a"/>
    <w:next w:val="a"/>
    <w:link w:val="aff1"/>
    <w:qFormat/>
    <w:rsid w:val="0000512D"/>
    <w:pPr>
      <w:spacing w:after="60"/>
      <w:jc w:val="center"/>
      <w:outlineLvl w:val="1"/>
    </w:pPr>
    <w:rPr>
      <w:rFonts w:asciiTheme="minorHAnsi" w:eastAsiaTheme="minorEastAsia" w:hAnsiTheme="minorHAnsi" w:cstheme="minorBidi"/>
      <w:sz w:val="24"/>
      <w:szCs w:val="24"/>
    </w:rPr>
  </w:style>
  <w:style w:type="character" w:customStyle="1" w:styleId="aff1">
    <w:name w:val="副題 (文字)"/>
    <w:basedOn w:val="a0"/>
    <w:link w:val="aff0"/>
    <w:rsid w:val="0000512D"/>
    <w:rPr>
      <w:rFonts w:asciiTheme="minorHAnsi" w:eastAsiaTheme="minorEastAsia" w:hAnsiTheme="minorHAnsi" w:cstheme="minorBidi"/>
      <w:sz w:val="24"/>
      <w:szCs w:val="24"/>
      <w:lang w:val="en-GB"/>
    </w:rPr>
  </w:style>
  <w:style w:type="paragraph" w:styleId="aff2">
    <w:name w:val="Title"/>
    <w:basedOn w:val="a"/>
    <w:next w:val="a"/>
    <w:link w:val="aff3"/>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3">
    <w:name w:val="表題 (文字)"/>
    <w:basedOn w:val="a0"/>
    <w:link w:val="aff2"/>
    <w:rsid w:val="0000512D"/>
    <w:rPr>
      <w:rFonts w:asciiTheme="majorHAnsi" w:eastAsiaTheme="majorEastAsia" w:hAnsiTheme="majorHAnsi" w:cstheme="majorBidi"/>
      <w:b/>
      <w:bCs/>
      <w:sz w:val="32"/>
      <w:szCs w:val="32"/>
      <w:lang w:val="en-GB"/>
    </w:rPr>
  </w:style>
  <w:style w:type="paragraph" w:styleId="aff4">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f5"/>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f5">
    <w:name w:val="endnote text"/>
    <w:basedOn w:val="a"/>
    <w:link w:val="aff6"/>
    <w:semiHidden/>
    <w:unhideWhenUsed/>
    <w:rsid w:val="007B383A"/>
    <w:pPr>
      <w:snapToGrid w:val="0"/>
    </w:pPr>
  </w:style>
  <w:style w:type="character" w:customStyle="1" w:styleId="aff6">
    <w:name w:val="文末脚注文字列 (文字)"/>
    <w:basedOn w:val="a0"/>
    <w:link w:val="aff5"/>
    <w:semiHidden/>
    <w:rsid w:val="007B383A"/>
    <w:rPr>
      <w:rFonts w:eastAsia="Malgun Gothic"/>
      <w:lang w:val="en-GB"/>
    </w:rPr>
  </w:style>
  <w:style w:type="character" w:styleId="aff7">
    <w:name w:val="endnote reference"/>
    <w:basedOn w:val="a0"/>
    <w:semiHidden/>
    <w:unhideWhenUsed/>
    <w:rsid w:val="007B383A"/>
    <w:rPr>
      <w:vertAlign w:val="superscript"/>
    </w:rPr>
  </w:style>
  <w:style w:type="paragraph" w:styleId="aff8">
    <w:name w:val="footnote text"/>
    <w:basedOn w:val="a"/>
    <w:link w:val="aff9"/>
    <w:semiHidden/>
    <w:unhideWhenUsed/>
    <w:rsid w:val="007B383A"/>
    <w:pPr>
      <w:snapToGrid w:val="0"/>
    </w:pPr>
  </w:style>
  <w:style w:type="character" w:customStyle="1" w:styleId="aff9">
    <w:name w:val="脚注文字列 (文字)"/>
    <w:basedOn w:val="a0"/>
    <w:link w:val="aff8"/>
    <w:semiHidden/>
    <w:rsid w:val="007B383A"/>
    <w:rPr>
      <w:rFonts w:eastAsia="Malgun Gothic"/>
      <w:lang w:val="en-GB"/>
    </w:rPr>
  </w:style>
  <w:style w:type="character" w:styleId="affa">
    <w:name w:val="footnote reference"/>
    <w:basedOn w:val="a0"/>
    <w:semiHidden/>
    <w:unhideWhenUsed/>
    <w:rsid w:val="007B383A"/>
    <w:rPr>
      <w:vertAlign w:val="superscript"/>
    </w:rPr>
  </w:style>
  <w:style w:type="paragraph" w:customStyle="1" w:styleId="Proposal">
    <w:name w:val="Proposal"/>
    <w:basedOn w:val="af5"/>
    <w:qFormat/>
    <w:rsid w:val="00452FE8"/>
    <w:p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f5"/>
    <w:rsid w:val="00F7580E"/>
    <w:pPr>
      <w:numPr>
        <w:numId w:val="21"/>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20729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393010">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3791409">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01328519">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132854">
      <w:bodyDiv w:val="1"/>
      <w:marLeft w:val="0"/>
      <w:marRight w:val="0"/>
      <w:marTop w:val="0"/>
      <w:marBottom w:val="0"/>
      <w:divBdr>
        <w:top w:val="none" w:sz="0" w:space="0" w:color="auto"/>
        <w:left w:val="none" w:sz="0" w:space="0" w:color="auto"/>
        <w:bottom w:val="none" w:sz="0" w:space="0" w:color="auto"/>
        <w:right w:val="none" w:sz="0" w:space="0" w:color="auto"/>
      </w:divBdr>
      <w:divsChild>
        <w:div w:id="1615554937">
          <w:marLeft w:val="446"/>
          <w:marRight w:val="0"/>
          <w:marTop w:val="0"/>
          <w:marBottom w:val="0"/>
          <w:divBdr>
            <w:top w:val="none" w:sz="0" w:space="0" w:color="auto"/>
            <w:left w:val="none" w:sz="0" w:space="0" w:color="auto"/>
            <w:bottom w:val="none" w:sz="0" w:space="0" w:color="auto"/>
            <w:right w:val="none" w:sz="0" w:space="0" w:color="auto"/>
          </w:divBdr>
        </w:div>
        <w:div w:id="440682290">
          <w:marLeft w:val="446"/>
          <w:marRight w:val="0"/>
          <w:marTop w:val="0"/>
          <w:marBottom w:val="0"/>
          <w:divBdr>
            <w:top w:val="none" w:sz="0" w:space="0" w:color="auto"/>
            <w:left w:val="none" w:sz="0" w:space="0" w:color="auto"/>
            <w:bottom w:val="none" w:sz="0" w:space="0" w:color="auto"/>
            <w:right w:val="none" w:sz="0" w:space="0" w:color="auto"/>
          </w:divBdr>
        </w:div>
        <w:div w:id="103615569">
          <w:marLeft w:val="446"/>
          <w:marRight w:val="0"/>
          <w:marTop w:val="0"/>
          <w:marBottom w:val="0"/>
          <w:divBdr>
            <w:top w:val="none" w:sz="0" w:space="0" w:color="auto"/>
            <w:left w:val="none" w:sz="0" w:space="0" w:color="auto"/>
            <w:bottom w:val="none" w:sz="0" w:space="0" w:color="auto"/>
            <w:right w:val="none" w:sz="0" w:space="0" w:color="auto"/>
          </w:divBdr>
        </w:div>
      </w:divsChild>
    </w:div>
    <w:div w:id="235359810">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0615548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3769409">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31383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267794">
      <w:bodyDiv w:val="1"/>
      <w:marLeft w:val="0"/>
      <w:marRight w:val="0"/>
      <w:marTop w:val="0"/>
      <w:marBottom w:val="0"/>
      <w:divBdr>
        <w:top w:val="none" w:sz="0" w:space="0" w:color="auto"/>
        <w:left w:val="none" w:sz="0" w:space="0" w:color="auto"/>
        <w:bottom w:val="none" w:sz="0" w:space="0" w:color="auto"/>
        <w:right w:val="none" w:sz="0" w:space="0" w:color="auto"/>
      </w:divBdr>
    </w:div>
    <w:div w:id="90028761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216318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163799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3080627">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95167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462303">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33918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4477706">
      <w:bodyDiv w:val="1"/>
      <w:marLeft w:val="0"/>
      <w:marRight w:val="0"/>
      <w:marTop w:val="0"/>
      <w:marBottom w:val="0"/>
      <w:divBdr>
        <w:top w:val="none" w:sz="0" w:space="0" w:color="auto"/>
        <w:left w:val="none" w:sz="0" w:space="0" w:color="auto"/>
        <w:bottom w:val="none" w:sz="0" w:space="0" w:color="auto"/>
        <w:right w:val="none" w:sz="0" w:space="0" w:color="auto"/>
      </w:divBdr>
      <w:divsChild>
        <w:div w:id="1181505042">
          <w:marLeft w:val="288"/>
          <w:marRight w:val="0"/>
          <w:marTop w:val="0"/>
          <w:marBottom w:val="0"/>
          <w:divBdr>
            <w:top w:val="none" w:sz="0" w:space="0" w:color="auto"/>
            <w:left w:val="none" w:sz="0" w:space="0" w:color="auto"/>
            <w:bottom w:val="none" w:sz="0" w:space="0" w:color="auto"/>
            <w:right w:val="none" w:sz="0" w:space="0" w:color="auto"/>
          </w:divBdr>
        </w:div>
        <w:div w:id="1132018203">
          <w:marLeft w:val="288"/>
          <w:marRight w:val="0"/>
          <w:marTop w:val="0"/>
          <w:marBottom w:val="0"/>
          <w:divBdr>
            <w:top w:val="none" w:sz="0" w:space="0" w:color="auto"/>
            <w:left w:val="none" w:sz="0" w:space="0" w:color="auto"/>
            <w:bottom w:val="none" w:sz="0" w:space="0" w:color="auto"/>
            <w:right w:val="none" w:sz="0" w:space="0" w:color="auto"/>
          </w:divBdr>
        </w:div>
        <w:div w:id="346256565">
          <w:marLeft w:val="1008"/>
          <w:marRight w:val="0"/>
          <w:marTop w:val="0"/>
          <w:marBottom w:val="0"/>
          <w:divBdr>
            <w:top w:val="none" w:sz="0" w:space="0" w:color="auto"/>
            <w:left w:val="none" w:sz="0" w:space="0" w:color="auto"/>
            <w:bottom w:val="none" w:sz="0" w:space="0" w:color="auto"/>
            <w:right w:val="none" w:sz="0" w:space="0" w:color="auto"/>
          </w:divBdr>
        </w:div>
        <w:div w:id="2106612635">
          <w:marLeft w:val="1008"/>
          <w:marRight w:val="0"/>
          <w:marTop w:val="0"/>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1722</Words>
  <Characters>9817</Characters>
  <Application>Microsoft Office Word</Application>
  <DocSecurity>0</DocSecurity>
  <Lines>81</Lines>
  <Paragraphs>23</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2023-02-12T12:07:00Z</dcterms:created>
  <dcterms:modified xsi:type="dcterms:W3CDTF">2023-02-17T11:55:00Z</dcterms:modified>
</cp:coreProperties>
</file>