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A06ECAB" w:rsidR="009861B8" w:rsidRPr="004F69A7" w:rsidRDefault="00991A6F"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#11</w:t>
      </w:r>
      <w:r>
        <w:rPr>
          <w:rFonts w:ascii="Arial" w:eastAsiaTheme="minorEastAsia" w:hAnsi="Arial" w:cs="Arial" w:hint="eastAsia"/>
          <w:b/>
          <w:bCs/>
          <w:sz w:val="28"/>
          <w:szCs w:val="24"/>
        </w:rPr>
        <w:t>2</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Pr>
          <w:rFonts w:ascii="Arial" w:eastAsiaTheme="minorEastAsia" w:hAnsi="Arial" w:cs="Arial"/>
          <w:b/>
          <w:bCs/>
          <w:sz w:val="28"/>
          <w:szCs w:val="24"/>
        </w:rPr>
        <w:t>3</w:t>
      </w:r>
      <w:r w:rsidR="00B457BE">
        <w:rPr>
          <w:rFonts w:ascii="Arial" w:eastAsiaTheme="minorEastAsia" w:hAnsi="Arial" w:cs="Arial"/>
          <w:b/>
          <w:bCs/>
          <w:sz w:val="28"/>
          <w:szCs w:val="24"/>
        </w:rPr>
        <w:t>01461</w:t>
      </w:r>
      <w:bookmarkStart w:id="0" w:name="_GoBack"/>
      <w:bookmarkEnd w:id="0"/>
    </w:p>
    <w:p w14:paraId="6B61DD95" w14:textId="3E75F240" w:rsidR="009861B8" w:rsidRPr="009861B8" w:rsidRDefault="00991A6F"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91A6F">
        <w:rPr>
          <w:rFonts w:ascii="Arial" w:eastAsia="MS Mincho" w:hAnsi="Arial" w:cs="Arial"/>
          <w:b/>
          <w:bCs/>
          <w:sz w:val="28"/>
          <w:lang w:eastAsia="ja-JP"/>
        </w:rPr>
        <w:t>Athens, Greece, February 27</w:t>
      </w:r>
      <w:r w:rsidRPr="00991A6F">
        <w:rPr>
          <w:rFonts w:ascii="Arial" w:eastAsia="MS Mincho" w:hAnsi="Arial" w:cs="Arial"/>
          <w:b/>
          <w:bCs/>
          <w:sz w:val="28"/>
          <w:vertAlign w:val="superscript"/>
          <w:lang w:eastAsia="ja-JP"/>
        </w:rPr>
        <w:t>th</w:t>
      </w:r>
      <w:r w:rsidRPr="00991A6F">
        <w:rPr>
          <w:rFonts w:ascii="Arial" w:eastAsia="MS Mincho" w:hAnsi="Arial" w:cs="Arial"/>
          <w:b/>
          <w:bCs/>
          <w:sz w:val="28"/>
          <w:lang w:eastAsia="ja-JP"/>
        </w:rPr>
        <w:t xml:space="preserve"> – March 3</w:t>
      </w:r>
      <w:r w:rsidRPr="00991A6F">
        <w:rPr>
          <w:rFonts w:ascii="Arial" w:eastAsia="MS Mincho" w:hAnsi="Arial" w:cs="Arial"/>
          <w:b/>
          <w:bCs/>
          <w:sz w:val="28"/>
          <w:vertAlign w:val="superscript"/>
          <w:lang w:eastAsia="ja-JP"/>
        </w:rPr>
        <w:t>rd</w:t>
      </w:r>
      <w:r w:rsidRPr="00991A6F">
        <w:rPr>
          <w:rFonts w:ascii="Arial" w:eastAsia="MS Mincho" w:hAnsi="Arial" w:cs="Arial"/>
          <w:b/>
          <w:bCs/>
          <w:sz w:val="28"/>
          <w:lang w:eastAsia="ja-JP"/>
        </w:rPr>
        <w:t>, 2023</w:t>
      </w:r>
    </w:p>
    <w:p w14:paraId="49CAF568" w14:textId="77777777" w:rsidR="000D05D3" w:rsidRPr="009861B8" w:rsidRDefault="000D05D3" w:rsidP="00CF2979">
      <w:pPr>
        <w:pStyle w:val="3GPPHeader"/>
        <w:tabs>
          <w:tab w:val="clear" w:pos="1701"/>
          <w:tab w:val="left" w:pos="0"/>
        </w:tabs>
        <w:spacing w:afterLines="50" w:after="180"/>
      </w:pPr>
    </w:p>
    <w:p w14:paraId="0A356815" w14:textId="158EAD4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93564">
        <w:rPr>
          <w:rFonts w:ascii="Arial" w:hAnsi="Arial" w:cs="Arial"/>
          <w:sz w:val="22"/>
          <w:szCs w:val="22"/>
          <w:lang w:val="pt-BR" w:eastAsia="zh-TW"/>
        </w:rPr>
        <w:t>9.</w:t>
      </w:r>
      <w:r w:rsidR="004957BD">
        <w:rPr>
          <w:rFonts w:ascii="Arial" w:hAnsi="Arial" w:cs="Arial"/>
          <w:sz w:val="22"/>
          <w:szCs w:val="22"/>
          <w:lang w:val="pt-BR" w:eastAsia="zh-TW"/>
        </w:rPr>
        <w:t>1</w:t>
      </w:r>
      <w:r w:rsidR="00D74745">
        <w:rPr>
          <w:rFonts w:ascii="Arial" w:hAnsi="Arial" w:cs="Arial"/>
          <w:sz w:val="22"/>
          <w:szCs w:val="22"/>
          <w:lang w:val="pt-BR" w:eastAsia="zh-TW"/>
        </w:rPr>
        <w:t>.1</w:t>
      </w:r>
      <w:r w:rsidR="00193564">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701CE5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bookmarkStart w:id="1" w:name="_Toc118699410"/>
      <w:r w:rsidR="007B7465">
        <w:rPr>
          <w:rFonts w:ascii="Arial" w:hAnsi="Arial" w:cs="Arial"/>
          <w:sz w:val="22"/>
          <w:szCs w:val="22"/>
          <w:lang w:val="en-US" w:eastAsia="zh-TW"/>
        </w:rPr>
        <w:t>Discussion on sDCI mTRP PDSCH regarding eUTCI framework</w:t>
      </w:r>
      <w:bookmarkEnd w:id="1"/>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144230CD"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7B7465">
        <w:rPr>
          <w:sz w:val="22"/>
          <w:szCs w:val="22"/>
        </w:rPr>
        <w:t>remaining</w:t>
      </w:r>
      <w:r w:rsidR="00C767A9">
        <w:rPr>
          <w:sz w:val="22"/>
          <w:szCs w:val="22"/>
        </w:rPr>
        <w:t xml:space="preserve"> issues for </w:t>
      </w:r>
      <w:r w:rsidR="00217E6E">
        <w:rPr>
          <w:sz w:val="22"/>
          <w:szCs w:val="22"/>
        </w:rPr>
        <w:t>sDCI mTRP PDSCH regarding eUTCI framework</w:t>
      </w:r>
      <w:r w:rsidRPr="00B36C72">
        <w:rPr>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811DC9" w14:paraId="408E44A6" w14:textId="77777777" w:rsidTr="00811DC9">
        <w:tc>
          <w:tcPr>
            <w:tcW w:w="9488" w:type="dxa"/>
          </w:tcPr>
          <w:p w14:paraId="28B12937" w14:textId="511C6C39" w:rsidR="00811DC9" w:rsidRPr="000A4E92" w:rsidRDefault="00D74745" w:rsidP="000A4E92">
            <w:pPr>
              <w:overflowPunct/>
              <w:autoSpaceDE/>
              <w:autoSpaceDN/>
              <w:adjustRightInd/>
              <w:spacing w:after="0"/>
              <w:jc w:val="both"/>
              <w:textAlignment w:val="auto"/>
              <w:rPr>
                <w:rFonts w:ascii="Times" w:eastAsiaTheme="minorEastAsia" w:hAnsi="Times"/>
                <w:szCs w:val="24"/>
              </w:rPr>
            </w:pPr>
            <w:r>
              <w:rPr>
                <w:rFonts w:ascii="Times" w:eastAsiaTheme="minorEastAsia" w:hAnsi="Times"/>
                <w:szCs w:val="24"/>
              </w:rPr>
              <w:t>RAN1 #</w:t>
            </w:r>
            <w:r w:rsidR="000A4E92">
              <w:rPr>
                <w:rFonts w:ascii="Times" w:eastAsiaTheme="minorEastAsia" w:hAnsi="Times" w:hint="eastAsia"/>
                <w:szCs w:val="24"/>
              </w:rPr>
              <w:t>1</w:t>
            </w:r>
            <w:r w:rsidR="000A4E92">
              <w:rPr>
                <w:rFonts w:ascii="Times" w:eastAsiaTheme="minorEastAsia" w:hAnsi="Times"/>
                <w:szCs w:val="24"/>
              </w:rPr>
              <w:t>1</w:t>
            </w:r>
            <w:r>
              <w:rPr>
                <w:rFonts w:ascii="Times" w:eastAsiaTheme="minorEastAsia" w:hAnsi="Times"/>
                <w:szCs w:val="24"/>
              </w:rPr>
              <w:t>1</w:t>
            </w:r>
          </w:p>
          <w:p w14:paraId="49962FA3" w14:textId="77777777" w:rsidR="00D74745" w:rsidRPr="00D74745" w:rsidRDefault="00D74745" w:rsidP="00D74745">
            <w:pPr>
              <w:overflowPunct/>
              <w:autoSpaceDE/>
              <w:autoSpaceDN/>
              <w:adjustRightInd/>
              <w:spacing w:after="0"/>
              <w:jc w:val="both"/>
              <w:textAlignment w:val="auto"/>
              <w:rPr>
                <w:rFonts w:ascii="Times" w:eastAsia="Batang" w:hAnsi="Times" w:cs="Times"/>
                <w:b/>
                <w:bCs/>
                <w:color w:val="000000"/>
                <w:highlight w:val="green"/>
                <w:lang w:eastAsia="en-US"/>
              </w:rPr>
            </w:pPr>
            <w:r w:rsidRPr="00D74745">
              <w:rPr>
                <w:rFonts w:ascii="Times" w:eastAsia="Batang" w:hAnsi="Times" w:cs="Times"/>
                <w:b/>
                <w:bCs/>
                <w:color w:val="000000"/>
                <w:highlight w:val="green"/>
                <w:lang w:eastAsia="en-US"/>
              </w:rPr>
              <w:t>Agreement</w:t>
            </w:r>
          </w:p>
          <w:p w14:paraId="21AE6931" w14:textId="77777777" w:rsidR="00D74745" w:rsidRPr="00D74745" w:rsidRDefault="00D74745" w:rsidP="00D74745">
            <w:pPr>
              <w:overflowPunct/>
              <w:autoSpaceDE/>
              <w:autoSpaceDN/>
              <w:adjustRightInd/>
              <w:spacing w:after="0"/>
              <w:jc w:val="both"/>
              <w:textAlignment w:val="auto"/>
              <w:rPr>
                <w:rFonts w:ascii="Times" w:eastAsia="Batang" w:hAnsi="Times" w:cs="Times"/>
                <w:lang w:eastAsia="en-US"/>
              </w:rPr>
            </w:pPr>
            <w:r w:rsidRPr="00D74745">
              <w:rPr>
                <w:rFonts w:ascii="Times" w:eastAsia="Batang" w:hAnsi="Times" w:cs="Times"/>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B0642A2" w14:textId="77777777" w:rsidR="00D74745" w:rsidRPr="00D74745" w:rsidRDefault="00D74745" w:rsidP="00D74745">
            <w:pPr>
              <w:numPr>
                <w:ilvl w:val="0"/>
                <w:numId w:val="22"/>
              </w:numPr>
              <w:tabs>
                <w:tab w:val="left" w:pos="360"/>
              </w:tabs>
              <w:overflowPunct/>
              <w:autoSpaceDE/>
              <w:autoSpaceDN/>
              <w:adjustRightInd/>
              <w:spacing w:after="0" w:line="252" w:lineRule="auto"/>
              <w:ind w:left="709" w:hanging="283"/>
              <w:contextualSpacing/>
              <w:jc w:val="both"/>
              <w:textAlignment w:val="auto"/>
              <w:rPr>
                <w:rFonts w:ascii="Times" w:eastAsia="Batang" w:hAnsi="Times" w:cs="Times"/>
                <w:color w:val="000000"/>
                <w:lang w:eastAsia="en-US"/>
              </w:rPr>
            </w:pPr>
            <w:r w:rsidRPr="00D74745">
              <w:rPr>
                <w:rFonts w:ascii="Times" w:eastAsia="Batang" w:hAnsi="Times" w:cs="Times"/>
                <w:color w:val="000000"/>
                <w:lang w:eastAsia="en-US"/>
              </w:rPr>
              <w:t>The presence of the DCI field is configurable by RRC; when the DCI field is not present in DCI format 1_1/1_2, the UE shall apply the default indicated joint/DL TCI state(s) to PDSCH reception</w:t>
            </w:r>
          </w:p>
          <w:p w14:paraId="7A3725C7" w14:textId="77777777" w:rsidR="00D74745" w:rsidRPr="00D74745" w:rsidRDefault="00D74745" w:rsidP="00D74745">
            <w:pPr>
              <w:numPr>
                <w:ilvl w:val="1"/>
                <w:numId w:val="21"/>
              </w:numPr>
              <w:overflowPunct/>
              <w:autoSpaceDE/>
              <w:autoSpaceDN/>
              <w:adjustRightInd/>
              <w:spacing w:after="0" w:line="252" w:lineRule="auto"/>
              <w:ind w:left="1418" w:hanging="284"/>
              <w:contextualSpacing/>
              <w:textAlignment w:val="auto"/>
              <w:rPr>
                <w:rFonts w:ascii="Times" w:eastAsia="Batang" w:hAnsi="Times" w:cs="Times"/>
                <w:color w:val="000000"/>
                <w:lang w:eastAsia="en-US"/>
              </w:rPr>
            </w:pPr>
            <w:r w:rsidRPr="00D74745">
              <w:rPr>
                <w:rFonts w:ascii="Times" w:eastAsia="Batang" w:hAnsi="Times" w:cs="Times"/>
                <w:color w:val="000000"/>
                <w:lang w:eastAsia="en-US"/>
              </w:rPr>
              <w:t>FFS: Details on the default indicated joint/DL TCI state(s) to PDSCH reception</w:t>
            </w:r>
          </w:p>
          <w:p w14:paraId="30B136D5" w14:textId="77777777" w:rsidR="00D74745" w:rsidRPr="00D74745" w:rsidRDefault="00D74745" w:rsidP="00D74745">
            <w:pPr>
              <w:numPr>
                <w:ilvl w:val="0"/>
                <w:numId w:val="22"/>
              </w:numPr>
              <w:tabs>
                <w:tab w:val="left" w:pos="360"/>
              </w:tabs>
              <w:overflowPunct/>
              <w:autoSpaceDE/>
              <w:autoSpaceDN/>
              <w:adjustRightInd/>
              <w:spacing w:after="0" w:line="252" w:lineRule="auto"/>
              <w:ind w:left="709" w:hanging="283"/>
              <w:contextualSpacing/>
              <w:jc w:val="both"/>
              <w:textAlignment w:val="auto"/>
              <w:rPr>
                <w:rFonts w:ascii="Times" w:eastAsia="Batang" w:hAnsi="Times" w:cs="Times"/>
                <w:color w:val="000000"/>
                <w:lang w:eastAsia="en-US"/>
              </w:rPr>
            </w:pPr>
            <w:r w:rsidRPr="00D74745">
              <w:rPr>
                <w:rFonts w:ascii="Times" w:eastAsia="Batang" w:hAnsi="Times" w:cs="Times"/>
                <w:color w:val="000000"/>
                <w:lang w:eastAsia="en-US"/>
              </w:rPr>
              <w:t>FFS: The DCI field is a new indicator field or an existing field (e.g., the existing TCI field)</w:t>
            </w:r>
          </w:p>
          <w:p w14:paraId="199166D1" w14:textId="77777777" w:rsidR="00D74745" w:rsidRPr="00D74745" w:rsidRDefault="00D74745" w:rsidP="00D74745">
            <w:pPr>
              <w:numPr>
                <w:ilvl w:val="0"/>
                <w:numId w:val="22"/>
              </w:numPr>
              <w:overflowPunct/>
              <w:autoSpaceDE/>
              <w:autoSpaceDN/>
              <w:adjustRightInd/>
              <w:spacing w:after="0" w:line="252" w:lineRule="auto"/>
              <w:ind w:left="709" w:hanging="283"/>
              <w:contextualSpacing/>
              <w:jc w:val="both"/>
              <w:textAlignment w:val="auto"/>
              <w:rPr>
                <w:rFonts w:ascii="Times" w:eastAsia="Batang" w:hAnsi="Times" w:cs="Times"/>
                <w:color w:val="000000"/>
                <w:lang w:eastAsia="en-US"/>
              </w:rPr>
            </w:pPr>
            <w:r w:rsidRPr="00D74745">
              <w:rPr>
                <w:rFonts w:ascii="Times" w:eastAsia="Batang" w:hAnsi="Times" w:cs="Times"/>
                <w:color w:val="000000"/>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A2226CE" w14:textId="77777777" w:rsidR="00D74745" w:rsidRPr="00D74745" w:rsidRDefault="00D74745" w:rsidP="00D74745">
            <w:pPr>
              <w:tabs>
                <w:tab w:val="left" w:pos="360"/>
              </w:tabs>
              <w:overflowPunct/>
              <w:autoSpaceDE/>
              <w:autoSpaceDN/>
              <w:adjustRightInd/>
              <w:spacing w:after="0" w:line="252" w:lineRule="auto"/>
              <w:contextualSpacing/>
              <w:textAlignment w:val="auto"/>
              <w:rPr>
                <w:rFonts w:ascii="Times" w:eastAsia="Batang" w:hAnsi="Times" w:cs="Times"/>
                <w:color w:val="000000"/>
                <w:lang w:eastAsia="en-US"/>
              </w:rPr>
            </w:pPr>
            <w:r w:rsidRPr="00D74745">
              <w:rPr>
                <w:rFonts w:ascii="Times" w:eastAsia="Batang" w:hAnsi="Times" w:cs="Times"/>
                <w:color w:val="000000"/>
                <w:lang w:eastAsia="en-US"/>
              </w:rPr>
              <w:t>FFS: How to apply the indicated joint/DL TCI state(s) to PDSCH reception scheduled/activated by DCI format 1_0.</w:t>
            </w:r>
          </w:p>
          <w:p w14:paraId="0B37A699" w14:textId="77777777" w:rsidR="00D74745" w:rsidRPr="00D74745" w:rsidRDefault="00D74745" w:rsidP="00D74745">
            <w:pPr>
              <w:overflowPunct/>
              <w:autoSpaceDE/>
              <w:autoSpaceDN/>
              <w:adjustRightInd/>
              <w:spacing w:after="0"/>
              <w:textAlignment w:val="auto"/>
              <w:rPr>
                <w:rFonts w:ascii="Times" w:eastAsia="Batang" w:hAnsi="Times" w:cs="Times"/>
                <w:iCs/>
                <w:lang w:eastAsia="en-US"/>
              </w:rPr>
            </w:pPr>
            <w:r w:rsidRPr="00D74745">
              <w:rPr>
                <w:rFonts w:ascii="Times" w:eastAsia="Batang" w:hAnsi="Times" w:cs="Times"/>
                <w:iCs/>
                <w:lang w:eastAsia="en-US"/>
              </w:rPr>
              <w:t>Above applies for the case where PDSCHs scheduled by the same DCI.</w:t>
            </w:r>
          </w:p>
          <w:p w14:paraId="2DCEAA0C" w14:textId="77777777" w:rsidR="00075173" w:rsidRPr="00191256" w:rsidRDefault="00075173" w:rsidP="00075173">
            <w:pPr>
              <w:jc w:val="both"/>
              <w:rPr>
                <w:rFonts w:cs="Times"/>
                <w:b/>
                <w:bCs/>
                <w:color w:val="000000"/>
                <w:highlight w:val="green"/>
              </w:rPr>
            </w:pPr>
            <w:r w:rsidRPr="00191256">
              <w:rPr>
                <w:rFonts w:cs="Times"/>
                <w:b/>
                <w:bCs/>
                <w:color w:val="000000"/>
                <w:highlight w:val="green"/>
              </w:rPr>
              <w:t>Agreement</w:t>
            </w:r>
          </w:p>
          <w:p w14:paraId="6C5E5DEE" w14:textId="77777777" w:rsidR="00075173" w:rsidRPr="00763FD1" w:rsidRDefault="00075173" w:rsidP="00075173">
            <w:pPr>
              <w:jc w:val="both"/>
              <w:rPr>
                <w:color w:val="000000"/>
              </w:rPr>
            </w:pPr>
            <w:r w:rsidRPr="00763FD1">
              <w:rPr>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7B466FEA" w14:textId="77777777" w:rsidR="00075173" w:rsidRPr="00763FD1" w:rsidRDefault="00075173" w:rsidP="00075173">
            <w:pPr>
              <w:numPr>
                <w:ilvl w:val="0"/>
                <w:numId w:val="22"/>
              </w:numPr>
              <w:overflowPunct/>
              <w:autoSpaceDE/>
              <w:autoSpaceDN/>
              <w:adjustRightInd/>
              <w:spacing w:after="0" w:line="252" w:lineRule="auto"/>
              <w:ind w:left="709" w:hanging="283"/>
              <w:contextualSpacing/>
              <w:jc w:val="both"/>
              <w:textAlignment w:val="auto"/>
              <w:rPr>
                <w:color w:val="000000"/>
              </w:rPr>
            </w:pPr>
            <w:r w:rsidRPr="00763FD1">
              <w:rPr>
                <w:color w:val="000000"/>
              </w:rPr>
              <w:t>FFS: Detail design of the new indicator field</w:t>
            </w:r>
          </w:p>
          <w:p w14:paraId="19753566" w14:textId="25B84163" w:rsidR="000A4E92" w:rsidRPr="00075173" w:rsidRDefault="000A4E92" w:rsidP="00D74745">
            <w:pPr>
              <w:overflowPunct/>
              <w:autoSpaceDE/>
              <w:autoSpaceDN/>
              <w:adjustRightInd/>
              <w:spacing w:after="0"/>
              <w:jc w:val="both"/>
              <w:textAlignment w:val="auto"/>
              <w:rPr>
                <w:rFonts w:ascii="Times" w:eastAsia="Batang" w:hAnsi="Times"/>
                <w:szCs w:val="24"/>
                <w:lang w:eastAsia="zh-CN"/>
              </w:rPr>
            </w:pPr>
          </w:p>
        </w:tc>
      </w:tr>
    </w:tbl>
    <w:p w14:paraId="1705BAAC" w14:textId="3B5F0292" w:rsidR="00B73AAE" w:rsidRDefault="00B73AAE" w:rsidP="00381F7D">
      <w:pPr>
        <w:jc w:val="both"/>
      </w:pPr>
      <w:r>
        <w:rPr>
          <w:rFonts w:hint="eastAsia"/>
        </w:rPr>
        <w:t>R</w:t>
      </w:r>
      <w:r>
        <w:t xml:space="preserve">egarding the </w:t>
      </w:r>
      <w:r w:rsidR="0088080D">
        <w:t>first</w:t>
      </w:r>
      <w:r>
        <w:t xml:space="preserve"> FFS in previous RAN1 agr</w:t>
      </w:r>
      <w:r w:rsidR="009C236E">
        <w:t>eement, a simple</w:t>
      </w:r>
      <w:r>
        <w:t xml:space="preserve"> way is assuming single TRP communication. In this sense, </w:t>
      </w:r>
      <w:r w:rsidRPr="00D74745">
        <w:rPr>
          <w:rFonts w:ascii="Times" w:eastAsia="Batang" w:hAnsi="Times" w:cs="Times"/>
          <w:color w:val="000000"/>
          <w:lang w:eastAsia="en-US"/>
        </w:rPr>
        <w:t>the default indicated joint/DL TCI state(s)</w:t>
      </w:r>
      <w:r>
        <w:rPr>
          <w:rFonts w:ascii="Times" w:eastAsia="Batang" w:hAnsi="Times" w:cs="Times"/>
          <w:color w:val="000000"/>
          <w:lang w:eastAsia="en-US"/>
        </w:rPr>
        <w:t xml:space="preserve"> could be one of two indicated joint/DL TCI states from beam indication DCI, or just the one indicated </w:t>
      </w:r>
      <w:r w:rsidR="009C236E">
        <w:rPr>
          <w:rFonts w:ascii="Times" w:eastAsia="Batang" w:hAnsi="Times" w:cs="Times"/>
          <w:color w:val="000000"/>
          <w:lang w:eastAsia="en-US"/>
        </w:rPr>
        <w:t>joint/DL TCI state</w:t>
      </w:r>
      <w:r>
        <w:rPr>
          <w:rFonts w:ascii="Times" w:eastAsia="Batang" w:hAnsi="Times" w:cs="Times"/>
          <w:color w:val="000000"/>
          <w:lang w:eastAsia="en-US"/>
        </w:rPr>
        <w:t xml:space="preserve"> from beam indication DCI.</w:t>
      </w:r>
    </w:p>
    <w:p w14:paraId="788B7FB0" w14:textId="66EAB577" w:rsidR="00B73AAE" w:rsidRDefault="00B73AAE" w:rsidP="00DC213B">
      <w:pPr>
        <w:ind w:left="1134" w:hangingChars="515" w:hanging="1134"/>
        <w:jc w:val="both"/>
        <w:rPr>
          <w:rFonts w:eastAsiaTheme="minorEastAsia"/>
          <w:b/>
          <w:bCs/>
          <w:sz w:val="22"/>
          <w:szCs w:val="22"/>
        </w:rPr>
      </w:pPr>
      <w:r w:rsidRPr="00A02A09">
        <w:rPr>
          <w:rFonts w:eastAsiaTheme="minorEastAsia"/>
          <w:b/>
          <w:bCs/>
          <w:sz w:val="22"/>
          <w:szCs w:val="22"/>
        </w:rPr>
        <w:lastRenderedPageBreak/>
        <w:t>Proposal 1:</w:t>
      </w:r>
      <w:r>
        <w:rPr>
          <w:rFonts w:eastAsiaTheme="minorEastAsia"/>
          <w:b/>
          <w:bCs/>
          <w:sz w:val="22"/>
          <w:szCs w:val="22"/>
        </w:rPr>
        <w:t xml:space="preserve"> When </w:t>
      </w:r>
      <w:r w:rsidRPr="00D74745">
        <w:rPr>
          <w:rFonts w:eastAsiaTheme="minorEastAsia"/>
          <w:b/>
          <w:bCs/>
          <w:sz w:val="22"/>
          <w:szCs w:val="22"/>
        </w:rPr>
        <w:t xml:space="preserve">DCI format 1_1/1_2 </w:t>
      </w:r>
      <w:r>
        <w:rPr>
          <w:rFonts w:eastAsiaTheme="minorEastAsia"/>
          <w:b/>
          <w:bCs/>
          <w:sz w:val="22"/>
          <w:szCs w:val="22"/>
        </w:rPr>
        <w:t xml:space="preserve">does not include a DCI field for determining </w:t>
      </w:r>
      <w:r w:rsidRPr="00D74745">
        <w:rPr>
          <w:rFonts w:eastAsiaTheme="minorEastAsia"/>
          <w:b/>
          <w:bCs/>
          <w:sz w:val="22"/>
          <w:szCs w:val="22"/>
        </w:rPr>
        <w:t>which one or both of the indicated joint/DL TCI states shall be applied</w:t>
      </w:r>
      <w:r w:rsidR="009C236E">
        <w:rPr>
          <w:rFonts w:eastAsiaTheme="minorEastAsia"/>
          <w:b/>
          <w:bCs/>
          <w:sz w:val="22"/>
          <w:szCs w:val="22"/>
        </w:rPr>
        <w:t xml:space="preserve">, </w:t>
      </w:r>
      <w:r w:rsidR="00961512">
        <w:rPr>
          <w:rFonts w:eastAsiaTheme="minorEastAsia"/>
          <w:b/>
          <w:bCs/>
          <w:sz w:val="22"/>
          <w:szCs w:val="22"/>
        </w:rPr>
        <w:t>UE receives</w:t>
      </w:r>
      <w:r w:rsidR="00DC213B">
        <w:rPr>
          <w:rFonts w:eastAsiaTheme="minorEastAsia"/>
          <w:b/>
          <w:bCs/>
          <w:sz w:val="22"/>
          <w:szCs w:val="22"/>
        </w:rPr>
        <w:t xml:space="preserve"> PDSCH based on one indicated </w:t>
      </w:r>
      <w:r w:rsidR="00DC213B" w:rsidRPr="00DC213B">
        <w:rPr>
          <w:rFonts w:eastAsiaTheme="minorEastAsia"/>
          <w:b/>
          <w:bCs/>
          <w:sz w:val="22"/>
          <w:szCs w:val="22"/>
        </w:rPr>
        <w:t>joint/DL TCI state</w:t>
      </w:r>
      <w:r>
        <w:rPr>
          <w:rFonts w:eastAsiaTheme="minorEastAsia"/>
          <w:b/>
          <w:bCs/>
          <w:sz w:val="22"/>
          <w:szCs w:val="22"/>
        </w:rPr>
        <w:t>.</w:t>
      </w:r>
    </w:p>
    <w:p w14:paraId="554073E4" w14:textId="5290E098" w:rsidR="00961512" w:rsidRPr="00961512" w:rsidRDefault="00961512" w:rsidP="00961512">
      <w:pPr>
        <w:pStyle w:val="afe"/>
        <w:numPr>
          <w:ilvl w:val="0"/>
          <w:numId w:val="25"/>
        </w:numPr>
        <w:ind w:leftChars="0"/>
        <w:jc w:val="both"/>
        <w:rPr>
          <w:rFonts w:eastAsiaTheme="minorEastAsia"/>
          <w:b/>
          <w:bCs/>
          <w:sz w:val="22"/>
          <w:szCs w:val="22"/>
        </w:rPr>
      </w:pPr>
      <w:r>
        <w:rPr>
          <w:rFonts w:eastAsiaTheme="minorEastAsia"/>
          <w:b/>
          <w:bCs/>
          <w:sz w:val="22"/>
          <w:szCs w:val="22"/>
        </w:rPr>
        <w:t>FFS: when there are two indicated joint/DL TCI states, how to determine the one indicated joint/DL TCI state</w:t>
      </w:r>
    </w:p>
    <w:p w14:paraId="071C6A58" w14:textId="756DC4CA" w:rsidR="00D74745" w:rsidRDefault="00F15DD9" w:rsidP="00381F7D">
      <w:pPr>
        <w:jc w:val="both"/>
      </w:pPr>
      <w:r>
        <w:t xml:space="preserve">Regarding the second FFS, </w:t>
      </w:r>
      <w:r w:rsidR="00075173">
        <w:t xml:space="preserve">RAN1 has agreed </w:t>
      </w:r>
      <w:r>
        <w:t xml:space="preserve">in another agreement </w:t>
      </w:r>
      <w:r w:rsidR="00075173">
        <w:t xml:space="preserve">to design a new DCI field </w:t>
      </w:r>
      <w:r w:rsidRPr="00F15DD9">
        <w:t>used to determine which one or both of the indicated joint/DL TCI states shall be applied to the scheduled/activated PDSCH reception</w:t>
      </w:r>
      <w:r>
        <w:t>. From our view,</w:t>
      </w:r>
      <w:r w:rsidR="00323EC6">
        <w:t xml:space="preserve"> </w:t>
      </w:r>
      <w:r>
        <w:t xml:space="preserve">the new DCI field could </w:t>
      </w:r>
      <w:r w:rsidR="00323EC6">
        <w:t>reuse current</w:t>
      </w:r>
      <w:r w:rsidR="00D74745">
        <w:t xml:space="preserve"> “SRS resource set</w:t>
      </w:r>
      <w:r w:rsidR="00323EC6">
        <w:t xml:space="preserve"> indicator</w:t>
      </w:r>
      <w:r w:rsidR="00D74745">
        <w:t>” field in DCI format 0_1</w:t>
      </w:r>
      <w:r w:rsidR="00323EC6">
        <w:t>/0_2.</w:t>
      </w:r>
    </w:p>
    <w:p w14:paraId="6D137073" w14:textId="101C3457" w:rsidR="009C236E" w:rsidRDefault="009C236E" w:rsidP="009C236E">
      <w:pPr>
        <w:jc w:val="both"/>
      </w:pPr>
      <w:r>
        <w:rPr>
          <w:rFonts w:hint="eastAsia"/>
        </w:rPr>
        <w:t>R</w:t>
      </w:r>
      <w:r>
        <w:t xml:space="preserve">egarding the third FFS in previous RAN1 agreement, we think it may be similar to whether the UE is configured with </w:t>
      </w:r>
      <w:bookmarkStart w:id="2" w:name="_Hlk55126218"/>
      <w:r w:rsidRPr="00C129B3">
        <w:rPr>
          <w:i/>
        </w:rPr>
        <w:t>enableTwoDefaultTCI</w:t>
      </w:r>
      <w:r w:rsidRPr="007C3487">
        <w:rPr>
          <w:i/>
        </w:rPr>
        <w:t>-</w:t>
      </w:r>
      <w:r w:rsidRPr="00C129B3">
        <w:rPr>
          <w:i/>
        </w:rPr>
        <w:t>States</w:t>
      </w:r>
      <w:bookmarkEnd w:id="2"/>
      <w:r>
        <w:t xml:space="preserve"> in Rel-16. If the UE is configured with </w:t>
      </w:r>
      <w:r w:rsidRPr="00C129B3">
        <w:rPr>
          <w:i/>
        </w:rPr>
        <w:t>enableTwoDefaultTCI</w:t>
      </w:r>
      <w:r w:rsidRPr="007C3487">
        <w:rPr>
          <w:i/>
        </w:rPr>
        <w:t>-</w:t>
      </w:r>
      <w:r w:rsidRPr="00C129B3">
        <w:rPr>
          <w:i/>
        </w:rPr>
        <w:t>States</w:t>
      </w:r>
      <w:r>
        <w:t xml:space="preserve">, the UE receives PDSCH based on indicated </w:t>
      </w:r>
      <w:r w:rsidRPr="009C236E">
        <w:t>joint/DL TCI state</w:t>
      </w:r>
      <w:r>
        <w:t>(</w:t>
      </w:r>
      <w:r w:rsidRPr="009C236E">
        <w:t>s</w:t>
      </w:r>
      <w:r>
        <w:t xml:space="preserve">) from beam indication DCI. For example, if beam indication DCI indicates two </w:t>
      </w:r>
      <w:r w:rsidRPr="009C236E">
        <w:t>joint/DL TCI state</w:t>
      </w:r>
      <w:r>
        <w:t>(</w:t>
      </w:r>
      <w:r w:rsidRPr="009C236E">
        <w:t>s</w:t>
      </w:r>
      <w:r>
        <w:t xml:space="preserve">), the UE receives PDSCH based on the two indicated joint/DL TCI state(s) while if beam indication DCI indicates one </w:t>
      </w:r>
      <w:r w:rsidRPr="009C236E">
        <w:t>joint/DL TCI state</w:t>
      </w:r>
      <w:r>
        <w:t>(</w:t>
      </w:r>
      <w:r w:rsidRPr="009C236E">
        <w:t>s</w:t>
      </w:r>
      <w:r>
        <w:t xml:space="preserve">), the UE receives PDSCH based on the one indicated joint/DL TCI state(s). On the other hands, if the UE is not configured with </w:t>
      </w:r>
      <w:r w:rsidRPr="00C129B3">
        <w:rPr>
          <w:i/>
        </w:rPr>
        <w:t>enableTwoDefaultTCI</w:t>
      </w:r>
      <w:r w:rsidRPr="007C3487">
        <w:rPr>
          <w:i/>
        </w:rPr>
        <w:t>-</w:t>
      </w:r>
      <w:r w:rsidRPr="00C129B3">
        <w:rPr>
          <w:i/>
        </w:rPr>
        <w:t>States</w:t>
      </w:r>
      <w:r>
        <w:t xml:space="preserve">, the UE </w:t>
      </w:r>
      <w:r w:rsidR="0088080D">
        <w:t xml:space="preserve">could receive PDSCH based on </w:t>
      </w:r>
      <w:r w:rsidR="0088080D" w:rsidRPr="0088080D">
        <w:t>one indicated joint/DL TCI state from beam indication DCI</w:t>
      </w:r>
      <w:r>
        <w:t>.</w:t>
      </w:r>
    </w:p>
    <w:p w14:paraId="0E1569D4" w14:textId="5E9A85A2" w:rsidR="00DC213B" w:rsidRPr="00D61939" w:rsidRDefault="0088080D" w:rsidP="00DC213B">
      <w:pPr>
        <w:ind w:left="1134" w:hangingChars="515" w:hanging="1134"/>
        <w:jc w:val="both"/>
        <w:rPr>
          <w:rFonts w:eastAsiaTheme="minorEastAsia"/>
          <w:b/>
          <w:bCs/>
          <w:sz w:val="22"/>
          <w:szCs w:val="22"/>
        </w:rPr>
      </w:pPr>
      <w:r w:rsidRPr="00A02A09">
        <w:rPr>
          <w:rFonts w:eastAsiaTheme="minorEastAsia"/>
          <w:b/>
          <w:bCs/>
          <w:sz w:val="22"/>
          <w:szCs w:val="22"/>
        </w:rPr>
        <w:t xml:space="preserve">Proposal </w:t>
      </w:r>
      <w:r w:rsidR="00F15DD9">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eUTCI framework, </w:t>
      </w:r>
      <w:r w:rsidRPr="0088080D">
        <w:rPr>
          <w:rFonts w:eastAsiaTheme="minorEastAsia"/>
          <w:b/>
          <w:bCs/>
          <w:sz w:val="22"/>
          <w:szCs w:val="22"/>
        </w:rPr>
        <w:t>if the offset between the reception of the DCI format 1_1/1_2 and the corresponding PDSCH reception is less than a threshold</w:t>
      </w:r>
      <w:r>
        <w:rPr>
          <w:rFonts w:eastAsiaTheme="minorEastAsia"/>
          <w:b/>
          <w:bCs/>
          <w:sz w:val="22"/>
          <w:szCs w:val="22"/>
        </w:rPr>
        <w:t>.</w:t>
      </w:r>
      <w:r w:rsidR="00DC213B" w:rsidRPr="00DC213B">
        <w:rPr>
          <w:rFonts w:eastAsiaTheme="minorEastAsia"/>
          <w:b/>
          <w:bCs/>
          <w:sz w:val="22"/>
          <w:szCs w:val="22"/>
        </w:rPr>
        <w:t xml:space="preserve"> </w:t>
      </w:r>
    </w:p>
    <w:p w14:paraId="13D388D1" w14:textId="3EB21F61" w:rsidR="00DC213B" w:rsidRPr="00DC214D" w:rsidRDefault="0088080D" w:rsidP="00DC213B">
      <w:pPr>
        <w:pStyle w:val="afe"/>
        <w:numPr>
          <w:ilvl w:val="0"/>
          <w:numId w:val="24"/>
        </w:numPr>
        <w:ind w:leftChars="0" w:left="1701"/>
        <w:jc w:val="both"/>
        <w:rPr>
          <w:rFonts w:eastAsiaTheme="minorEastAsia"/>
          <w:b/>
          <w:bCs/>
          <w:sz w:val="22"/>
          <w:szCs w:val="22"/>
        </w:rPr>
      </w:pPr>
      <w:r w:rsidRPr="00DC214D">
        <w:rPr>
          <w:b/>
          <w:sz w:val="22"/>
          <w:szCs w:val="22"/>
        </w:rPr>
        <w:t xml:space="preserve">New parameter or reusing current parameter (e.g., </w:t>
      </w:r>
      <w:r w:rsidRPr="00DC214D">
        <w:rPr>
          <w:b/>
          <w:i/>
          <w:sz w:val="22"/>
          <w:szCs w:val="22"/>
        </w:rPr>
        <w:t>enableTwoDefaultTCI-States</w:t>
      </w:r>
      <w:r w:rsidRPr="00DC214D">
        <w:rPr>
          <w:b/>
          <w:sz w:val="22"/>
          <w:szCs w:val="22"/>
        </w:rPr>
        <w:t>) to determine wh</w:t>
      </w:r>
      <w:r w:rsidR="00DC214D" w:rsidRPr="00DC214D">
        <w:rPr>
          <w:b/>
          <w:sz w:val="22"/>
          <w:szCs w:val="22"/>
        </w:rPr>
        <w:t xml:space="preserve">ether to have </w:t>
      </w:r>
      <w:r w:rsidR="00CC2BA7">
        <w:rPr>
          <w:b/>
          <w:sz w:val="22"/>
          <w:szCs w:val="22"/>
        </w:rPr>
        <w:t xml:space="preserve">up to </w:t>
      </w:r>
      <w:r w:rsidR="00DC214D" w:rsidRPr="00DC214D">
        <w:rPr>
          <w:b/>
          <w:sz w:val="22"/>
          <w:szCs w:val="22"/>
        </w:rPr>
        <w:t>two</w:t>
      </w:r>
      <w:r w:rsidRPr="00DC214D">
        <w:rPr>
          <w:b/>
          <w:sz w:val="22"/>
          <w:szCs w:val="22"/>
        </w:rPr>
        <w:t xml:space="preserve"> TCI state</w:t>
      </w:r>
      <w:r w:rsidR="00961512" w:rsidRPr="00DC214D">
        <w:rPr>
          <w:b/>
          <w:sz w:val="22"/>
          <w:szCs w:val="22"/>
        </w:rPr>
        <w:t>(s)</w:t>
      </w:r>
      <w:r w:rsidRPr="00DC214D">
        <w:rPr>
          <w:b/>
          <w:sz w:val="22"/>
          <w:szCs w:val="22"/>
        </w:rPr>
        <w:t xml:space="preserve"> for receiving PDSCH</w:t>
      </w:r>
    </w:p>
    <w:p w14:paraId="25BEC707" w14:textId="25AAE8D3" w:rsidR="0088080D" w:rsidRDefault="0088080D" w:rsidP="0088080D">
      <w:pPr>
        <w:jc w:val="both"/>
      </w:pPr>
      <w:r>
        <w:rPr>
          <w:rFonts w:hint="eastAsia"/>
        </w:rPr>
        <w:t>R</w:t>
      </w:r>
      <w:r>
        <w:t xml:space="preserve">egarding the fourth FFS in previous RAN1 agreement, </w:t>
      </w:r>
      <w:r w:rsidR="00ED25DC">
        <w:t xml:space="preserve">we suggest to reuse Rel-17 </w:t>
      </w:r>
      <w:r w:rsidR="00217E6E">
        <w:t>mechanism of determining the default TCI state for receiving PDSCH scheduled by DCI format 1_0</w:t>
      </w:r>
      <w:r w:rsidR="002E5FC7">
        <w:t>, and the default TCI state</w:t>
      </w:r>
      <w:r w:rsidR="00217E6E">
        <w:t xml:space="preserve"> could be either one indicated joint/DL TCI state or </w:t>
      </w:r>
      <w:r w:rsidR="002E5FC7">
        <w:t>TCI state</w:t>
      </w:r>
      <w:r w:rsidR="00217E6E">
        <w:t xml:space="preserve"> of CORESET with lowest ID received in latest slot</w:t>
      </w:r>
      <w:r w:rsidRPr="0088080D">
        <w:rPr>
          <w:rFonts w:ascii="Times" w:eastAsia="Batang" w:hAnsi="Times" w:cs="Times"/>
          <w:color w:val="000000"/>
          <w:lang w:eastAsia="en-US"/>
        </w:rPr>
        <w:t>.</w:t>
      </w:r>
    </w:p>
    <w:p w14:paraId="513F7465" w14:textId="15A18E88" w:rsidR="00DC213B" w:rsidRPr="00D61939" w:rsidRDefault="0045300D" w:rsidP="00DC213B">
      <w:pPr>
        <w:ind w:left="1134" w:hangingChars="515" w:hanging="1134"/>
        <w:jc w:val="both"/>
        <w:rPr>
          <w:rFonts w:eastAsiaTheme="minorEastAsia"/>
          <w:b/>
          <w:bCs/>
          <w:sz w:val="22"/>
          <w:szCs w:val="22"/>
        </w:rPr>
      </w:pPr>
      <w:r w:rsidRPr="00A02A09">
        <w:rPr>
          <w:rFonts w:eastAsiaTheme="minorEastAsia"/>
          <w:b/>
          <w:bCs/>
          <w:sz w:val="22"/>
          <w:szCs w:val="22"/>
        </w:rPr>
        <w:t xml:space="preserve">Proposal </w:t>
      </w:r>
      <w:r w:rsidR="00F15DD9">
        <w:rPr>
          <w:rFonts w:eastAsiaTheme="minorEastAsia"/>
          <w:b/>
          <w:bCs/>
          <w:sz w:val="22"/>
          <w:szCs w:val="22"/>
        </w:rPr>
        <w:t>3</w:t>
      </w:r>
      <w:r w:rsidRPr="00A02A09">
        <w:rPr>
          <w:rFonts w:eastAsiaTheme="minorEastAsia"/>
          <w:b/>
          <w:bCs/>
          <w:sz w:val="22"/>
          <w:szCs w:val="22"/>
        </w:rPr>
        <w:t>:</w:t>
      </w:r>
      <w:r>
        <w:rPr>
          <w:rFonts w:eastAsiaTheme="minorEastAsia"/>
          <w:b/>
          <w:bCs/>
          <w:sz w:val="22"/>
          <w:szCs w:val="22"/>
        </w:rPr>
        <w:t xml:space="preserve"> For </w:t>
      </w:r>
      <w:r w:rsidR="00217E6E">
        <w:rPr>
          <w:rFonts w:eastAsiaTheme="minorEastAsia"/>
          <w:b/>
          <w:bCs/>
          <w:sz w:val="22"/>
          <w:szCs w:val="22"/>
        </w:rPr>
        <w:t xml:space="preserve">eUTCI framework, </w:t>
      </w:r>
      <w:r w:rsidR="00217E6E" w:rsidRPr="0088080D">
        <w:rPr>
          <w:rFonts w:eastAsiaTheme="minorEastAsia"/>
          <w:b/>
          <w:bCs/>
          <w:sz w:val="22"/>
          <w:szCs w:val="22"/>
        </w:rPr>
        <w:t>if the offset between the reception of the DCI format 1</w:t>
      </w:r>
      <w:r w:rsidR="00217E6E">
        <w:rPr>
          <w:rFonts w:eastAsiaTheme="minorEastAsia"/>
          <w:b/>
          <w:bCs/>
          <w:sz w:val="22"/>
          <w:szCs w:val="22"/>
        </w:rPr>
        <w:t>_0</w:t>
      </w:r>
      <w:r w:rsidR="00217E6E" w:rsidRPr="0088080D">
        <w:rPr>
          <w:rFonts w:eastAsiaTheme="minorEastAsia"/>
          <w:b/>
          <w:bCs/>
          <w:sz w:val="22"/>
          <w:szCs w:val="22"/>
        </w:rPr>
        <w:t xml:space="preserve"> and the corresponding PDSCH reception is less than a threshold</w:t>
      </w:r>
      <w:r w:rsidR="00217E6E">
        <w:rPr>
          <w:rFonts w:eastAsiaTheme="minorEastAsia"/>
          <w:b/>
          <w:bCs/>
          <w:sz w:val="22"/>
          <w:szCs w:val="22"/>
        </w:rPr>
        <w:t>.</w:t>
      </w:r>
      <w:r w:rsidR="00DC213B" w:rsidRPr="00DC213B">
        <w:rPr>
          <w:rFonts w:eastAsiaTheme="minorEastAsia"/>
          <w:b/>
          <w:bCs/>
          <w:sz w:val="22"/>
          <w:szCs w:val="22"/>
        </w:rPr>
        <w:t xml:space="preserve"> </w:t>
      </w:r>
    </w:p>
    <w:p w14:paraId="3C32E293" w14:textId="2573F8DD" w:rsidR="00DC213B" w:rsidRPr="00DC214D" w:rsidRDefault="00217E6E" w:rsidP="00DC213B">
      <w:pPr>
        <w:pStyle w:val="afe"/>
        <w:numPr>
          <w:ilvl w:val="0"/>
          <w:numId w:val="24"/>
        </w:numPr>
        <w:ind w:leftChars="0" w:left="1701"/>
        <w:jc w:val="both"/>
        <w:rPr>
          <w:rFonts w:eastAsiaTheme="minorEastAsia"/>
          <w:b/>
          <w:bCs/>
          <w:sz w:val="22"/>
          <w:szCs w:val="22"/>
        </w:rPr>
      </w:pPr>
      <w:r w:rsidRPr="00DC214D">
        <w:rPr>
          <w:rFonts w:eastAsiaTheme="minorEastAsia"/>
          <w:b/>
          <w:bCs/>
          <w:sz w:val="22"/>
          <w:szCs w:val="22"/>
        </w:rPr>
        <w:t xml:space="preserve">Reusing Rel-17 mechanism </w:t>
      </w:r>
      <w:r w:rsidRPr="00DC214D">
        <w:rPr>
          <w:b/>
          <w:sz w:val="22"/>
          <w:szCs w:val="22"/>
        </w:rPr>
        <w:t xml:space="preserve">of determining the default TCI state </w:t>
      </w:r>
      <w:r w:rsidR="00DC213B" w:rsidRPr="00DC214D">
        <w:rPr>
          <w:b/>
          <w:sz w:val="22"/>
          <w:szCs w:val="22"/>
        </w:rPr>
        <w:t xml:space="preserve">which is </w:t>
      </w:r>
      <w:r w:rsidRPr="00DC214D">
        <w:rPr>
          <w:b/>
          <w:sz w:val="22"/>
          <w:szCs w:val="22"/>
        </w:rPr>
        <w:t xml:space="preserve">based on either one indicated joint/DL TCI state or </w:t>
      </w:r>
      <w:r w:rsidR="002E5FC7" w:rsidRPr="00DC214D">
        <w:rPr>
          <w:b/>
          <w:sz w:val="22"/>
          <w:szCs w:val="22"/>
        </w:rPr>
        <w:t>TCI state</w:t>
      </w:r>
      <w:r w:rsidRPr="00DC214D">
        <w:rPr>
          <w:b/>
          <w:sz w:val="22"/>
          <w:szCs w:val="22"/>
        </w:rPr>
        <w:t xml:space="preserve"> of CORESET with lowest ID received in latest slot.</w:t>
      </w:r>
      <w:r w:rsidR="00DC213B" w:rsidRPr="00DC214D">
        <w:rPr>
          <w:rFonts w:eastAsiaTheme="minorEastAsia"/>
          <w:b/>
          <w:bCs/>
          <w:sz w:val="22"/>
          <w:szCs w:val="22"/>
        </w:rPr>
        <w:t xml:space="preserve"> </w:t>
      </w:r>
    </w:p>
    <w:p w14:paraId="254CA868" w14:textId="1AAEDD65" w:rsidR="000D05D3" w:rsidRPr="00DC213B" w:rsidRDefault="000D05D3" w:rsidP="00F53DD9">
      <w:pPr>
        <w:pStyle w:val="afe"/>
        <w:numPr>
          <w:ilvl w:val="0"/>
          <w:numId w:val="1"/>
        </w:numPr>
        <w:spacing w:beforeLines="50" w:before="180" w:afterLines="50"/>
        <w:ind w:leftChars="0"/>
        <w:jc w:val="both"/>
        <w:rPr>
          <w:rFonts w:cs="Arial"/>
          <w:b/>
          <w:smallCaps/>
          <w:sz w:val="32"/>
          <w:szCs w:val="32"/>
        </w:rPr>
      </w:pPr>
      <w:r w:rsidRPr="00DC213B">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F0CF5F2" w14:textId="03C2E57E" w:rsidR="00DC213B" w:rsidRPr="00D61939" w:rsidRDefault="00DC213B" w:rsidP="00DC213B">
      <w:pPr>
        <w:ind w:left="1134" w:hangingChars="515" w:hanging="1134"/>
        <w:jc w:val="both"/>
        <w:rPr>
          <w:rFonts w:eastAsiaTheme="minorEastAsia"/>
          <w:b/>
          <w:bCs/>
          <w:sz w:val="22"/>
          <w:szCs w:val="22"/>
        </w:rPr>
      </w:pPr>
      <w:r w:rsidRPr="00A02A09">
        <w:rPr>
          <w:rFonts w:eastAsiaTheme="minorEastAsia"/>
          <w:b/>
          <w:bCs/>
          <w:sz w:val="22"/>
          <w:szCs w:val="22"/>
        </w:rPr>
        <w:t>Proposal 1:</w:t>
      </w:r>
      <w:r>
        <w:rPr>
          <w:rFonts w:eastAsiaTheme="minorEastAsia"/>
          <w:b/>
          <w:bCs/>
          <w:sz w:val="22"/>
          <w:szCs w:val="22"/>
        </w:rPr>
        <w:t xml:space="preserve"> When </w:t>
      </w:r>
      <w:r w:rsidRPr="00D74745">
        <w:rPr>
          <w:rFonts w:eastAsiaTheme="minorEastAsia"/>
          <w:b/>
          <w:bCs/>
          <w:sz w:val="22"/>
          <w:szCs w:val="22"/>
        </w:rPr>
        <w:t xml:space="preserve">DCI format 1_1/1_2 </w:t>
      </w:r>
      <w:r>
        <w:rPr>
          <w:rFonts w:eastAsiaTheme="minorEastAsia"/>
          <w:b/>
          <w:bCs/>
          <w:sz w:val="22"/>
          <w:szCs w:val="22"/>
        </w:rPr>
        <w:t xml:space="preserve">does not include a DCI field for determining </w:t>
      </w:r>
      <w:r w:rsidRPr="00D74745">
        <w:rPr>
          <w:rFonts w:eastAsiaTheme="minorEastAsia"/>
          <w:b/>
          <w:bCs/>
          <w:sz w:val="22"/>
          <w:szCs w:val="22"/>
        </w:rPr>
        <w:t>which one or both of the indicated joint/DL TCI states shall be applied</w:t>
      </w:r>
      <w:r>
        <w:rPr>
          <w:rFonts w:eastAsiaTheme="minorEastAsia"/>
          <w:b/>
          <w:bCs/>
          <w:sz w:val="22"/>
          <w:szCs w:val="22"/>
        </w:rPr>
        <w:t xml:space="preserve">, </w:t>
      </w:r>
      <w:r w:rsidR="00961512">
        <w:rPr>
          <w:rFonts w:eastAsiaTheme="minorEastAsia"/>
          <w:b/>
          <w:bCs/>
          <w:sz w:val="22"/>
          <w:szCs w:val="22"/>
        </w:rPr>
        <w:t xml:space="preserve">UE </w:t>
      </w:r>
      <w:r>
        <w:rPr>
          <w:rFonts w:eastAsiaTheme="minorEastAsia"/>
          <w:b/>
          <w:bCs/>
          <w:sz w:val="22"/>
          <w:szCs w:val="22"/>
        </w:rPr>
        <w:t>receiv</w:t>
      </w:r>
      <w:r w:rsidR="00961512">
        <w:rPr>
          <w:rFonts w:eastAsiaTheme="minorEastAsia"/>
          <w:b/>
          <w:bCs/>
          <w:sz w:val="22"/>
          <w:szCs w:val="22"/>
        </w:rPr>
        <w:t xml:space="preserve">es </w:t>
      </w:r>
      <w:r>
        <w:rPr>
          <w:rFonts w:eastAsiaTheme="minorEastAsia"/>
          <w:b/>
          <w:bCs/>
          <w:sz w:val="22"/>
          <w:szCs w:val="22"/>
        </w:rPr>
        <w:t xml:space="preserve">PDSCH based on one indicated </w:t>
      </w:r>
      <w:r w:rsidRPr="00DC213B">
        <w:rPr>
          <w:rFonts w:eastAsiaTheme="minorEastAsia"/>
          <w:b/>
          <w:bCs/>
          <w:sz w:val="22"/>
          <w:szCs w:val="22"/>
        </w:rPr>
        <w:t>joint/DL TCI state</w:t>
      </w:r>
      <w:r>
        <w:rPr>
          <w:rFonts w:eastAsiaTheme="minorEastAsia"/>
          <w:b/>
          <w:bCs/>
          <w:sz w:val="22"/>
          <w:szCs w:val="22"/>
        </w:rPr>
        <w:t>.</w:t>
      </w:r>
    </w:p>
    <w:p w14:paraId="41ECB73E" w14:textId="117DA16D" w:rsidR="00DC213B" w:rsidRPr="00D61939" w:rsidRDefault="00DC213B" w:rsidP="00DC213B">
      <w:pPr>
        <w:ind w:left="1134" w:hangingChars="515" w:hanging="1134"/>
        <w:jc w:val="both"/>
        <w:rPr>
          <w:rFonts w:eastAsiaTheme="minorEastAsia"/>
          <w:b/>
          <w:bCs/>
          <w:sz w:val="22"/>
          <w:szCs w:val="22"/>
        </w:rPr>
      </w:pPr>
      <w:r w:rsidRPr="00DC213B">
        <w:rPr>
          <w:rFonts w:eastAsiaTheme="minorEastAsia"/>
          <w:b/>
          <w:bCs/>
          <w:sz w:val="22"/>
          <w:szCs w:val="22"/>
        </w:rPr>
        <w:t xml:space="preserve">Proposal </w:t>
      </w:r>
      <w:r w:rsidR="00F15DD9">
        <w:rPr>
          <w:rFonts w:eastAsiaTheme="minorEastAsia"/>
          <w:b/>
          <w:bCs/>
          <w:sz w:val="22"/>
          <w:szCs w:val="22"/>
        </w:rPr>
        <w:t>2</w:t>
      </w:r>
      <w:r w:rsidRPr="00DC213B">
        <w:rPr>
          <w:rFonts w:eastAsiaTheme="minorEastAsia"/>
          <w:b/>
          <w:bCs/>
          <w:sz w:val="22"/>
          <w:szCs w:val="22"/>
        </w:rPr>
        <w:t xml:space="preserve">: For eUTCI framework, if the offset between the reception of the DCI format 1_1/1_2 and the corresponding PDSCH reception is less than a threshold. </w:t>
      </w:r>
    </w:p>
    <w:p w14:paraId="4B910792" w14:textId="76DA912C" w:rsidR="00DC214D" w:rsidRPr="00DC214D" w:rsidRDefault="00DC214D" w:rsidP="00DC214D">
      <w:pPr>
        <w:pStyle w:val="afe"/>
        <w:numPr>
          <w:ilvl w:val="0"/>
          <w:numId w:val="24"/>
        </w:numPr>
        <w:ind w:leftChars="0" w:left="1701"/>
        <w:jc w:val="both"/>
        <w:rPr>
          <w:rFonts w:eastAsiaTheme="minorEastAsia"/>
          <w:b/>
          <w:bCs/>
          <w:sz w:val="22"/>
          <w:szCs w:val="22"/>
        </w:rPr>
      </w:pPr>
      <w:r w:rsidRPr="00DC214D">
        <w:rPr>
          <w:b/>
          <w:sz w:val="22"/>
          <w:szCs w:val="22"/>
        </w:rPr>
        <w:lastRenderedPageBreak/>
        <w:t xml:space="preserve">New parameter or reusing current parameter (e.g., </w:t>
      </w:r>
      <w:r w:rsidRPr="00DC214D">
        <w:rPr>
          <w:b/>
          <w:i/>
          <w:sz w:val="22"/>
          <w:szCs w:val="22"/>
        </w:rPr>
        <w:t>enableTwoDefaultTCI-States</w:t>
      </w:r>
      <w:r w:rsidRPr="00DC214D">
        <w:rPr>
          <w:b/>
          <w:sz w:val="22"/>
          <w:szCs w:val="22"/>
        </w:rPr>
        <w:t xml:space="preserve">) to determine whether to have </w:t>
      </w:r>
      <w:r w:rsidR="00CC2BA7">
        <w:rPr>
          <w:b/>
          <w:sz w:val="22"/>
          <w:szCs w:val="22"/>
        </w:rPr>
        <w:t xml:space="preserve">up to </w:t>
      </w:r>
      <w:r w:rsidRPr="00DC214D">
        <w:rPr>
          <w:b/>
          <w:sz w:val="22"/>
          <w:szCs w:val="22"/>
        </w:rPr>
        <w:t>two TCI state(s) for receiving PDSCH</w:t>
      </w:r>
    </w:p>
    <w:p w14:paraId="0119F4B2" w14:textId="5E611959" w:rsidR="00DC213B" w:rsidRPr="00DC214D" w:rsidRDefault="00DC213B" w:rsidP="00DC213B">
      <w:pPr>
        <w:ind w:left="1134" w:hangingChars="515" w:hanging="1134"/>
        <w:jc w:val="both"/>
        <w:rPr>
          <w:rFonts w:eastAsiaTheme="minorEastAsia"/>
          <w:b/>
          <w:bCs/>
          <w:sz w:val="22"/>
          <w:szCs w:val="22"/>
        </w:rPr>
      </w:pPr>
      <w:r w:rsidRPr="00DC214D">
        <w:rPr>
          <w:rFonts w:eastAsiaTheme="minorEastAsia"/>
          <w:b/>
          <w:bCs/>
          <w:sz w:val="22"/>
          <w:szCs w:val="22"/>
        </w:rPr>
        <w:t xml:space="preserve">Proposal </w:t>
      </w:r>
      <w:r w:rsidR="00F15DD9" w:rsidRPr="00DC214D">
        <w:rPr>
          <w:rFonts w:eastAsiaTheme="minorEastAsia"/>
          <w:b/>
          <w:bCs/>
          <w:sz w:val="22"/>
          <w:szCs w:val="22"/>
        </w:rPr>
        <w:t>3</w:t>
      </w:r>
      <w:r w:rsidRPr="00DC214D">
        <w:rPr>
          <w:rFonts w:eastAsiaTheme="minorEastAsia"/>
          <w:b/>
          <w:bCs/>
          <w:sz w:val="22"/>
          <w:szCs w:val="22"/>
        </w:rPr>
        <w:t xml:space="preserve">: For eUTCI framework, if the offset between the reception of the DCI format 1_0 and the corresponding PDSCH reception is less than a threshold. </w:t>
      </w:r>
    </w:p>
    <w:p w14:paraId="6FA815C6" w14:textId="5B3BF2FC" w:rsidR="00DC213B" w:rsidRPr="00DC214D" w:rsidRDefault="00DC213B" w:rsidP="00DC213B">
      <w:pPr>
        <w:pStyle w:val="afe"/>
        <w:numPr>
          <w:ilvl w:val="0"/>
          <w:numId w:val="24"/>
        </w:numPr>
        <w:ind w:leftChars="0" w:left="1701"/>
        <w:jc w:val="both"/>
        <w:rPr>
          <w:rFonts w:eastAsiaTheme="minorEastAsia"/>
          <w:b/>
          <w:bCs/>
          <w:sz w:val="22"/>
          <w:szCs w:val="22"/>
        </w:rPr>
      </w:pPr>
      <w:r w:rsidRPr="00DC214D">
        <w:rPr>
          <w:rFonts w:eastAsiaTheme="minorEastAsia"/>
          <w:b/>
          <w:bCs/>
          <w:sz w:val="22"/>
          <w:szCs w:val="22"/>
        </w:rPr>
        <w:t xml:space="preserve">Reusing Rel-17 mechanism </w:t>
      </w:r>
      <w:r w:rsidRPr="00DC214D">
        <w:rPr>
          <w:b/>
          <w:sz w:val="22"/>
          <w:szCs w:val="22"/>
        </w:rPr>
        <w:t xml:space="preserve">of determining the default TCI state which is based on either one indicated joint/DL TCI state or </w:t>
      </w:r>
      <w:r w:rsidR="002E5FC7" w:rsidRPr="00DC214D">
        <w:rPr>
          <w:b/>
          <w:sz w:val="22"/>
          <w:szCs w:val="22"/>
        </w:rPr>
        <w:t>TCI state</w:t>
      </w:r>
      <w:r w:rsidRPr="00DC214D">
        <w:rPr>
          <w:b/>
          <w:sz w:val="22"/>
          <w:szCs w:val="22"/>
        </w:rPr>
        <w:t xml:space="preserve"> of CORESET with lowest ID received in latest slot.</w:t>
      </w:r>
      <w:r w:rsidRPr="00DC214D">
        <w:rPr>
          <w:rFonts w:eastAsiaTheme="minorEastAsia"/>
          <w:b/>
          <w:bCs/>
          <w:sz w:val="22"/>
          <w:szCs w:val="22"/>
        </w:rPr>
        <w:t xml:space="preserve"> </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39BCE" w14:textId="77777777" w:rsidR="009A1F3E" w:rsidRDefault="009A1F3E" w:rsidP="000D05D3">
      <w:pPr>
        <w:spacing w:after="0"/>
      </w:pPr>
      <w:r>
        <w:separator/>
      </w:r>
    </w:p>
  </w:endnote>
  <w:endnote w:type="continuationSeparator" w:id="0">
    <w:p w14:paraId="08C69E96" w14:textId="77777777" w:rsidR="009A1F3E" w:rsidRDefault="009A1F3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69931" w14:textId="77777777" w:rsidR="009A1F3E" w:rsidRDefault="009A1F3E" w:rsidP="000D05D3">
      <w:pPr>
        <w:spacing w:after="0"/>
      </w:pPr>
      <w:r>
        <w:separator/>
      </w:r>
    </w:p>
  </w:footnote>
  <w:footnote w:type="continuationSeparator" w:id="0">
    <w:p w14:paraId="3EFF926B" w14:textId="77777777" w:rsidR="009A1F3E" w:rsidRDefault="009A1F3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CB1"/>
    <w:multiLevelType w:val="hybridMultilevel"/>
    <w:tmpl w:val="EB8AB508"/>
    <w:lvl w:ilvl="0" w:tplc="04090001">
      <w:start w:val="1"/>
      <w:numFmt w:val="bullet"/>
      <w:lvlText w:val=""/>
      <w:lvlJc w:val="left"/>
      <w:pPr>
        <w:ind w:left="1880" w:hanging="480"/>
      </w:pPr>
      <w:rPr>
        <w:rFonts w:ascii="Wingdings" w:hAnsi="Wingdings" w:hint="default"/>
      </w:rPr>
    </w:lvl>
    <w:lvl w:ilvl="1" w:tplc="04090003">
      <w:start w:val="1"/>
      <w:numFmt w:val="bullet"/>
      <w:lvlText w:val=""/>
      <w:lvlJc w:val="left"/>
      <w:pPr>
        <w:ind w:left="2360" w:hanging="480"/>
      </w:pPr>
      <w:rPr>
        <w:rFonts w:ascii="Wingdings" w:hAnsi="Wingdings" w:hint="default"/>
      </w:rPr>
    </w:lvl>
    <w:lvl w:ilvl="2" w:tplc="04090005">
      <w:start w:val="1"/>
      <w:numFmt w:val="bullet"/>
      <w:lvlText w:val=""/>
      <w:lvlJc w:val="left"/>
      <w:pPr>
        <w:ind w:left="2840" w:hanging="480"/>
      </w:pPr>
      <w:rPr>
        <w:rFonts w:ascii="Wingdings" w:hAnsi="Wingdings" w:hint="default"/>
      </w:rPr>
    </w:lvl>
    <w:lvl w:ilvl="3" w:tplc="04090001" w:tentative="1">
      <w:start w:val="1"/>
      <w:numFmt w:val="bullet"/>
      <w:lvlText w:val=""/>
      <w:lvlJc w:val="left"/>
      <w:pPr>
        <w:ind w:left="3320" w:hanging="480"/>
      </w:pPr>
      <w:rPr>
        <w:rFonts w:ascii="Wingdings" w:hAnsi="Wingdings" w:hint="default"/>
      </w:rPr>
    </w:lvl>
    <w:lvl w:ilvl="4" w:tplc="04090003" w:tentative="1">
      <w:start w:val="1"/>
      <w:numFmt w:val="bullet"/>
      <w:lvlText w:val=""/>
      <w:lvlJc w:val="left"/>
      <w:pPr>
        <w:ind w:left="3800" w:hanging="480"/>
      </w:pPr>
      <w:rPr>
        <w:rFonts w:ascii="Wingdings" w:hAnsi="Wingdings" w:hint="default"/>
      </w:rPr>
    </w:lvl>
    <w:lvl w:ilvl="5" w:tplc="04090005" w:tentative="1">
      <w:start w:val="1"/>
      <w:numFmt w:val="bullet"/>
      <w:lvlText w:val=""/>
      <w:lvlJc w:val="left"/>
      <w:pPr>
        <w:ind w:left="4280" w:hanging="480"/>
      </w:pPr>
      <w:rPr>
        <w:rFonts w:ascii="Wingdings" w:hAnsi="Wingdings" w:hint="default"/>
      </w:rPr>
    </w:lvl>
    <w:lvl w:ilvl="6" w:tplc="04090001" w:tentative="1">
      <w:start w:val="1"/>
      <w:numFmt w:val="bullet"/>
      <w:lvlText w:val=""/>
      <w:lvlJc w:val="left"/>
      <w:pPr>
        <w:ind w:left="4760" w:hanging="480"/>
      </w:pPr>
      <w:rPr>
        <w:rFonts w:ascii="Wingdings" w:hAnsi="Wingdings" w:hint="default"/>
      </w:rPr>
    </w:lvl>
    <w:lvl w:ilvl="7" w:tplc="04090003" w:tentative="1">
      <w:start w:val="1"/>
      <w:numFmt w:val="bullet"/>
      <w:lvlText w:val=""/>
      <w:lvlJc w:val="left"/>
      <w:pPr>
        <w:ind w:left="5240" w:hanging="480"/>
      </w:pPr>
      <w:rPr>
        <w:rFonts w:ascii="Wingdings" w:hAnsi="Wingdings" w:hint="default"/>
      </w:rPr>
    </w:lvl>
    <w:lvl w:ilvl="8" w:tplc="04090005" w:tentative="1">
      <w:start w:val="1"/>
      <w:numFmt w:val="bullet"/>
      <w:lvlText w:val=""/>
      <w:lvlJc w:val="left"/>
      <w:pPr>
        <w:ind w:left="5720"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EB70A8"/>
    <w:multiLevelType w:val="hybridMultilevel"/>
    <w:tmpl w:val="33DCD1C6"/>
    <w:lvl w:ilvl="0" w:tplc="04090001">
      <w:start w:val="1"/>
      <w:numFmt w:val="bullet"/>
      <w:lvlText w:val=""/>
      <w:lvlJc w:val="left"/>
      <w:pPr>
        <w:ind w:left="1611" w:hanging="480"/>
      </w:pPr>
      <w:rPr>
        <w:rFonts w:ascii="Wingdings" w:hAnsi="Wingdings" w:hint="default"/>
      </w:rPr>
    </w:lvl>
    <w:lvl w:ilvl="1" w:tplc="04090003" w:tentative="1">
      <w:start w:val="1"/>
      <w:numFmt w:val="bullet"/>
      <w:lvlText w:val=""/>
      <w:lvlJc w:val="left"/>
      <w:pPr>
        <w:ind w:left="2091" w:hanging="480"/>
      </w:pPr>
      <w:rPr>
        <w:rFonts w:ascii="Wingdings" w:hAnsi="Wingdings" w:hint="default"/>
      </w:rPr>
    </w:lvl>
    <w:lvl w:ilvl="2" w:tplc="04090005" w:tentative="1">
      <w:start w:val="1"/>
      <w:numFmt w:val="bullet"/>
      <w:lvlText w:val=""/>
      <w:lvlJc w:val="left"/>
      <w:pPr>
        <w:ind w:left="2571" w:hanging="480"/>
      </w:pPr>
      <w:rPr>
        <w:rFonts w:ascii="Wingdings" w:hAnsi="Wingdings" w:hint="default"/>
      </w:rPr>
    </w:lvl>
    <w:lvl w:ilvl="3" w:tplc="04090001" w:tentative="1">
      <w:start w:val="1"/>
      <w:numFmt w:val="bullet"/>
      <w:lvlText w:val=""/>
      <w:lvlJc w:val="left"/>
      <w:pPr>
        <w:ind w:left="3051" w:hanging="480"/>
      </w:pPr>
      <w:rPr>
        <w:rFonts w:ascii="Wingdings" w:hAnsi="Wingdings" w:hint="default"/>
      </w:rPr>
    </w:lvl>
    <w:lvl w:ilvl="4" w:tplc="04090003" w:tentative="1">
      <w:start w:val="1"/>
      <w:numFmt w:val="bullet"/>
      <w:lvlText w:val=""/>
      <w:lvlJc w:val="left"/>
      <w:pPr>
        <w:ind w:left="3531" w:hanging="480"/>
      </w:pPr>
      <w:rPr>
        <w:rFonts w:ascii="Wingdings" w:hAnsi="Wingdings" w:hint="default"/>
      </w:rPr>
    </w:lvl>
    <w:lvl w:ilvl="5" w:tplc="04090005" w:tentative="1">
      <w:start w:val="1"/>
      <w:numFmt w:val="bullet"/>
      <w:lvlText w:val=""/>
      <w:lvlJc w:val="left"/>
      <w:pPr>
        <w:ind w:left="4011" w:hanging="480"/>
      </w:pPr>
      <w:rPr>
        <w:rFonts w:ascii="Wingdings" w:hAnsi="Wingdings" w:hint="default"/>
      </w:rPr>
    </w:lvl>
    <w:lvl w:ilvl="6" w:tplc="04090001" w:tentative="1">
      <w:start w:val="1"/>
      <w:numFmt w:val="bullet"/>
      <w:lvlText w:val=""/>
      <w:lvlJc w:val="left"/>
      <w:pPr>
        <w:ind w:left="4491" w:hanging="480"/>
      </w:pPr>
      <w:rPr>
        <w:rFonts w:ascii="Wingdings" w:hAnsi="Wingdings" w:hint="default"/>
      </w:rPr>
    </w:lvl>
    <w:lvl w:ilvl="7" w:tplc="04090003" w:tentative="1">
      <w:start w:val="1"/>
      <w:numFmt w:val="bullet"/>
      <w:lvlText w:val=""/>
      <w:lvlJc w:val="left"/>
      <w:pPr>
        <w:ind w:left="4971" w:hanging="480"/>
      </w:pPr>
      <w:rPr>
        <w:rFonts w:ascii="Wingdings" w:hAnsi="Wingdings" w:hint="default"/>
      </w:rPr>
    </w:lvl>
    <w:lvl w:ilvl="8" w:tplc="04090005" w:tentative="1">
      <w:start w:val="1"/>
      <w:numFmt w:val="bullet"/>
      <w:lvlText w:val=""/>
      <w:lvlJc w:val="left"/>
      <w:pPr>
        <w:ind w:left="5451" w:hanging="480"/>
      </w:pPr>
      <w:rPr>
        <w:rFonts w:ascii="Wingdings" w:hAnsi="Wingding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CD69D8"/>
    <w:multiLevelType w:val="hybridMultilevel"/>
    <w:tmpl w:val="9B06AEB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3"/>
  </w:num>
  <w:num w:numId="3">
    <w:abstractNumId w:val="3"/>
  </w:num>
  <w:num w:numId="4">
    <w:abstractNumId w:val="15"/>
  </w:num>
  <w:num w:numId="5">
    <w:abstractNumId w:val="24"/>
  </w:num>
  <w:num w:numId="6">
    <w:abstractNumId w:val="16"/>
  </w:num>
  <w:num w:numId="7">
    <w:abstractNumId w:val="23"/>
  </w:num>
  <w:num w:numId="8">
    <w:abstractNumId w:val="10"/>
  </w:num>
  <w:num w:numId="9">
    <w:abstractNumId w:val="2"/>
  </w:num>
  <w:num w:numId="10">
    <w:abstractNumId w:val="1"/>
  </w:num>
  <w:num w:numId="11">
    <w:abstractNumId w:val="22"/>
  </w:num>
  <w:num w:numId="12">
    <w:abstractNumId w:val="19"/>
  </w:num>
  <w:num w:numId="13">
    <w:abstractNumId w:val="11"/>
  </w:num>
  <w:num w:numId="14">
    <w:abstractNumId w:val="12"/>
  </w:num>
  <w:num w:numId="15">
    <w:abstractNumId w:val="9"/>
  </w:num>
  <w:num w:numId="16">
    <w:abstractNumId w:val="8"/>
  </w:num>
  <w:num w:numId="17">
    <w:abstractNumId w:val="6"/>
  </w:num>
  <w:num w:numId="18">
    <w:abstractNumId w:val="7"/>
  </w:num>
  <w:num w:numId="19">
    <w:abstractNumId w:val="20"/>
  </w:num>
  <w:num w:numId="20">
    <w:abstractNumId w:val="18"/>
  </w:num>
  <w:num w:numId="21">
    <w:abstractNumId w:val="4"/>
  </w:num>
  <w:num w:numId="22">
    <w:abstractNumId w:val="17"/>
  </w:num>
  <w:num w:numId="23">
    <w:abstractNumId w:val="21"/>
  </w:num>
  <w:num w:numId="24">
    <w:abstractNumId w:val="0"/>
  </w:num>
  <w:num w:numId="2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17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1DF1"/>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0A2"/>
    <w:rsid w:val="001C734A"/>
    <w:rsid w:val="001C79AF"/>
    <w:rsid w:val="001C7E68"/>
    <w:rsid w:val="001D28DF"/>
    <w:rsid w:val="001E6E00"/>
    <w:rsid w:val="001F2B71"/>
    <w:rsid w:val="001F7232"/>
    <w:rsid w:val="001F7880"/>
    <w:rsid w:val="002026D9"/>
    <w:rsid w:val="00204612"/>
    <w:rsid w:val="00210385"/>
    <w:rsid w:val="002103AD"/>
    <w:rsid w:val="00214CCD"/>
    <w:rsid w:val="00217E6E"/>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5FC7"/>
    <w:rsid w:val="002E61A9"/>
    <w:rsid w:val="002F4B52"/>
    <w:rsid w:val="00302987"/>
    <w:rsid w:val="003048CB"/>
    <w:rsid w:val="00310FB2"/>
    <w:rsid w:val="00314BA6"/>
    <w:rsid w:val="00316D76"/>
    <w:rsid w:val="00317F2D"/>
    <w:rsid w:val="003231B8"/>
    <w:rsid w:val="00323EC6"/>
    <w:rsid w:val="00324153"/>
    <w:rsid w:val="00327264"/>
    <w:rsid w:val="00333A54"/>
    <w:rsid w:val="003348E7"/>
    <w:rsid w:val="00335DC5"/>
    <w:rsid w:val="00343606"/>
    <w:rsid w:val="00352CEC"/>
    <w:rsid w:val="00354606"/>
    <w:rsid w:val="0035664C"/>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067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B6ACB"/>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14CFA"/>
    <w:rsid w:val="006213F7"/>
    <w:rsid w:val="00624642"/>
    <w:rsid w:val="00624FC3"/>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541A"/>
    <w:rsid w:val="00676EE1"/>
    <w:rsid w:val="00677B1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54E9"/>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B7465"/>
    <w:rsid w:val="007D2BD7"/>
    <w:rsid w:val="007D570F"/>
    <w:rsid w:val="007E0F12"/>
    <w:rsid w:val="00800506"/>
    <w:rsid w:val="00803BE9"/>
    <w:rsid w:val="00811DC9"/>
    <w:rsid w:val="00816276"/>
    <w:rsid w:val="00823ED5"/>
    <w:rsid w:val="00824BBC"/>
    <w:rsid w:val="00824DC9"/>
    <w:rsid w:val="008303C3"/>
    <w:rsid w:val="00830BF1"/>
    <w:rsid w:val="00831F31"/>
    <w:rsid w:val="00836846"/>
    <w:rsid w:val="00840447"/>
    <w:rsid w:val="00842128"/>
    <w:rsid w:val="0084308E"/>
    <w:rsid w:val="00844F40"/>
    <w:rsid w:val="00846086"/>
    <w:rsid w:val="008468E3"/>
    <w:rsid w:val="00854452"/>
    <w:rsid w:val="00862EAC"/>
    <w:rsid w:val="00866A83"/>
    <w:rsid w:val="008702AC"/>
    <w:rsid w:val="0087462F"/>
    <w:rsid w:val="0088080D"/>
    <w:rsid w:val="00881AF7"/>
    <w:rsid w:val="00893C78"/>
    <w:rsid w:val="008968B4"/>
    <w:rsid w:val="00897923"/>
    <w:rsid w:val="008A0220"/>
    <w:rsid w:val="008A219B"/>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61512"/>
    <w:rsid w:val="0097193E"/>
    <w:rsid w:val="009765AB"/>
    <w:rsid w:val="0098293C"/>
    <w:rsid w:val="00985936"/>
    <w:rsid w:val="009861B8"/>
    <w:rsid w:val="00991A6F"/>
    <w:rsid w:val="0099286C"/>
    <w:rsid w:val="00994995"/>
    <w:rsid w:val="00995F95"/>
    <w:rsid w:val="009A1C2D"/>
    <w:rsid w:val="009A1F3E"/>
    <w:rsid w:val="009A21A3"/>
    <w:rsid w:val="009A27C8"/>
    <w:rsid w:val="009A298E"/>
    <w:rsid w:val="009A57B6"/>
    <w:rsid w:val="009B592D"/>
    <w:rsid w:val="009B657B"/>
    <w:rsid w:val="009C236E"/>
    <w:rsid w:val="009C2E41"/>
    <w:rsid w:val="009C4D7C"/>
    <w:rsid w:val="009C52B2"/>
    <w:rsid w:val="009D1A39"/>
    <w:rsid w:val="009D2E23"/>
    <w:rsid w:val="009D7917"/>
    <w:rsid w:val="009E09B4"/>
    <w:rsid w:val="009F383D"/>
    <w:rsid w:val="00A01A69"/>
    <w:rsid w:val="00A02A09"/>
    <w:rsid w:val="00A02C42"/>
    <w:rsid w:val="00A0418A"/>
    <w:rsid w:val="00A0625E"/>
    <w:rsid w:val="00A064E1"/>
    <w:rsid w:val="00A06F9E"/>
    <w:rsid w:val="00A07F3D"/>
    <w:rsid w:val="00A30985"/>
    <w:rsid w:val="00A35F1A"/>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F1267"/>
    <w:rsid w:val="00AF5672"/>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457BE"/>
    <w:rsid w:val="00B507E3"/>
    <w:rsid w:val="00B557E7"/>
    <w:rsid w:val="00B62EE7"/>
    <w:rsid w:val="00B65A52"/>
    <w:rsid w:val="00B66008"/>
    <w:rsid w:val="00B70092"/>
    <w:rsid w:val="00B70A92"/>
    <w:rsid w:val="00B72867"/>
    <w:rsid w:val="00B73AAE"/>
    <w:rsid w:val="00B762B0"/>
    <w:rsid w:val="00B824F3"/>
    <w:rsid w:val="00B86DBB"/>
    <w:rsid w:val="00B9053C"/>
    <w:rsid w:val="00B94EF3"/>
    <w:rsid w:val="00B95271"/>
    <w:rsid w:val="00B95831"/>
    <w:rsid w:val="00BA01E6"/>
    <w:rsid w:val="00BA2F84"/>
    <w:rsid w:val="00BA3A25"/>
    <w:rsid w:val="00BA4240"/>
    <w:rsid w:val="00BA46DD"/>
    <w:rsid w:val="00BA4FDA"/>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56106"/>
    <w:rsid w:val="00C60731"/>
    <w:rsid w:val="00C62EAE"/>
    <w:rsid w:val="00C64715"/>
    <w:rsid w:val="00C7089B"/>
    <w:rsid w:val="00C7381B"/>
    <w:rsid w:val="00C767A9"/>
    <w:rsid w:val="00C84956"/>
    <w:rsid w:val="00C96569"/>
    <w:rsid w:val="00C96773"/>
    <w:rsid w:val="00C97B25"/>
    <w:rsid w:val="00CA1A17"/>
    <w:rsid w:val="00CA393C"/>
    <w:rsid w:val="00CA5594"/>
    <w:rsid w:val="00CB5A3D"/>
    <w:rsid w:val="00CB7A08"/>
    <w:rsid w:val="00CC002C"/>
    <w:rsid w:val="00CC2BA7"/>
    <w:rsid w:val="00CC6A60"/>
    <w:rsid w:val="00CC6E3C"/>
    <w:rsid w:val="00CD4CEB"/>
    <w:rsid w:val="00CD540D"/>
    <w:rsid w:val="00CE30F0"/>
    <w:rsid w:val="00CE6689"/>
    <w:rsid w:val="00CF2979"/>
    <w:rsid w:val="00CF5E36"/>
    <w:rsid w:val="00D05DD8"/>
    <w:rsid w:val="00D0785A"/>
    <w:rsid w:val="00D136A2"/>
    <w:rsid w:val="00D26411"/>
    <w:rsid w:val="00D3154F"/>
    <w:rsid w:val="00D319E3"/>
    <w:rsid w:val="00D43C73"/>
    <w:rsid w:val="00D5049B"/>
    <w:rsid w:val="00D55A43"/>
    <w:rsid w:val="00D55A79"/>
    <w:rsid w:val="00D57B62"/>
    <w:rsid w:val="00D61496"/>
    <w:rsid w:val="00D61939"/>
    <w:rsid w:val="00D62F60"/>
    <w:rsid w:val="00D65F05"/>
    <w:rsid w:val="00D670C6"/>
    <w:rsid w:val="00D74598"/>
    <w:rsid w:val="00D74745"/>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C073C"/>
    <w:rsid w:val="00DC1115"/>
    <w:rsid w:val="00DC213B"/>
    <w:rsid w:val="00DC214D"/>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AD2"/>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46F2"/>
    <w:rsid w:val="00EB649A"/>
    <w:rsid w:val="00EB7E35"/>
    <w:rsid w:val="00EC4661"/>
    <w:rsid w:val="00EC4B9C"/>
    <w:rsid w:val="00EC675C"/>
    <w:rsid w:val="00EC78C9"/>
    <w:rsid w:val="00ED25DC"/>
    <w:rsid w:val="00ED6131"/>
    <w:rsid w:val="00EE130E"/>
    <w:rsid w:val="00EE14F4"/>
    <w:rsid w:val="00EE4E23"/>
    <w:rsid w:val="00EE72F2"/>
    <w:rsid w:val="00EF616F"/>
    <w:rsid w:val="00F06187"/>
    <w:rsid w:val="00F132FD"/>
    <w:rsid w:val="00F148F5"/>
    <w:rsid w:val="00F15DD9"/>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1B56-67F6-4D41-9BE2-714FEE5D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811</Words>
  <Characters>4627</Characters>
  <Application>Microsoft Office Word</Application>
  <DocSecurity>0</DocSecurity>
  <Lines>38</Lines>
  <Paragraphs>10</Paragraphs>
  <ScaleCrop>false</ScaleCrop>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8</cp:revision>
  <dcterms:created xsi:type="dcterms:W3CDTF">2023-02-16T09:09:00Z</dcterms:created>
  <dcterms:modified xsi:type="dcterms:W3CDTF">2023-02-17T03:24:00Z</dcterms:modified>
</cp:coreProperties>
</file>