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70F97" w14:textId="145C0A0D" w:rsidR="00487158" w:rsidRPr="00487158" w:rsidRDefault="00487158" w:rsidP="00487158">
      <w:pPr>
        <w:tabs>
          <w:tab w:val="center" w:pos="4536"/>
          <w:tab w:val="right" w:pos="7938"/>
          <w:tab w:val="right" w:pos="9639"/>
        </w:tabs>
        <w:ind w:right="2"/>
        <w:rPr>
          <w:rFonts w:ascii="Arial" w:eastAsia="Batang" w:hAnsi="Arial" w:cs="Arial"/>
          <w:b/>
          <w:bCs/>
          <w:sz w:val="28"/>
          <w:szCs w:val="24"/>
          <w:lang w:val="en-GB"/>
        </w:rPr>
      </w:pPr>
      <w:bookmarkStart w:id="0" w:name="OLE_LINK38"/>
      <w:bookmarkStart w:id="1" w:name="OLE_LINK39"/>
      <w:bookmarkStart w:id="2" w:name="OLE_LINK40"/>
      <w:bookmarkStart w:id="3" w:name="OLE_LINK41"/>
      <w:bookmarkStart w:id="4" w:name="_Hlk117841894"/>
      <w:r w:rsidRPr="00487158">
        <w:rPr>
          <w:rFonts w:ascii="Arial" w:eastAsia="Batang" w:hAnsi="Arial" w:cs="Arial"/>
          <w:b/>
          <w:bCs/>
          <w:sz w:val="28"/>
          <w:szCs w:val="24"/>
          <w:lang w:val="en-GB"/>
        </w:rPr>
        <w:t>3GPP TSG RAN WG1 #111</w:t>
      </w:r>
      <w:r w:rsidRPr="00487158">
        <w:rPr>
          <w:rFonts w:ascii="Arial" w:eastAsia="Batang" w:hAnsi="Arial" w:cs="Arial"/>
          <w:b/>
          <w:bCs/>
          <w:sz w:val="28"/>
          <w:szCs w:val="24"/>
          <w:lang w:val="en-GB"/>
        </w:rPr>
        <w:tab/>
      </w:r>
      <w:r w:rsidRPr="00487158">
        <w:rPr>
          <w:rFonts w:ascii="Arial" w:eastAsia="Batang" w:hAnsi="Arial" w:cs="Arial"/>
          <w:b/>
          <w:bCs/>
          <w:sz w:val="28"/>
          <w:szCs w:val="24"/>
          <w:lang w:val="en-GB"/>
        </w:rPr>
        <w:tab/>
      </w:r>
      <w:r w:rsidRPr="00487158">
        <w:rPr>
          <w:rFonts w:ascii="Arial" w:eastAsia="Batang" w:hAnsi="Arial" w:cs="Arial"/>
          <w:b/>
          <w:bCs/>
          <w:sz w:val="28"/>
          <w:szCs w:val="24"/>
          <w:lang w:val="en-GB"/>
        </w:rPr>
        <w:tab/>
        <w:t>R1-22108</w:t>
      </w:r>
      <w:r>
        <w:rPr>
          <w:rFonts w:ascii="Arial" w:eastAsia="Batang" w:hAnsi="Arial" w:cs="Arial"/>
          <w:b/>
          <w:bCs/>
          <w:sz w:val="28"/>
          <w:szCs w:val="24"/>
          <w:lang w:val="en-GB"/>
        </w:rPr>
        <w:t>26</w:t>
      </w:r>
    </w:p>
    <w:p w14:paraId="222E036D" w14:textId="77777777" w:rsidR="00487158" w:rsidRPr="00487158" w:rsidRDefault="00487158" w:rsidP="00487158">
      <w:pPr>
        <w:tabs>
          <w:tab w:val="center" w:pos="4536"/>
          <w:tab w:val="right" w:pos="9072"/>
        </w:tabs>
        <w:rPr>
          <w:rFonts w:ascii="Arial" w:eastAsia="MS Mincho" w:hAnsi="Arial" w:cs="Arial"/>
          <w:b/>
          <w:bCs/>
          <w:sz w:val="28"/>
          <w:szCs w:val="24"/>
          <w:lang w:val="en-GB" w:eastAsia="ja-JP"/>
        </w:rPr>
      </w:pPr>
      <w:r w:rsidRPr="00487158">
        <w:rPr>
          <w:rFonts w:ascii="Arial" w:eastAsia="MS Mincho" w:hAnsi="Arial" w:cs="Arial"/>
          <w:b/>
          <w:bCs/>
          <w:sz w:val="28"/>
          <w:szCs w:val="24"/>
          <w:lang w:val="en-GB" w:eastAsia="ja-JP"/>
        </w:rPr>
        <w:t>Toulouse, France, November 14</w:t>
      </w:r>
      <w:r w:rsidRPr="00487158">
        <w:rPr>
          <w:rFonts w:ascii="Arial" w:eastAsia="MS Mincho" w:hAnsi="Arial" w:cs="Arial"/>
          <w:b/>
          <w:bCs/>
          <w:sz w:val="28"/>
          <w:szCs w:val="24"/>
          <w:vertAlign w:val="superscript"/>
          <w:lang w:val="en-GB" w:eastAsia="ja-JP"/>
        </w:rPr>
        <w:t>th</w:t>
      </w:r>
      <w:r w:rsidRPr="00487158">
        <w:rPr>
          <w:rFonts w:ascii="Arial" w:eastAsia="MS Mincho" w:hAnsi="Arial" w:cs="Arial"/>
          <w:b/>
          <w:bCs/>
          <w:sz w:val="28"/>
          <w:szCs w:val="24"/>
          <w:lang w:val="en-GB" w:eastAsia="ja-JP"/>
        </w:rPr>
        <w:t xml:space="preserve"> – 18</w:t>
      </w:r>
      <w:r w:rsidRPr="00487158">
        <w:rPr>
          <w:rFonts w:ascii="Arial" w:eastAsia="MS Mincho" w:hAnsi="Arial" w:cs="Arial"/>
          <w:b/>
          <w:bCs/>
          <w:sz w:val="28"/>
          <w:szCs w:val="24"/>
          <w:vertAlign w:val="superscript"/>
          <w:lang w:val="en-GB" w:eastAsia="ja-JP"/>
        </w:rPr>
        <w:t>th</w:t>
      </w:r>
      <w:r w:rsidRPr="00487158">
        <w:rPr>
          <w:rFonts w:ascii="Arial" w:eastAsia="MS Mincho" w:hAnsi="Arial" w:cs="Arial"/>
          <w:b/>
          <w:bCs/>
          <w:sz w:val="28"/>
          <w:szCs w:val="24"/>
          <w:lang w:val="en-GB" w:eastAsia="ja-JP"/>
        </w:rPr>
        <w:t>, 2022</w:t>
      </w:r>
    </w:p>
    <w:p w14:paraId="5A4631D5" w14:textId="77777777" w:rsidR="00487158" w:rsidRPr="00487158" w:rsidRDefault="00487158" w:rsidP="00487158">
      <w:pPr>
        <w:rPr>
          <w:rFonts w:ascii="Times" w:eastAsia="Batang" w:hAnsi="Times"/>
          <w:lang w:val="en-GB"/>
        </w:rPr>
      </w:pPr>
    </w:p>
    <w:bookmarkEnd w:id="4"/>
    <w:p w14:paraId="610F8BF9" w14:textId="406DF36F" w:rsidR="00832F9F" w:rsidRPr="00692073" w:rsidRDefault="00832F9F" w:rsidP="00832F9F">
      <w:pPr>
        <w:pStyle w:val="CRCoverPage"/>
        <w:tabs>
          <w:tab w:val="right" w:pos="9639"/>
        </w:tabs>
        <w:spacing w:after="0"/>
        <w:rPr>
          <w:b/>
          <w:i/>
          <w:noProof/>
          <w:sz w:val="28"/>
          <w:lang w:eastAsia="zh-CN"/>
        </w:rPr>
      </w:pPr>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FC1A49" w:rsidRPr="00FC1A49">
        <w:rPr>
          <w:rFonts w:cs="Arial"/>
          <w:b/>
          <w:bCs/>
          <w:sz w:val="24"/>
        </w:rPr>
        <w:t>S2-2209979</w:t>
      </w:r>
    </w:p>
    <w:p w14:paraId="2C79C41F" w14:textId="68260998"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04BAE5F9" w:rsidR="00463675" w:rsidRPr="00692073" w:rsidRDefault="00463675" w:rsidP="631C9F20">
      <w:pPr>
        <w:pStyle w:val="Title"/>
        <w:spacing w:line="259" w:lineRule="auto"/>
      </w:pPr>
      <w:r w:rsidRPr="00692073">
        <w:t>Title:</w:t>
      </w:r>
      <w:r w:rsidRPr="00692073">
        <w:tab/>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Title"/>
      </w:pPr>
      <w:r w:rsidRPr="00692073">
        <w:t>Response to:</w:t>
      </w:r>
      <w:r w:rsidRPr="00692073">
        <w:tab/>
      </w:r>
      <w:r w:rsidR="002A1411" w:rsidRPr="00692073">
        <w:t>LS on UE Power Saving for XR and Media Services (</w:t>
      </w:r>
      <w:bookmarkStart w:id="5" w:name="_Hlk116306511"/>
      <w:r w:rsidR="002A1411" w:rsidRPr="00692073">
        <w:t>R1-2205531/S2-220</w:t>
      </w:r>
      <w:r w:rsidR="002A1411" w:rsidRPr="00522061">
        <w:t>8105</w:t>
      </w:r>
      <w:bookmarkEnd w:id="5"/>
      <w:r w:rsidR="002A1411" w:rsidRPr="00522061">
        <w:t>)</w:t>
      </w:r>
      <w:r w:rsidR="004D23BE" w:rsidRPr="00522061">
        <w:t xml:space="preserve"> and LS on XR-awareness in RAN (R2-2209215/S2-2208144)</w:t>
      </w:r>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487158" w:rsidRDefault="00463675" w:rsidP="000F4E43">
      <w:pPr>
        <w:pStyle w:val="Source"/>
        <w:rPr>
          <w:lang w:val="en-GB"/>
        </w:rPr>
      </w:pPr>
      <w:r w:rsidRPr="00487158">
        <w:rPr>
          <w:lang w:val="en-GB"/>
        </w:rPr>
        <w:t>Source:</w:t>
      </w:r>
      <w:r w:rsidRPr="00487158">
        <w:rPr>
          <w:lang w:val="en-GB"/>
        </w:rPr>
        <w:tab/>
      </w:r>
      <w:r w:rsidR="00A51842" w:rsidRPr="00487158">
        <w:rPr>
          <w:bCs/>
          <w:lang w:val="en-GB"/>
        </w:rPr>
        <w:t>3GPP TSG SA</w:t>
      </w:r>
      <w:r w:rsidR="00A51842" w:rsidRPr="00487158">
        <w:rPr>
          <w:lang w:val="en-GB"/>
        </w:rPr>
        <w:t xml:space="preserve"> WG</w:t>
      </w:r>
      <w:r w:rsidR="00C831C8" w:rsidRPr="00487158">
        <w:rPr>
          <w:lang w:val="en-GB"/>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4F44BEA2" w:rsidR="00463675" w:rsidRPr="00692073" w:rsidRDefault="00463675" w:rsidP="000F4E43">
      <w:pPr>
        <w:pStyle w:val="Title"/>
      </w:pPr>
      <w:r w:rsidRPr="00692073">
        <w:t>Attachments:</w:t>
      </w:r>
      <w:r w:rsidRPr="00692073">
        <w:tab/>
      </w:r>
      <w:r w:rsidR="002604B6" w:rsidRPr="002604B6">
        <w:rPr>
          <w:rFonts w:eastAsia="DengXian"/>
          <w:lang w:eastAsia="zh-CN"/>
        </w:rPr>
        <w:t>S2-2209977</w:t>
      </w:r>
      <w:r w:rsidR="00054497">
        <w:rPr>
          <w:rFonts w:eastAsia="DengXian"/>
          <w:lang w:eastAsia="zh-CN"/>
        </w:rPr>
        <w:t>,</w:t>
      </w:r>
      <w:r w:rsidR="002604B6" w:rsidRPr="002604B6">
        <w:t xml:space="preserve"> </w:t>
      </w:r>
      <w:r w:rsidR="002604B6" w:rsidRPr="002604B6">
        <w:rPr>
          <w:rFonts w:eastAsia="DengXian"/>
          <w:lang w:eastAsia="zh-CN"/>
        </w:rPr>
        <w:t>S2-2209978</w:t>
      </w:r>
      <w:r w:rsidR="00054497">
        <w:rPr>
          <w:rFonts w:eastAsia="DengXian" w:cs="Times New Roman"/>
          <w:lang w:eastAsia="zh-CN"/>
        </w:rPr>
        <w:t>,</w:t>
      </w:r>
      <w:r w:rsidR="00054497" w:rsidRPr="00054497">
        <w:rPr>
          <w:rFonts w:eastAsia="DengXian"/>
        </w:rPr>
        <w:t xml:space="preserve"> </w:t>
      </w:r>
      <w:r w:rsidR="00FE6694" w:rsidRPr="00FE6694">
        <w:rPr>
          <w:rFonts w:eastAsia="DengXian"/>
        </w:rPr>
        <w:t>S2-2209938</w:t>
      </w:r>
      <w:r w:rsidR="00054497">
        <w:rPr>
          <w:rFonts w:eastAsia="DengXian"/>
        </w:rPr>
        <w:t>,</w:t>
      </w:r>
      <w:r w:rsidR="00054497" w:rsidRPr="00054497">
        <w:rPr>
          <w:rFonts w:eastAsia="DengXian"/>
        </w:rPr>
        <w:t xml:space="preserve"> </w:t>
      </w:r>
      <w:r w:rsidR="00FE6694" w:rsidRPr="00FE6694">
        <w:rPr>
          <w:rFonts w:eastAsia="DengXian"/>
        </w:rPr>
        <w:t>S2-2209939</w:t>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r w:rsidR="002A1411" w:rsidRPr="00692073">
        <w:rPr>
          <w:rFonts w:ascii="Arial" w:eastAsia="DengXian" w:hAnsi="Arial" w:cs="Arial"/>
          <w:bCs/>
        </w:rPr>
        <w:t>2208105</w:t>
      </w:r>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22E4BAF4" w:rsidR="00D434B6" w:rsidRPr="00054497"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r w:rsidR="00961000" w:rsidRPr="00692073">
        <w:rPr>
          <w:rFonts w:eastAsia="DengXian"/>
          <w:lang w:eastAsia="zh-CN"/>
        </w:rPr>
        <w:t xml:space="preserve"> (Network </w:t>
      </w:r>
      <w:r w:rsidR="00961000" w:rsidRPr="00054497">
        <w:rPr>
          <w:rFonts w:eastAsia="DengXian"/>
          <w:lang w:eastAsia="zh-CN"/>
        </w:rPr>
        <w:t>exposure)</w:t>
      </w:r>
      <w:r w:rsidRPr="00054497">
        <w:rPr>
          <w:rFonts w:eastAsia="DengXian"/>
          <w:lang w:eastAsia="zh-CN"/>
        </w:rPr>
        <w:t xml:space="preserve">, SA2 has been </w:t>
      </w:r>
      <w:r w:rsidR="00C23E24" w:rsidRPr="00054497">
        <w:rPr>
          <w:rFonts w:eastAsia="DengXian"/>
          <w:lang w:eastAsia="zh-CN"/>
        </w:rPr>
        <w:t>stud</w:t>
      </w:r>
      <w:r w:rsidRPr="00054497">
        <w:rPr>
          <w:rFonts w:eastAsia="DengXian"/>
          <w:lang w:eastAsia="zh-CN"/>
        </w:rPr>
        <w:t>ying</w:t>
      </w:r>
      <w:r w:rsidR="00C23E24" w:rsidRPr="00054497">
        <w:rPr>
          <w:rFonts w:eastAsia="DengXian"/>
          <w:lang w:eastAsia="zh-CN"/>
        </w:rPr>
        <w:t xml:space="preserve"> what information is useful </w:t>
      </w:r>
      <w:r w:rsidR="006759B9" w:rsidRPr="00054497">
        <w:rPr>
          <w:rFonts w:eastAsia="DengXian"/>
          <w:lang w:eastAsia="zh-CN"/>
        </w:rPr>
        <w:t xml:space="preserve">for the purpose of enablement of rate adaptation </w:t>
      </w:r>
      <w:r w:rsidR="00902651" w:rsidRPr="00054497">
        <w:rPr>
          <w:rFonts w:eastAsia="DengXian"/>
          <w:lang w:eastAsia="zh-CN"/>
        </w:rPr>
        <w:t xml:space="preserve">at application </w:t>
      </w:r>
      <w:r w:rsidR="00C23E24" w:rsidRPr="00054497">
        <w:rPr>
          <w:rFonts w:eastAsia="DengXian"/>
          <w:lang w:eastAsia="zh-CN"/>
        </w:rPr>
        <w:t xml:space="preserve">and </w:t>
      </w:r>
      <w:r w:rsidR="006759B9" w:rsidRPr="00054497">
        <w:rPr>
          <w:rFonts w:eastAsia="DengXian"/>
          <w:lang w:eastAsia="zh-CN"/>
        </w:rPr>
        <w:t xml:space="preserve">how that </w:t>
      </w:r>
      <w:r w:rsidR="00C23E24" w:rsidRPr="00054497">
        <w:rPr>
          <w:rFonts w:eastAsia="DengXian"/>
          <w:lang w:eastAsia="zh-CN"/>
        </w:rPr>
        <w:t>can be exposed by 5GS to the server</w:t>
      </w:r>
      <w:r w:rsidR="00054497" w:rsidRPr="00054497">
        <w:rPr>
          <w:rFonts w:eastAsia="DengXian"/>
          <w:lang w:eastAsia="zh-CN"/>
        </w:rPr>
        <w:t xml:space="preserve"> and agreed the conclusions in TR 23.700-60 clause 8 (see </w:t>
      </w:r>
      <w:proofErr w:type="spellStart"/>
      <w:r w:rsidR="00054497" w:rsidRPr="00054497">
        <w:rPr>
          <w:rFonts w:eastAsia="DengXian"/>
          <w:lang w:eastAsia="zh-CN"/>
        </w:rPr>
        <w:t>pCR</w:t>
      </w:r>
      <w:proofErr w:type="spellEnd"/>
      <w:r w:rsidR="00054497" w:rsidRPr="00054497">
        <w:rPr>
          <w:rFonts w:eastAsia="DengXian"/>
          <w:lang w:eastAsia="zh-CN"/>
        </w:rPr>
        <w:t xml:space="preserve"> </w:t>
      </w:r>
      <w:r w:rsidR="002604B6" w:rsidRPr="00AF58BE">
        <w:rPr>
          <w:rFonts w:eastAsia="DengXian"/>
          <w:lang w:eastAsia="zh-CN"/>
        </w:rPr>
        <w:t>S2-2209977</w:t>
      </w:r>
      <w:r w:rsidR="00054497" w:rsidRPr="00054497">
        <w:rPr>
          <w:rFonts w:eastAsia="DengXian"/>
          <w:lang w:eastAsia="zh-CN"/>
        </w:rPr>
        <w:t xml:space="preserve"> and </w:t>
      </w:r>
      <w:r w:rsidR="002604B6" w:rsidRPr="002604B6">
        <w:rPr>
          <w:rFonts w:eastAsia="DengXian"/>
          <w:lang w:eastAsia="zh-CN"/>
        </w:rPr>
        <w:t>S2-2209978</w:t>
      </w:r>
      <w:r w:rsidR="00054497" w:rsidRPr="00054497">
        <w:rPr>
          <w:rFonts w:eastAsia="DengXian"/>
          <w:lang w:eastAsia="zh-CN"/>
        </w:rPr>
        <w:t>)</w:t>
      </w:r>
      <w:r w:rsidR="00C23E24" w:rsidRPr="00054497">
        <w:rPr>
          <w:rFonts w:eastAsia="DengXian"/>
          <w:lang w:eastAsia="zh-CN"/>
        </w:rPr>
        <w:t xml:space="preserve">. </w:t>
      </w:r>
      <w:r w:rsidR="00E86B87" w:rsidRPr="00054497">
        <w:rPr>
          <w:rFonts w:eastAsia="DengXian"/>
          <w:lang w:eastAsia="zh-CN"/>
        </w:rPr>
        <w:t>The purpose of rate adaptation is to reduce the influx of data to keep the buffer/queue length level low which gives low latency.</w:t>
      </w:r>
    </w:p>
    <w:p w14:paraId="1428161A" w14:textId="432B47B9" w:rsidR="006701C0" w:rsidRPr="00054497" w:rsidRDefault="00261FBD" w:rsidP="00D434B6">
      <w:pPr>
        <w:pStyle w:val="B1"/>
        <w:ind w:left="720" w:firstLine="0"/>
      </w:pPr>
      <w:r w:rsidRPr="00054497">
        <w:rPr>
          <w:rFonts w:cs="Arial"/>
        </w:rPr>
        <w:t xml:space="preserve">Two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024EA85C" w:rsidR="00AA7055" w:rsidRPr="00054497" w:rsidRDefault="00AA7055" w:rsidP="00AA7055">
      <w:pPr>
        <w:pStyle w:val="B1"/>
        <w:numPr>
          <w:ilvl w:val="1"/>
          <w:numId w:val="20"/>
        </w:numPr>
        <w:rPr>
          <w:rFonts w:eastAsia="DengXian"/>
          <w:lang w:eastAsia="zh-CN"/>
        </w:rPr>
      </w:pPr>
      <w:r w:rsidRPr="00054497">
        <w:rPr>
          <w:rFonts w:eastAsia="DengXian"/>
          <w:lang w:eastAsia="zh-CN"/>
        </w:rPr>
        <w:t xml:space="preserve">Q1: whether it is feasible for RAN to </w:t>
      </w:r>
      <w:r w:rsidR="001553AD" w:rsidRPr="00054497">
        <w:rPr>
          <w:rFonts w:eastAsia="DengXian"/>
          <w:lang w:eastAsia="zh-CN"/>
        </w:rPr>
        <w:t>estimate congestion</w:t>
      </w:r>
      <w:r w:rsidR="001553AD" w:rsidRPr="00054497" w:rsidDel="001553AD">
        <w:rPr>
          <w:rFonts w:eastAsia="DengXian"/>
          <w:lang w:eastAsia="zh-CN"/>
        </w:rPr>
        <w:t xml:space="preserve"> </w:t>
      </w:r>
      <w:r w:rsidR="00522061">
        <w:rPr>
          <w:rFonts w:eastAsia="DengXian"/>
          <w:lang w:eastAsia="zh-CN"/>
        </w:rPr>
        <w:t xml:space="preserve">information </w:t>
      </w:r>
      <w:r w:rsidRPr="00054497">
        <w:rPr>
          <w:rFonts w:eastAsia="DengXian"/>
          <w:lang w:eastAsia="zh-CN"/>
        </w:rPr>
        <w:t>per QoS flow, per DRB in downlink and uplink directions.</w:t>
      </w:r>
    </w:p>
    <w:p w14:paraId="205B3E0C" w14:textId="324EEA9C" w:rsidR="00AA7055" w:rsidRPr="0049129C" w:rsidRDefault="00AA7055" w:rsidP="00477858">
      <w:pPr>
        <w:pStyle w:val="B1"/>
        <w:numPr>
          <w:ilvl w:val="1"/>
          <w:numId w:val="20"/>
        </w:numPr>
        <w:rPr>
          <w:rFonts w:eastAsia="DengXian"/>
          <w:lang w:eastAsia="zh-CN"/>
        </w:rPr>
      </w:pPr>
      <w:r w:rsidRPr="0049129C">
        <w:rPr>
          <w:rFonts w:eastAsia="DengXian"/>
          <w:lang w:eastAsia="zh-CN"/>
        </w:rPr>
        <w:t xml:space="preserve">Q2: whether it is feasible for RAN to </w:t>
      </w:r>
      <w:r w:rsidR="001553AD" w:rsidRPr="0049129C">
        <w:rPr>
          <w:rFonts w:eastAsia="DengXian"/>
          <w:lang w:eastAsia="zh-CN"/>
        </w:rPr>
        <w:t>estimate congestion</w:t>
      </w:r>
      <w:r w:rsidRPr="0049129C">
        <w:rPr>
          <w:rFonts w:eastAsia="DengXian"/>
          <w:lang w:eastAsia="zh-CN"/>
        </w:rPr>
        <w:t xml:space="preserve"> </w:t>
      </w:r>
      <w:r w:rsidR="00522061" w:rsidRPr="0049129C">
        <w:rPr>
          <w:rFonts w:eastAsia="DengXian"/>
          <w:lang w:eastAsia="zh-CN"/>
        </w:rPr>
        <w:t xml:space="preserve">information </w:t>
      </w:r>
      <w:r w:rsidRPr="0049129C">
        <w:rPr>
          <w:rFonts w:eastAsia="DengXian"/>
          <w:lang w:eastAsia="zh-CN"/>
        </w:rPr>
        <w:t xml:space="preserve">per QoS flow in UL, per DRB in UL without UE impacts. </w:t>
      </w:r>
    </w:p>
    <w:p w14:paraId="11298964" w14:textId="188B3D0A" w:rsidR="00261FBD" w:rsidRPr="00692073" w:rsidRDefault="00261FBD" w:rsidP="00054497">
      <w:pPr>
        <w:pStyle w:val="B1"/>
        <w:ind w:left="720" w:firstLine="0"/>
        <w:rPr>
          <w:rFonts w:eastAsia="DengXian"/>
          <w:lang w:eastAsia="zh-CN"/>
        </w:rPr>
      </w:pPr>
    </w:p>
    <w:p w14:paraId="6BB98160" w14:textId="77777777" w:rsidR="00993D87" w:rsidRPr="00692073" w:rsidRDefault="00993D87" w:rsidP="00F72AB7">
      <w:pPr>
        <w:pStyle w:val="B1"/>
        <w:ind w:left="1200" w:firstLine="0"/>
        <w:rPr>
          <w:rFonts w:eastAsia="DengXian"/>
          <w:lang w:eastAsia="zh-CN"/>
        </w:rPr>
      </w:pPr>
    </w:p>
    <w:p w14:paraId="054F78C4" w14:textId="3BE4F1B1" w:rsidR="004F20E3" w:rsidRPr="00054497" w:rsidRDefault="004C751F" w:rsidP="00054497">
      <w:pPr>
        <w:pStyle w:val="B1"/>
        <w:numPr>
          <w:ilvl w:val="0"/>
          <w:numId w:val="20"/>
        </w:numPr>
        <w:rPr>
          <w:rFonts w:eastAsia="DengXian" w:cs="Arial"/>
          <w:bCs/>
        </w:rPr>
      </w:pPr>
      <w:bookmarkStart w:id="6" w:name="_Hlk111069693"/>
      <w:r w:rsidRPr="00692073">
        <w:rPr>
          <w:rFonts w:eastAsia="DengXian" w:cs="Arial"/>
          <w:bCs/>
        </w:rPr>
        <w:t xml:space="preserve">In </w:t>
      </w:r>
      <w:r w:rsidR="00534AD3" w:rsidRPr="00692073">
        <w:rPr>
          <w:rFonts w:eastAsia="DengXian" w:cs="Arial"/>
          <w:bCs/>
        </w:rPr>
        <w:t>KI#4&amp;5</w:t>
      </w:r>
      <w:r w:rsidR="004F20E3" w:rsidRPr="00692073">
        <w:rPr>
          <w:rFonts w:eastAsia="DengXian" w:cs="Arial"/>
          <w:bCs/>
        </w:rPr>
        <w:t xml:space="preserve"> (PDU Set based QoS framework)</w:t>
      </w:r>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bookmarkEnd w:id="6"/>
      <w:r w:rsidR="004F20E3" w:rsidRPr="00054497">
        <w:rPr>
          <w:rFonts w:eastAsia="DengXian" w:cs="Arial"/>
          <w:bCs/>
        </w:rPr>
        <w:t xml:space="preserve">SA2 has agreed to send to the </w:t>
      </w:r>
      <w:proofErr w:type="spellStart"/>
      <w:r w:rsidR="004F20E3" w:rsidRPr="00054497">
        <w:rPr>
          <w:rFonts w:eastAsia="DengXian" w:cs="Arial"/>
          <w:bCs/>
        </w:rPr>
        <w:t>gNB</w:t>
      </w:r>
      <w:proofErr w:type="spellEnd"/>
      <w:r w:rsidR="004F20E3" w:rsidRPr="00054497">
        <w:rPr>
          <w:rFonts w:eastAsia="DengXian" w:cs="Arial"/>
          <w:bCs/>
        </w:rPr>
        <w:t xml:space="preserve"> the information captured in TR 23.700-60 clause 8 (see agreed </w:t>
      </w:r>
      <w:proofErr w:type="spellStart"/>
      <w:r w:rsidR="004F20E3" w:rsidRPr="00054497">
        <w:rPr>
          <w:rFonts w:eastAsia="DengXian" w:cs="Arial"/>
          <w:bCs/>
        </w:rPr>
        <w:t>pCR</w:t>
      </w:r>
      <w:proofErr w:type="spellEnd"/>
      <w:r w:rsidR="004F20E3" w:rsidRPr="00054497">
        <w:rPr>
          <w:rFonts w:eastAsia="DengXian" w:cs="Arial"/>
          <w:bCs/>
        </w:rPr>
        <w:t xml:space="preserve"> </w:t>
      </w:r>
      <w:r w:rsidR="00FE6694" w:rsidRPr="00FE6694">
        <w:rPr>
          <w:rFonts w:eastAsia="DengXian" w:cs="Arial"/>
          <w:bCs/>
        </w:rPr>
        <w:t>S2-2209938</w:t>
      </w:r>
      <w:r w:rsidR="004F20E3" w:rsidRPr="00054497">
        <w:rPr>
          <w:rFonts w:eastAsia="DengXian" w:cs="Arial"/>
          <w:bCs/>
        </w:rPr>
        <w:t>)</w:t>
      </w:r>
      <w:r w:rsidR="00FE4BD5" w:rsidRPr="00054497">
        <w:rPr>
          <w:rFonts w:eastAsia="DengXian" w:cs="Arial"/>
          <w:bCs/>
        </w:rPr>
        <w:t>.</w:t>
      </w:r>
    </w:p>
    <w:p w14:paraId="1D1699CC" w14:textId="49AEB4AC" w:rsidR="002A1411" w:rsidRPr="00692073" w:rsidRDefault="002A1411" w:rsidP="002A1411">
      <w:pPr>
        <w:pStyle w:val="B1"/>
        <w:ind w:left="360" w:firstLine="0"/>
        <w:rPr>
          <w:rFonts w:eastAsia="DengXian" w:cs="Arial"/>
          <w:bCs/>
        </w:rPr>
      </w:pPr>
    </w:p>
    <w:p w14:paraId="79C83D16" w14:textId="77777777" w:rsidR="00054497" w:rsidRDefault="00054497" w:rsidP="00054497">
      <w:pPr>
        <w:pStyle w:val="B1"/>
        <w:ind w:left="720" w:firstLine="0"/>
        <w:rPr>
          <w:rFonts w:eastAsia="DengXian" w:cs="Arial"/>
          <w:bCs/>
        </w:rPr>
      </w:pPr>
    </w:p>
    <w:p w14:paraId="6C3D92FC" w14:textId="2294590F" w:rsidR="0021096E" w:rsidRPr="00692073" w:rsidRDefault="000D5950" w:rsidP="00054497">
      <w:pPr>
        <w:pStyle w:val="B1"/>
        <w:numPr>
          <w:ilvl w:val="0"/>
          <w:numId w:val="20"/>
        </w:numPr>
        <w:rPr>
          <w:lang w:val="en-GB"/>
        </w:rPr>
      </w:pPr>
      <w:r w:rsidRPr="00692073">
        <w:rPr>
          <w:rFonts w:eastAsia="DengXian" w:cs="Arial"/>
          <w:bCs/>
        </w:rPr>
        <w:t>In KI#8</w:t>
      </w:r>
      <w:r w:rsidR="00EE3D2D">
        <w:rPr>
          <w:rFonts w:eastAsia="DengXian" w:cs="Arial"/>
          <w:bCs/>
        </w:rPr>
        <w:t xml:space="preserve"> (Power Saving)</w:t>
      </w:r>
      <w:r w:rsidRPr="00692073">
        <w:rPr>
          <w:rFonts w:eastAsia="DengXian" w:cs="Arial"/>
          <w:bCs/>
        </w:rPr>
        <w:t>,</w:t>
      </w:r>
      <w:r w:rsidR="00277415" w:rsidRPr="00692073">
        <w:rPr>
          <w:rFonts w:eastAsia="DengXian" w:cs="Arial"/>
          <w:bCs/>
        </w:rPr>
        <w:t xml:space="preserve"> </w:t>
      </w:r>
      <w:r w:rsidR="00EE3D2D">
        <w:rPr>
          <w:rFonts w:cs="Arial"/>
          <w:lang w:val="en-US"/>
        </w:rPr>
        <w:t>as to</w:t>
      </w:r>
      <w:r w:rsidR="002A1411" w:rsidRPr="00692073">
        <w:rPr>
          <w:rFonts w:cs="Arial"/>
          <w:lang w:val="en-US"/>
        </w:rPr>
        <w:t xml:space="preserve"> </w:t>
      </w:r>
      <w:r w:rsidR="002A1411" w:rsidRPr="00692073">
        <w:rPr>
          <w:rFonts w:eastAsia="DengXian" w:cs="Arial"/>
          <w:bCs/>
        </w:rPr>
        <w:t>RAN1’s LS reply (R1-2205531/S2-2208105)</w:t>
      </w:r>
      <w:r w:rsidR="002A1411" w:rsidRPr="00692073">
        <w:rPr>
          <w:rFonts w:cs="Arial"/>
          <w:lang w:val="en-US"/>
        </w:rPr>
        <w:t xml:space="preserve">, SA2 notes that RAN1 indicates that it may be helpful for the core network to provide RAN with the following pieces of </w:t>
      </w:r>
      <w:r w:rsidR="002A1411" w:rsidRPr="00692073">
        <w:rPr>
          <w:rFonts w:cs="Arial"/>
          <w:lang w:val="en-US"/>
        </w:rPr>
        <w:lastRenderedPageBreak/>
        <w:t xml:space="preserve">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7" w:name="_Hlk110954903"/>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r w:rsidR="004F20E3" w:rsidRPr="00692073">
        <w:rPr>
          <w:rFonts w:eastAsia="DengXian" w:cs="Arial"/>
          <w:bCs/>
        </w:rPr>
        <w:t xml:space="preserve">(See agreed </w:t>
      </w:r>
      <w:proofErr w:type="spellStart"/>
      <w:r w:rsidR="004F20E3" w:rsidRPr="00692073">
        <w:rPr>
          <w:rFonts w:eastAsia="DengXian" w:cs="Arial"/>
          <w:bCs/>
        </w:rPr>
        <w:t>pCR</w:t>
      </w:r>
      <w:proofErr w:type="spellEnd"/>
      <w:r w:rsidR="004F20E3" w:rsidRPr="00692073">
        <w:rPr>
          <w:rFonts w:eastAsia="DengXian" w:cs="Arial"/>
          <w:bCs/>
        </w:rPr>
        <w:t xml:space="preserve"> </w:t>
      </w:r>
      <w:hyperlink r:id="rId13" w:history="1">
        <w:r w:rsidR="00FE6694" w:rsidRPr="00B05143">
          <w:rPr>
            <w:rFonts w:eastAsia="DengXian"/>
            <w:bCs/>
          </w:rPr>
          <w:t>S2-2209939</w:t>
        </w:r>
      </w:hyperlink>
      <w:r w:rsidR="004F20E3" w:rsidRPr="00692073">
        <w:rPr>
          <w:rFonts w:eastAsia="DengXian" w:cs="Arial"/>
          <w:bCs/>
        </w:rPr>
        <w:t xml:space="preserve">) </w:t>
      </w:r>
      <w:bookmarkEnd w:id="7"/>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47F75" w14:textId="77777777" w:rsidR="005838AB" w:rsidRDefault="005838AB">
      <w:r>
        <w:separator/>
      </w:r>
    </w:p>
  </w:endnote>
  <w:endnote w:type="continuationSeparator" w:id="0">
    <w:p w14:paraId="61C0DFA1" w14:textId="77777777" w:rsidR="005838AB" w:rsidRDefault="005838AB">
      <w:r>
        <w:continuationSeparator/>
      </w:r>
    </w:p>
  </w:endnote>
  <w:endnote w:type="continuationNotice" w:id="1">
    <w:p w14:paraId="7BD8B282" w14:textId="77777777" w:rsidR="005838AB" w:rsidRDefault="00583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1A53" w14:textId="77777777" w:rsidR="005838AB" w:rsidRDefault="005838AB">
      <w:r>
        <w:separator/>
      </w:r>
    </w:p>
  </w:footnote>
  <w:footnote w:type="continuationSeparator" w:id="0">
    <w:p w14:paraId="46589C03" w14:textId="77777777" w:rsidR="005838AB" w:rsidRDefault="005838AB">
      <w:r>
        <w:continuationSeparator/>
      </w:r>
    </w:p>
  </w:footnote>
  <w:footnote w:type="continuationNotice" w:id="1">
    <w:p w14:paraId="71AA040A" w14:textId="77777777" w:rsidR="005838AB" w:rsidRDefault="005838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9646449">
    <w:abstractNumId w:val="20"/>
  </w:num>
  <w:num w:numId="2" w16cid:durableId="946699357">
    <w:abstractNumId w:val="17"/>
  </w:num>
  <w:num w:numId="3" w16cid:durableId="2117481166">
    <w:abstractNumId w:val="13"/>
  </w:num>
  <w:num w:numId="4" w16cid:durableId="1352607146">
    <w:abstractNumId w:val="10"/>
  </w:num>
  <w:num w:numId="5" w16cid:durableId="843519570">
    <w:abstractNumId w:val="9"/>
  </w:num>
  <w:num w:numId="6" w16cid:durableId="1505514540">
    <w:abstractNumId w:val="7"/>
  </w:num>
  <w:num w:numId="7" w16cid:durableId="1459028196">
    <w:abstractNumId w:val="6"/>
  </w:num>
  <w:num w:numId="8" w16cid:durableId="1226144092">
    <w:abstractNumId w:val="5"/>
  </w:num>
  <w:num w:numId="9" w16cid:durableId="27804776">
    <w:abstractNumId w:val="4"/>
  </w:num>
  <w:num w:numId="10" w16cid:durableId="1715082101">
    <w:abstractNumId w:val="8"/>
  </w:num>
  <w:num w:numId="11" w16cid:durableId="793985431">
    <w:abstractNumId w:val="3"/>
  </w:num>
  <w:num w:numId="12" w16cid:durableId="1876119755">
    <w:abstractNumId w:val="2"/>
  </w:num>
  <w:num w:numId="13" w16cid:durableId="987704275">
    <w:abstractNumId w:val="1"/>
  </w:num>
  <w:num w:numId="14" w16cid:durableId="1691881829">
    <w:abstractNumId w:val="0"/>
  </w:num>
  <w:num w:numId="15" w16cid:durableId="348600813">
    <w:abstractNumId w:val="19"/>
  </w:num>
  <w:num w:numId="16" w16cid:durableId="517275905">
    <w:abstractNumId w:val="11"/>
  </w:num>
  <w:num w:numId="17" w16cid:durableId="1296908375">
    <w:abstractNumId w:val="18"/>
  </w:num>
  <w:num w:numId="18" w16cid:durableId="943538784">
    <w:abstractNumId w:val="16"/>
  </w:num>
  <w:num w:numId="19" w16cid:durableId="1234468397">
    <w:abstractNumId w:val="15"/>
  </w:num>
  <w:num w:numId="20" w16cid:durableId="405491553">
    <w:abstractNumId w:val="12"/>
  </w:num>
  <w:num w:numId="21" w16cid:durableId="1262104886">
    <w:abstractNumId w:val="14"/>
  </w:num>
  <w:num w:numId="22" w16cid:durableId="700860899">
    <w:abstractNumId w:val="21"/>
  </w:num>
  <w:num w:numId="23" w16cid:durableId="208891938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87158"/>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38AB"/>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52DE"/>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101%20SA2%20Meeting\SA2%23153\Chair_Notes\Docs\S2-220993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5870</cp:lastModifiedBy>
  <cp:revision>4</cp:revision>
  <cp:lastPrinted>2002-04-22T23:10:00Z</cp:lastPrinted>
  <dcterms:created xsi:type="dcterms:W3CDTF">2022-10-18T09:03:00Z</dcterms:created>
  <dcterms:modified xsi:type="dcterms:W3CDTF">2022-10-28T11:53:00Z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