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077D5EE7"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w:t>
      </w:r>
      <w:r w:rsidR="003506CD">
        <w:rPr>
          <w:rFonts w:eastAsia="MS Mincho"/>
          <w:b/>
          <w:bCs/>
          <w:sz w:val="24"/>
          <w:szCs w:val="24"/>
        </w:rPr>
        <w:t>1</w:t>
      </w:r>
      <w:r w:rsidR="00176F4A">
        <w:rPr>
          <w:rFonts w:eastAsia="MS Mincho"/>
          <w:b/>
          <w:bCs/>
          <w:sz w:val="24"/>
          <w:szCs w:val="24"/>
        </w:rPr>
        <w:t>1</w:t>
      </w:r>
      <w:r w:rsidRPr="001748B2">
        <w:rPr>
          <w:rFonts w:eastAsia="MS Mincho"/>
          <w:b/>
          <w:bCs/>
          <w:sz w:val="24"/>
          <w:szCs w:val="24"/>
        </w:rPr>
        <w:tab/>
      </w:r>
      <w:r w:rsidR="00395F87" w:rsidRPr="00395F87">
        <w:rPr>
          <w:rFonts w:eastAsia="MS Mincho"/>
          <w:b/>
          <w:bCs/>
          <w:sz w:val="24"/>
          <w:szCs w:val="24"/>
        </w:rPr>
        <w:t>R1-2212962</w:t>
      </w:r>
    </w:p>
    <w:p w14:paraId="0AFF4A6D" w14:textId="56DA996D" w:rsidR="00F96ED9" w:rsidRPr="001820A8" w:rsidRDefault="00294B49"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294B49">
        <w:rPr>
          <w:rFonts w:eastAsia="MS Mincho"/>
          <w:b/>
          <w:bCs/>
          <w:sz w:val="24"/>
          <w:szCs w:val="24"/>
        </w:rPr>
        <w:t>Toulouse, France, November 14th – 18th,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77777777"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Draft 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08762AF9"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77A19" w:rsidRPr="00777A19">
        <w:rPr>
          <w:rFonts w:ascii="Arial" w:hAnsi="Arial" w:cs="Arial"/>
          <w:b/>
          <w:sz w:val="22"/>
          <w:szCs w:val="22"/>
        </w:rPr>
        <w:t>Moderator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60DB9203" w:rsidR="00576A17" w:rsidRDefault="00114ECF" w:rsidP="00444AEE">
      <w:pPr>
        <w:overflowPunct/>
        <w:autoSpaceDE/>
        <w:autoSpaceDN/>
        <w:adjustRightInd/>
        <w:textAlignment w:val="auto"/>
        <w:rPr>
          <w:rFonts w:eastAsia="等线"/>
        </w:rPr>
      </w:pPr>
      <w:r>
        <w:rPr>
          <w:rFonts w:eastAsia="等线"/>
        </w:rPr>
        <w:t>In RAN1#11</w:t>
      </w:r>
      <w:r w:rsidR="00176F4A">
        <w:rPr>
          <w:rFonts w:eastAsia="等线"/>
        </w:rPr>
        <w:t>1</w:t>
      </w:r>
      <w:r>
        <w:rPr>
          <w:rFonts w:eastAsia="等线"/>
        </w:rPr>
        <w:t xml:space="preserve">, </w:t>
      </w:r>
      <w:r w:rsidR="00BF31C6">
        <w:rPr>
          <w:rFonts w:eastAsia="等线"/>
        </w:rPr>
        <w:t>RAN1 made the following agreement</w:t>
      </w:r>
      <w:r w:rsidR="00B61323">
        <w:rPr>
          <w:rFonts w:eastAsia="等线"/>
        </w:rPr>
        <w:t>s</w:t>
      </w:r>
      <w:r>
        <w:rPr>
          <w:rFonts w:eastAsia="等线"/>
        </w:rPr>
        <w:t>.</w:t>
      </w:r>
    </w:p>
    <w:p w14:paraId="7C1D3687" w14:textId="77777777" w:rsidR="00190238" w:rsidRPr="004411EC" w:rsidRDefault="00190238" w:rsidP="00190238"/>
    <w:p w14:paraId="72955D62" w14:textId="77777777" w:rsidR="00190238" w:rsidRPr="003D5061" w:rsidRDefault="00190238" w:rsidP="00190238">
      <w:pPr>
        <w:rPr>
          <w:b/>
          <w:bCs/>
          <w:highlight w:val="green"/>
          <w:lang w:eastAsia="ko-KR"/>
        </w:rPr>
      </w:pPr>
      <w:r>
        <w:rPr>
          <w:b/>
          <w:bCs/>
          <w:highlight w:val="green"/>
          <w:lang w:eastAsia="ko-KR"/>
        </w:rPr>
        <w:t>Agreement-1</w:t>
      </w:r>
    </w:p>
    <w:p w14:paraId="3150C7E0" w14:textId="77777777" w:rsidR="00190238" w:rsidRPr="003C681B" w:rsidRDefault="00190238" w:rsidP="00190238">
      <w:pPr>
        <w:spacing w:after="120"/>
        <w:rPr>
          <w:rFonts w:cstheme="minorHAnsi"/>
          <w:bCs/>
          <w:lang w:val="it-IT"/>
        </w:rPr>
      </w:pPr>
      <w:r>
        <w:rPr>
          <w:rFonts w:cstheme="minorHAnsi"/>
          <w:bCs/>
        </w:rPr>
        <w:t xml:space="preserve">Regarding the modelling of </w:t>
      </w:r>
      <w:r>
        <w:rPr>
          <w:rFonts w:cstheme="minorHAnsi"/>
          <w:bCs/>
          <w:lang w:val="sv-SE"/>
        </w:rPr>
        <w:t xml:space="preserve">inter-site gNB-gNB co-channel inter-subband CLI </w:t>
      </w:r>
      <w:r>
        <w:rPr>
          <w:rFonts w:cstheme="minorHAnsi"/>
          <w:bCs/>
          <w:lang w:val="it-IT"/>
        </w:rPr>
        <w:t>agreed in RAN1#110bis</w:t>
      </w:r>
      <w:r>
        <w:rPr>
          <w:rFonts w:cstheme="minorHAnsi"/>
        </w:rPr>
        <w:t xml:space="preserve"> for the case that </w:t>
      </w:r>
      <w:r>
        <w:rPr>
          <w:rFonts w:cstheme="minorHAnsi"/>
          <w:bCs/>
        </w:rPr>
        <w:t xml:space="preserve">both large scale fading and </w:t>
      </w:r>
      <w:proofErr w:type="gramStart"/>
      <w:r>
        <w:rPr>
          <w:rFonts w:cstheme="minorHAnsi"/>
          <w:bCs/>
        </w:rPr>
        <w:t>small scale</w:t>
      </w:r>
      <w:proofErr w:type="gramEnd"/>
      <w:r>
        <w:rPr>
          <w:rFonts w:cstheme="minorHAnsi"/>
          <w:bCs/>
        </w:rPr>
        <w:t xml:space="preserve"> fading are modelled for </w:t>
      </w:r>
      <w:r>
        <w:rPr>
          <w:rFonts w:cstheme="minorHAnsi"/>
          <w:bCs/>
          <w:lang w:val="it-IT"/>
        </w:rPr>
        <w:t>gNB-gNB co-channel channel model,</w:t>
      </w:r>
      <w:r>
        <w:rPr>
          <w:rFonts w:cstheme="minorHAnsi" w:hint="eastAsia"/>
          <w:bCs/>
          <w:lang w:val="it-IT"/>
        </w:rPr>
        <w:t xml:space="preserve"> </w:t>
      </w:r>
      <w:r>
        <w:rPr>
          <w:rFonts w:cstheme="minorHAnsi"/>
          <w:bCs/>
          <w:lang w:val="it-IT"/>
        </w:rPr>
        <w:t>t</w:t>
      </w:r>
      <w:r>
        <w:rPr>
          <w:bCs/>
        </w:rPr>
        <w:t>he second part of inter-site gNB-gNB co-channel inter-subband CLI across all Rx chains at one UL RB, caused by receiver selectivity at victim gNB, can</w:t>
      </w:r>
      <w:r w:rsidRPr="003C681B">
        <w:rPr>
          <w:bCs/>
        </w:rPr>
        <w:t xml:space="preserve"> be modelled as</w:t>
      </w:r>
    </w:p>
    <w:p w14:paraId="0310ADC0" w14:textId="77777777" w:rsidR="00190238" w:rsidRPr="003C681B" w:rsidRDefault="00000000" w:rsidP="00190238">
      <w:pPr>
        <w:jc w:val="center"/>
        <w:rPr>
          <w:bCs/>
          <w:lang w:val="it-IT"/>
        </w:rPr>
      </w:pPr>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w:r w:rsidR="00190238" w:rsidRPr="003C681B">
        <w:rPr>
          <w:bCs/>
          <w:lang w:val="it-IT"/>
        </w:rPr>
        <w:t xml:space="preserve"> </w:t>
      </w:r>
    </w:p>
    <w:p w14:paraId="31E65C44" w14:textId="77777777" w:rsidR="00190238" w:rsidRPr="003C681B" w:rsidRDefault="00000000">
      <w:pPr>
        <w:widowControl w:val="0"/>
        <w:numPr>
          <w:ilvl w:val="1"/>
          <w:numId w:val="22"/>
        </w:numPr>
        <w:overflowPunct/>
        <w:autoSpaceDE/>
        <w:autoSpaceDN/>
        <w:adjustRightInd/>
        <w:jc w:val="both"/>
        <w:textAlignment w:val="auto"/>
        <w:rPr>
          <w:bCs/>
          <w:iCs/>
        </w:rPr>
      </w:pPr>
      <m:oMath>
        <m:sSubSup>
          <m:sSubSupPr>
            <m:ctrlPr>
              <w:rPr>
                <w:rFonts w:ascii="Cambria Math" w:hAnsi="Cambria Math"/>
                <w:bCs/>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00190238" w:rsidRPr="003C681B">
        <w:rPr>
          <w:bCs/>
        </w:rPr>
        <w:t xml:space="preserve">, </w:t>
      </w:r>
      <m:oMath>
        <m:r>
          <m:rPr>
            <m:sty m:val="p"/>
          </m:rPr>
          <w:rPr>
            <w:rFonts w:ascii="Cambria Math" w:hAnsi="Cambria Math"/>
          </w:rPr>
          <m:t>k=0,1,…,</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00190238" w:rsidRPr="003C681B">
        <w:rPr>
          <w:bCs/>
        </w:rPr>
        <w:t>, is modelled as white Gaussian noise</w:t>
      </w:r>
    </w:p>
    <w:p w14:paraId="6D6E7B6A" w14:textId="77777777" w:rsidR="00190238" w:rsidRPr="003C681B" w:rsidRDefault="00000000">
      <w:pPr>
        <w:widowControl w:val="0"/>
        <w:numPr>
          <w:ilvl w:val="1"/>
          <w:numId w:val="22"/>
        </w:numPr>
        <w:overflowPunct/>
        <w:autoSpaceDE/>
        <w:autoSpaceDN/>
        <w:adjustRightInd/>
        <w:jc w:val="both"/>
        <w:textAlignment w:val="auto"/>
        <w:rPr>
          <w:bCs/>
        </w:rPr>
      </w:pPr>
      <m:oMath>
        <m:sSubSup>
          <m:sSubSupPr>
            <m:ctrlPr>
              <w:rPr>
                <w:rFonts w:ascii="Cambria Math" w:hAnsi="Cambria Math"/>
                <w:bCs/>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theme="minorHAnsi"/>
              </w:rPr>
            </m:ctrlPr>
          </m:fPr>
          <m:num>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num>
          <m:den>
            <m:sSub>
              <m:sSubPr>
                <m:ctrlPr>
                  <w:rPr>
                    <w:rFonts w:ascii="Cambria Math" w:hAnsi="Cambria Math" w:cstheme="minorHAnsi"/>
                  </w:rPr>
                </m:ctrlPr>
              </m:sSubPr>
              <m:e>
                <m:r>
                  <m:rPr>
                    <m:sty m:val="p"/>
                  </m:rPr>
                  <w:rPr>
                    <w:rFonts w:ascii="Cambria Math" w:hAnsi="Cambria Math" w:cstheme="minorHAnsi"/>
                  </w:rPr>
                  <m:t>ICS</m:t>
                </m:r>
              </m:e>
              <m:sub>
                <m:r>
                  <m:rPr>
                    <m:sty m:val="p"/>
                  </m:rPr>
                  <w:rPr>
                    <w:rFonts w:ascii="Cambria Math" w:hAnsi="Cambria Math" w:cstheme="minorHAnsi"/>
                  </w:rPr>
                  <m:t>BS</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DLRB</m:t>
                </m:r>
              </m:sub>
            </m:sSub>
          </m:den>
        </m:f>
      </m:oMath>
    </w:p>
    <w:p w14:paraId="428172C4" w14:textId="77777777" w:rsidR="00190238" w:rsidRPr="003C681B" w:rsidRDefault="00000000">
      <w:pPr>
        <w:widowControl w:val="0"/>
        <w:numPr>
          <w:ilvl w:val="1"/>
          <w:numId w:val="22"/>
        </w:numPr>
        <w:overflowPunct/>
        <w:autoSpaceDE/>
        <w:autoSpaceDN/>
        <w:adjustRightInd/>
        <w:jc w:val="both"/>
        <w:textAlignment w:val="auto"/>
        <w:rPr>
          <w:bCs/>
          <w:iCs/>
        </w:rPr>
      </w:pP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blocker</m:t>
            </m:r>
          </m:sub>
        </m:sSub>
        <m:r>
          <m:rPr>
            <m:sty m:val="b"/>
          </m:rPr>
          <w:rPr>
            <w:rFonts w:ascii="Cambria Math" w:hAnsi="Cambria Math"/>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MS Mincho" w:eastAsia="MS Mincho" w:hAnsi="MS Mincho" w:cs="MS Mincho" w:hint="eastAsia"/>
          </w:rPr>
          <m:t>*</m:t>
        </m:r>
        <m:nary>
          <m:naryPr>
            <m:chr m:val="∑"/>
            <m:limLoc m:val="undOvr"/>
            <m:supHide m:val="1"/>
            <m:ctrlPr>
              <w:rPr>
                <w:rFonts w:ascii="Cambria Math" w:hAnsi="Cambria Math"/>
                <w:bCs/>
                <w:i/>
                <w:iCs/>
              </w:rPr>
            </m:ctrlPr>
          </m:naryPr>
          <m:sub>
            <m:r>
              <m:rPr>
                <m:sty m:val="p"/>
              </m:rPr>
              <w:rPr>
                <w:rFonts w:ascii="Cambria Math" w:hAnsi="Cambria Math"/>
              </w:rPr>
              <m:t>m∈Used DL RBs</m:t>
            </m:r>
          </m:sub>
          <m:sup/>
          <m:e>
            <m:d>
              <m:dPr>
                <m:ctrlPr>
                  <w:rPr>
                    <w:rFonts w:ascii="Cambria Math" w:hAnsi="Cambria Math"/>
                    <w:bCs/>
                    <w:i/>
                    <w:iCs/>
                  </w:rPr>
                </m:ctrlPr>
              </m:dPr>
              <m:e>
                <m:sSup>
                  <m:sSupPr>
                    <m:ctrlPr>
                      <w:rPr>
                        <w:rFonts w:ascii="Cambria Math" w:hAnsi="Cambria Math"/>
                        <w:bCs/>
                        <w:i/>
                        <w:iCs/>
                      </w:rPr>
                    </m:ctrlPr>
                  </m:sSupPr>
                  <m:e>
                    <m:d>
                      <m:dPr>
                        <m:begChr m:val="|"/>
                        <m:endChr m:val="|"/>
                        <m:ctrlPr>
                          <w:rPr>
                            <w:rFonts w:ascii="Cambria Math" w:hAnsi="Cambria Math"/>
                            <w:bCs/>
                            <w:i/>
                            <w:iCs/>
                          </w:rPr>
                        </m:ctrlPr>
                      </m:dPr>
                      <m:e>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sSup>
                          <m:sSupPr>
                            <m:ctrlPr>
                              <w:rPr>
                                <w:rFonts w:ascii="Cambria Math" w:hAnsi="Cambria Math"/>
                                <w:b/>
                                <w:bCs/>
                                <w:i/>
                                <w:iCs/>
                              </w:rPr>
                            </m:ctrlPr>
                          </m:sSupPr>
                          <m:e>
                            <m:r>
                              <m:rPr>
                                <m:sty m:val="b"/>
                              </m:rPr>
                              <w:rPr>
                                <w:rFonts w:ascii="Cambria Math" w:hAnsi="Cambria Math"/>
                              </w:rPr>
                              <m:t>s</m:t>
                            </m:r>
                          </m:e>
                          <m:sup>
                            <m:d>
                              <m:dPr>
                                <m:ctrlPr>
                                  <w:rPr>
                                    <w:rFonts w:ascii="Cambria Math" w:hAnsi="Cambria Math"/>
                                    <w:bCs/>
                                    <w:i/>
                                    <w:iCs/>
                                  </w:rPr>
                                </m:ctrlPr>
                              </m:dPr>
                              <m:e>
                                <m:r>
                                  <m:rPr>
                                    <m:sty m:val="p"/>
                                  </m:rPr>
                                  <w:rPr>
                                    <w:rFonts w:ascii="Cambria Math" w:hAnsi="Cambria Math"/>
                                  </w:rPr>
                                  <m:t>m</m:t>
                                </m:r>
                              </m:e>
                            </m:d>
                          </m:sup>
                        </m:sSup>
                      </m:e>
                    </m:d>
                  </m:e>
                  <m:sup>
                    <m:r>
                      <w:rPr>
                        <w:rFonts w:ascii="Cambria Math" w:hAnsi="Cambria Math"/>
                      </w:rPr>
                      <m:t>2</m:t>
                    </m:r>
                  </m:sup>
                </m:sSup>
              </m:e>
            </m:d>
          </m:e>
        </m:nary>
      </m:oMath>
      <w:r w:rsidR="00190238" w:rsidRPr="003C681B">
        <w:rPr>
          <w:b/>
          <w:iCs/>
        </w:rPr>
        <w:t xml:space="preserve"> </w:t>
      </w:r>
    </w:p>
    <w:p w14:paraId="7B1C9A59" w14:textId="77777777" w:rsidR="00190238" w:rsidRPr="003C681B" w:rsidRDefault="00000000">
      <w:pPr>
        <w:widowControl w:val="0"/>
        <w:numPr>
          <w:ilvl w:val="1"/>
          <w:numId w:val="22"/>
        </w:numPr>
        <w:overflowPunct/>
        <w:autoSpaceDE/>
        <w:autoSpaceDN/>
        <w:adjustRightInd/>
        <w:jc w:val="both"/>
        <w:textAlignment w:val="auto"/>
        <w:rPr>
          <w:bCs/>
        </w:rPr>
      </w:pP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90238" w:rsidRPr="003C681B">
        <w:rPr>
          <w:bC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00190238" w:rsidRPr="003C681B">
        <w:rPr>
          <w:bCs/>
        </w:rPr>
        <w:t xml:space="preserve"> channel matrix between aggressor gNB and victim gNB at DL RB </w:t>
      </w:r>
      <m:oMath>
        <m:r>
          <w:rPr>
            <w:rFonts w:ascii="Cambria Math" w:hAnsi="Cambria Math"/>
          </w:rPr>
          <m:t>m</m:t>
        </m:r>
      </m:oMath>
      <w:r w:rsidR="00190238" w:rsidRPr="003C681B">
        <w:rPr>
          <w:bCs/>
        </w:rPr>
        <w:t xml:space="preserve">, the analog beams of the aggressor gNB and the victim gNB can be taken into account by </w:t>
      </w:r>
      <m:oMath>
        <m:sSubSup>
          <m:sSubSupPr>
            <m:ctrlPr>
              <w:rPr>
                <w:rFonts w:ascii="Cambria Math" w:hAnsi="Cambria Math"/>
                <w:bCs/>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bCs/>
                    <w:i/>
                    <w:iCs/>
                  </w:rPr>
                </m:ctrlPr>
              </m:dPr>
              <m:e>
                <m:r>
                  <m:rPr>
                    <m:sty m:val="p"/>
                  </m:rPr>
                  <w:rPr>
                    <w:rFonts w:ascii="Cambria Math" w:hAnsi="Cambria Math"/>
                  </w:rPr>
                  <m:t>m</m:t>
                </m:r>
              </m:e>
            </m:d>
          </m:sup>
        </m:sSubSup>
      </m:oMath>
      <w:r w:rsidR="00190238" w:rsidRPr="003C681B">
        <w:rPr>
          <w:bCs/>
        </w:rPr>
        <w:t>,</w:t>
      </w:r>
    </w:p>
    <w:p w14:paraId="135A3DAC" w14:textId="77777777" w:rsidR="00190238" w:rsidRPr="003C681B" w:rsidRDefault="00000000">
      <w:pPr>
        <w:widowControl w:val="0"/>
        <w:numPr>
          <w:ilvl w:val="1"/>
          <w:numId w:val="22"/>
        </w:numPr>
        <w:overflowPunct/>
        <w:autoSpaceDE/>
        <w:autoSpaceDN/>
        <w:adjustRightInd/>
        <w:jc w:val="both"/>
        <w:textAlignment w:val="auto"/>
        <w:rPr>
          <w:bCs/>
        </w:rPr>
      </w:pPr>
      <m:oMath>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oMath>
      <w:r w:rsidR="00190238" w:rsidRPr="003C681B">
        <w:rPr>
          <w:bCs/>
        </w:rPr>
        <w:t xml:space="preserve"> is the digital precoder at DL RB </w:t>
      </w:r>
      <m:oMath>
        <m:r>
          <w:rPr>
            <w:rFonts w:ascii="Cambria Math" w:hAnsi="Cambria Math"/>
          </w:rPr>
          <m:t>m</m:t>
        </m:r>
      </m:oMath>
      <w:r w:rsidR="00190238" w:rsidRPr="003C681B">
        <w:rPr>
          <w:bCs/>
        </w:rPr>
        <w:t xml:space="preserve"> at aggressor gNB, </w:t>
      </w:r>
      <m:oMath>
        <m:sSub>
          <m:sSubPr>
            <m:ctrlPr>
              <w:rPr>
                <w:rFonts w:ascii="Cambria Math" w:hAnsi="Cambria Math"/>
                <w:b/>
                <w:bCs/>
                <w:i/>
                <w:iCs/>
              </w:rPr>
            </m:ctrlPr>
          </m:sSubPr>
          <m:e>
            <m:d>
              <m:dPr>
                <m:begChr m:val="‖"/>
                <m:endChr m:val="‖"/>
                <m:ctrlPr>
                  <w:rPr>
                    <w:rFonts w:ascii="Cambria Math" w:hAnsi="Cambria Math"/>
                    <w:b/>
                    <w:bCs/>
                    <w:i/>
                    <w:iCs/>
                  </w:rPr>
                </m:ctrlPr>
              </m:dPr>
              <m:e>
                <m:sSup>
                  <m:sSupPr>
                    <m:ctrlPr>
                      <w:rPr>
                        <w:rFonts w:ascii="Cambria Math" w:hAnsi="Cambria Math"/>
                        <w:b/>
                        <w:bCs/>
                        <w:i/>
                        <w:iCs/>
                      </w:rPr>
                    </m:ctrlPr>
                  </m:sSupPr>
                  <m:e>
                    <m:r>
                      <m:rPr>
                        <m:sty m:val="b"/>
                      </m:rPr>
                      <w:rPr>
                        <w:rFonts w:ascii="Cambria Math" w:hAnsi="Cambria Math"/>
                      </w:rPr>
                      <m:t>W</m:t>
                    </m:r>
                  </m:e>
                  <m:sup>
                    <m:d>
                      <m:dPr>
                        <m:ctrlPr>
                          <w:rPr>
                            <w:rFonts w:ascii="Cambria Math" w:hAnsi="Cambria Math"/>
                            <w:bCs/>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00190238" w:rsidRPr="003C681B">
        <w:rPr>
          <w:bCs/>
        </w:rPr>
        <w:t>,</w:t>
      </w:r>
    </w:p>
    <w:p w14:paraId="07FCB459" w14:textId="77777777" w:rsidR="00190238" w:rsidRPr="003C681B" w:rsidRDefault="00000000">
      <w:pPr>
        <w:widowControl w:val="0"/>
        <w:numPr>
          <w:ilvl w:val="1"/>
          <w:numId w:val="22"/>
        </w:numPr>
        <w:overflowPunct/>
        <w:autoSpaceDE/>
        <w:autoSpaceDN/>
        <w:adjustRightInd/>
        <w:jc w:val="both"/>
        <w:textAlignment w:val="auto"/>
        <w:rPr>
          <w:bCs/>
        </w:rPr>
      </w:pPr>
      <m:oMath>
        <m:sSup>
          <m:sSupPr>
            <m:ctrlPr>
              <w:rPr>
                <w:rFonts w:ascii="Cambria Math" w:hAnsi="Cambria Math"/>
                <w:bCs/>
              </w:rPr>
            </m:ctrlPr>
          </m:sSupPr>
          <m:e>
            <m:r>
              <m:rPr>
                <m:sty m:val="b"/>
              </m:rPr>
              <w:rPr>
                <w:rFonts w:ascii="Cambria Math" w:hAnsi="Cambria Math"/>
              </w:rPr>
              <m:t>s</m:t>
            </m:r>
          </m:e>
          <m:sup>
            <m:d>
              <m:dPr>
                <m:ctrlPr>
                  <w:rPr>
                    <w:rFonts w:ascii="Cambria Math" w:hAnsi="Cambria Math"/>
                    <w:bCs/>
                  </w:rPr>
                </m:ctrlPr>
              </m:dPr>
              <m:e>
                <m:r>
                  <m:rPr>
                    <m:sty m:val="p"/>
                  </m:rPr>
                  <w:rPr>
                    <w:rFonts w:ascii="Cambria Math" w:hAnsi="Cambria Math"/>
                  </w:rPr>
                  <m:t>m</m:t>
                </m:r>
              </m:e>
            </m:d>
          </m:sup>
        </m:sSup>
      </m:oMath>
      <w:r w:rsidR="00190238" w:rsidRPr="003C681B">
        <w:rPr>
          <w:bCs/>
        </w:rPr>
        <w:t xml:space="preserve"> is the symbol transmitted at DL RB </w:t>
      </w:r>
      <m:oMath>
        <m:r>
          <w:rPr>
            <w:rFonts w:ascii="Cambria Math" w:hAnsi="Cambria Math"/>
          </w:rPr>
          <m:t>m</m:t>
        </m:r>
      </m:oMath>
      <w:r w:rsidR="00190238" w:rsidRPr="003C681B">
        <w:rPr>
          <w:bCs/>
        </w:rPr>
        <w:t xml:space="preserve"> at aggressor gNB with transmission power for each layer as </w:t>
      </w:r>
      <m:oMath>
        <m:sSubSup>
          <m:sSubSupPr>
            <m:ctrlPr>
              <w:rPr>
                <w:rFonts w:ascii="Cambria Math" w:hAnsi="Cambria Math" w:cstheme="minorHAnsi"/>
                <w:i/>
                <w:iCs/>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per-RB</m:t>
            </m:r>
          </m:sup>
        </m:sSubSup>
        <m:r>
          <w:rPr>
            <w:rFonts w:ascii="Cambria Math" w:hAnsi="Cambria Math" w:cstheme="minorHAnsi"/>
          </w:rPr>
          <m:t>=</m:t>
        </m:r>
        <m:sSubSup>
          <m:sSubSupPr>
            <m:ctrlPr>
              <w:rPr>
                <w:rFonts w:ascii="Cambria Math" w:hAnsi="Cambria Math" w:cstheme="minorHAnsi"/>
              </w:rPr>
            </m:ctrlPr>
          </m:sSubSupPr>
          <m:e>
            <m:r>
              <m:rPr>
                <m:sty m:val="p"/>
              </m:rPr>
              <w:rPr>
                <w:rFonts w:ascii="Cambria Math" w:hAnsi="Cambria Math" w:cstheme="minorHAnsi"/>
              </w:rPr>
              <m:t>P</m:t>
            </m:r>
          </m:e>
          <m:sub>
            <m:r>
              <m:rPr>
                <m:sty m:val="p"/>
              </m:rPr>
              <w:rPr>
                <w:rFonts w:ascii="Cambria Math" w:hAnsi="Cambria Math" w:cstheme="minorHAnsi"/>
              </w:rPr>
              <m:t>tx</m:t>
            </m:r>
          </m:sub>
          <m:sup>
            <m:r>
              <m:rPr>
                <m:sty m:val="p"/>
              </m:rPr>
              <w:rPr>
                <w:rFonts w:ascii="Cambria Math" w:hAnsi="Cambria Math" w:cstheme="minorHAnsi"/>
              </w:rPr>
              <m:t>max</m:t>
            </m:r>
          </m:sup>
        </m:sSubSup>
        <m:r>
          <w:rPr>
            <w:rFonts w:ascii="Cambria Math" w:hAnsi="Cambria Math" w:cstheme="minorHAnsi"/>
          </w:rPr>
          <m:t>/</m:t>
        </m:r>
        <m:sSubSup>
          <m:sSubSupPr>
            <m:ctrlPr>
              <w:rPr>
                <w:rFonts w:ascii="Cambria Math" w:hAnsi="Cambria Math" w:cstheme="minorHAnsi"/>
                <w:i/>
                <w:iCs/>
              </w:rPr>
            </m:ctrlPr>
          </m:sSubSupPr>
          <m:e>
            <m:r>
              <m:rPr>
                <m:sty m:val="p"/>
              </m:rPr>
              <w:rPr>
                <w:rFonts w:ascii="Cambria Math" w:hAnsi="Cambria Math" w:cstheme="minorHAnsi"/>
              </w:rPr>
              <m:t>N</m:t>
            </m:r>
          </m:e>
          <m:sub>
            <m:r>
              <m:rPr>
                <m:sty m:val="p"/>
              </m:rPr>
              <w:rPr>
                <w:rFonts w:ascii="Cambria Math" w:hAnsi="Cambria Math" w:cstheme="minorHAnsi"/>
              </w:rPr>
              <m:t>DLRB</m:t>
            </m:r>
          </m:sub>
          <m:sup/>
        </m:sSubSup>
      </m:oMath>
      <w:r w:rsidR="00190238" w:rsidRPr="003C681B">
        <w:rPr>
          <w:bCs/>
        </w:rPr>
        <w:t>.</w:t>
      </w:r>
    </w:p>
    <w:p w14:paraId="049F6B0A" w14:textId="77777777" w:rsidR="00190238" w:rsidRPr="003C681B" w:rsidRDefault="00000000">
      <w:pPr>
        <w:widowControl w:val="0"/>
        <w:numPr>
          <w:ilvl w:val="1"/>
          <w:numId w:val="22"/>
        </w:numPr>
        <w:overflowPunct/>
        <w:autoSpaceDE/>
        <w:autoSpaceDN/>
        <w:adjustRightInd/>
        <w:jc w:val="both"/>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190238" w:rsidRPr="003C681B">
        <w:rPr>
          <w:bCs/>
        </w:rPr>
        <w:t xml:space="preserve"> is the total number of DL RBs in the DL subbands,</w:t>
      </w:r>
    </w:p>
    <w:p w14:paraId="72DA14A7" w14:textId="77777777" w:rsidR="00190238" w:rsidRPr="003C681B" w:rsidRDefault="00190238">
      <w:pPr>
        <w:widowControl w:val="0"/>
        <w:numPr>
          <w:ilvl w:val="1"/>
          <w:numId w:val="22"/>
        </w:numPr>
        <w:overflowPunct/>
        <w:autoSpaceDE/>
        <w:autoSpaceDN/>
        <w:adjustRightInd/>
        <w:jc w:val="both"/>
        <w:textAlignment w:val="auto"/>
        <w:rPr>
          <w:bCs/>
        </w:rPr>
      </w:pPr>
      <w:r w:rsidRPr="003C681B">
        <w:rPr>
          <w:rFonts w:hint="eastAsia"/>
          <w:bCs/>
        </w:rPr>
        <w:t>R</w:t>
      </w:r>
      <w:r w:rsidRPr="003C681B">
        <w:rPr>
          <w:bCs/>
        </w:rPr>
        <w:t xml:space="preserve">AN1 can assume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sidRPr="003C681B">
        <w:rPr>
          <w:bCs/>
        </w:rPr>
        <w:t xml:space="preserve"> (in channel selectivity) is given by gNB ACS unless further RAN4 guidance is received.</w:t>
      </w:r>
    </w:p>
    <w:p w14:paraId="33574973" w14:textId="77777777" w:rsidR="00190238" w:rsidRPr="003C681B" w:rsidRDefault="00190238">
      <w:pPr>
        <w:widowControl w:val="0"/>
        <w:numPr>
          <w:ilvl w:val="2"/>
          <w:numId w:val="22"/>
        </w:numPr>
        <w:overflowPunct/>
        <w:autoSpaceDE/>
        <w:autoSpaceDN/>
        <w:adjustRightInd/>
        <w:jc w:val="both"/>
        <w:textAlignment w:val="auto"/>
        <w:rPr>
          <w:bCs/>
        </w:rPr>
      </w:pPr>
      <w:r w:rsidRPr="003C681B">
        <w:rPr>
          <w:rFonts w:hint="eastAsia"/>
          <w:bCs/>
          <w:color w:val="FF0000"/>
        </w:rPr>
        <w:t>Send</w:t>
      </w:r>
      <w:r w:rsidRPr="003C681B">
        <w:rPr>
          <w:bCs/>
          <w:color w:val="FF0000"/>
        </w:rPr>
        <w:t xml:space="preserve"> </w:t>
      </w:r>
      <w:r w:rsidRPr="003C681B">
        <w:rPr>
          <w:rFonts w:hint="eastAsia"/>
          <w:bCs/>
          <w:color w:val="FF0000"/>
        </w:rPr>
        <w:t>LS</w:t>
      </w:r>
      <w:r w:rsidRPr="003C681B">
        <w:rPr>
          <w:bCs/>
          <w:color w:val="FF0000"/>
        </w:rPr>
        <w:t xml:space="preserve"> to RAN4 to confirm RAN1 understanding and check whether </w:t>
      </w:r>
      <m:oMath>
        <m:sSub>
          <m:sSubPr>
            <m:ctrlPr>
              <w:rPr>
                <w:rFonts w:ascii="Cambria Math" w:hAnsi="Cambria Math"/>
                <w:bCs/>
                <w:color w:val="FF0000"/>
              </w:rPr>
            </m:ctrlPr>
          </m:sSubPr>
          <m:e>
            <m:r>
              <m:rPr>
                <m:sty m:val="p"/>
              </m:rPr>
              <w:rPr>
                <w:rFonts w:ascii="Cambria Math" w:hAnsi="Cambria Math"/>
                <w:color w:val="FF0000"/>
              </w:rPr>
              <m:t>ICS</m:t>
            </m:r>
          </m:e>
          <m:sub>
            <m:r>
              <m:rPr>
                <m:sty m:val="p"/>
              </m:rPr>
              <w:rPr>
                <w:rFonts w:ascii="Cambria Math" w:hAnsi="Cambria Math"/>
                <w:color w:val="FF0000"/>
              </w:rPr>
              <m:t>BS</m:t>
            </m:r>
          </m:sub>
        </m:sSub>
      </m:oMath>
      <w:r w:rsidRPr="003C681B">
        <w:rPr>
          <w:bCs/>
          <w:color w:val="FF0000"/>
        </w:rPr>
        <w:t xml:space="preserve"> can be modelled </w:t>
      </w:r>
      <w:r w:rsidRPr="003C681B">
        <w:rPr>
          <w:bCs/>
          <w:iCs/>
          <w:color w:val="FF0000"/>
        </w:rPr>
        <w:t>depending on the value of the blocker interference</w:t>
      </w:r>
      <w:r w:rsidRPr="003C681B">
        <w:rPr>
          <w:bCs/>
          <w:iCs/>
        </w:rPr>
        <w:t>,</w:t>
      </w:r>
      <w:r w:rsidRPr="003C681B">
        <w:rPr>
          <w:rFonts w:hint="eastAsia"/>
          <w:iCs/>
          <w:sz w:val="22"/>
        </w:rPr>
        <w:t xml:space="preserve"> e</w:t>
      </w:r>
      <w:r w:rsidRPr="003C681B">
        <w:rPr>
          <w:iCs/>
          <w:sz w:val="22"/>
        </w:rPr>
        <w:t>.g.,</w:t>
      </w:r>
    </w:p>
    <w:p w14:paraId="36A98124" w14:textId="77777777" w:rsidR="00190238" w:rsidRPr="003C681B" w:rsidRDefault="00000000" w:rsidP="00190238">
      <w:pPr>
        <w:pStyle w:val="ListParagraph"/>
        <w:spacing w:line="252" w:lineRule="auto"/>
        <w:ind w:left="760"/>
        <w:jc w:val="center"/>
        <w:rPr>
          <w:rFonts w:ascii="Calibri" w:hAnsi="Calibri" w:cs="Calibri"/>
          <w:sz w:val="22"/>
        </w:rPr>
      </w:pPr>
      <m:oMathPara>
        <m:oMath>
          <m:sSub>
            <m:sSubPr>
              <m:ctrlPr>
                <w:rPr>
                  <w:rFonts w:ascii="Cambria Math" w:hAnsi="Cambria Math" w:cs="Calibri"/>
                  <w:i/>
                  <w:iCs/>
                  <w:sz w:val="22"/>
                </w:rPr>
              </m:ctrlPr>
            </m:sSubPr>
            <m:e>
              <m:r>
                <w:rPr>
                  <w:rFonts w:ascii="Cambria Math" w:hAnsi="Cambria Math"/>
                </w:rPr>
                <m:t>ICS</m:t>
              </m:r>
            </m:e>
            <m:sub>
              <m:r>
                <w:rPr>
                  <w:rFonts w:ascii="Cambria Math" w:hAnsi="Cambria Math"/>
                </w:rPr>
                <m:t>BS</m:t>
              </m:r>
            </m:sub>
          </m:sSub>
          <m:r>
            <w:rPr>
              <w:rFonts w:ascii="Cambria Math" w:hAnsi="Cambria Math"/>
            </w:rPr>
            <m:t xml:space="preserve">= </m:t>
          </m:r>
          <m:d>
            <m:dPr>
              <m:begChr m:val="{"/>
              <m:endChr m:val=""/>
              <m:ctrlPr>
                <w:rPr>
                  <w:rFonts w:ascii="Cambria Math" w:hAnsi="Cambria Math" w:cs="Calibri"/>
                  <w:i/>
                  <w:iCs/>
                  <w:sz w:val="22"/>
                </w:rPr>
              </m:ctrlPr>
            </m:dPr>
            <m:e>
              <m:m>
                <m:mPr>
                  <m:mcs>
                    <m:mc>
                      <m:mcPr>
                        <m:count m:val="1"/>
                        <m:mcJc m:val="center"/>
                      </m:mcPr>
                    </m:mc>
                  </m:mcs>
                  <m:ctrlPr>
                    <w:rPr>
                      <w:rFonts w:ascii="Cambria Math" w:hAnsi="Cambria Math" w:cs="Calibri"/>
                      <w:i/>
                      <w:iCs/>
                      <w:sz w:val="22"/>
                    </w:rPr>
                  </m:ctrlPr>
                </m:mP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e>
                </m:mr>
                <m:mr>
                  <m:e>
                    <m:r>
                      <w:rPr>
                        <w:rFonts w:ascii="Cambria Math" w:hAnsi="Cambria Math"/>
                      </w:rPr>
                      <m:t xml:space="preserve"> IC</m:t>
                    </m:r>
                    <m:sSub>
                      <m:sSubPr>
                        <m:ctrlPr>
                          <w:rPr>
                            <w:rFonts w:ascii="Cambria Math" w:hAnsi="Cambria Math" w:cs="Calibri"/>
                            <w:i/>
                            <w:iCs/>
                            <w:sz w:val="22"/>
                          </w:rPr>
                        </m:ctrlPr>
                      </m:sSubPr>
                      <m:e>
                        <m:r>
                          <w:rPr>
                            <w:rFonts w:ascii="Cambria Math" w:hAnsi="Cambria Math"/>
                          </w:rPr>
                          <m:t>S</m:t>
                        </m:r>
                      </m:e>
                      <m:sub>
                        <m:r>
                          <w:rPr>
                            <w:rFonts w:ascii="Cambria Math" w:hAnsi="Cambria Math"/>
                          </w:rPr>
                          <m:t>2</m:t>
                        </m:r>
                      </m:sub>
                    </m:sSub>
                    <m:r>
                      <w:rPr>
                        <w:rFonts w:ascii="Cambria Math" w:hAnsi="Cambria Math"/>
                      </w:rPr>
                      <m:t>,   </m:t>
                    </m:r>
                    <m:sSub>
                      <m:sSubPr>
                        <m:ctrlPr>
                          <w:rPr>
                            <w:rFonts w:ascii="Cambria Math" w:hAnsi="Cambria Math" w:cs="Calibri"/>
                            <w:i/>
                            <w:iCs/>
                            <w:sz w:val="22"/>
                          </w:rPr>
                        </m:ctrlPr>
                      </m:sSubPr>
                      <m:e>
                        <m:r>
                          <w:rPr>
                            <w:rFonts w:ascii="Cambria Math" w:hAnsi="Cambria Math"/>
                          </w:rPr>
                          <m:t>P</m:t>
                        </m:r>
                      </m:e>
                      <m:sub>
                        <m:r>
                          <w:rPr>
                            <w:rFonts w:ascii="Cambria Math" w:hAnsi="Cambria Math"/>
                          </w:rPr>
                          <m:t>1</m:t>
                        </m:r>
                      </m:sub>
                    </m:sSub>
                    <m:sSub>
                      <m:sSubPr>
                        <m:ctrlPr>
                          <w:rPr>
                            <w:rFonts w:ascii="Cambria Math" w:hAnsi="Cambria Math" w:cs="Calibri"/>
                            <w:i/>
                            <w:iCs/>
                            <w:sz w:val="22"/>
                          </w:rPr>
                        </m:ctrlPr>
                      </m:sSubPr>
                      <m:e>
                        <m:r>
                          <w:rPr>
                            <w:rFonts w:ascii="Cambria Math" w:hAnsi="Cambria Math"/>
                          </w:rPr>
                          <m:t>&lt; P</m:t>
                        </m:r>
                      </m:e>
                      <m:sub>
                        <m:r>
                          <w:rPr>
                            <w:rFonts w:ascii="Cambria Math" w:hAnsi="Cambria Math"/>
                          </w:rPr>
                          <m:t>blcoker</m:t>
                        </m:r>
                      </m:sub>
                    </m:sSub>
                    <m:r>
                      <w:rPr>
                        <w:rFonts w:ascii="Cambria Math" w:hAnsi="Cambria Math"/>
                      </w:rPr>
                      <m:t>&lt;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r>
                  <m:e>
                    <m:r>
                      <w:rPr>
                        <w:rFonts w:ascii="Cambria Math" w:hAnsi="Cambria Math"/>
                      </w:rPr>
                      <m:t>IC</m:t>
                    </m:r>
                    <m:sSub>
                      <m:sSubPr>
                        <m:ctrlPr>
                          <w:rPr>
                            <w:rFonts w:ascii="Cambria Math" w:hAnsi="Cambria Math" w:cs="Calibri"/>
                            <w:i/>
                            <w:iCs/>
                            <w:sz w:val="22"/>
                          </w:rPr>
                        </m:ctrlPr>
                      </m:sSubPr>
                      <m:e>
                        <m:r>
                          <w:rPr>
                            <w:rFonts w:ascii="Cambria Math" w:hAnsi="Cambria Math"/>
                          </w:rPr>
                          <m:t>S</m:t>
                        </m:r>
                      </m:e>
                      <m:sub>
                        <m:r>
                          <w:rPr>
                            <w:rFonts w:ascii="Cambria Math" w:hAnsi="Cambria Math"/>
                          </w:rPr>
                          <m:t>3</m:t>
                        </m:r>
                      </m:sub>
                    </m:sSub>
                    <m:sSub>
                      <m:sSubPr>
                        <m:ctrlPr>
                          <w:rPr>
                            <w:rFonts w:ascii="Cambria Math" w:hAnsi="Cambria Math" w:cs="Calibri"/>
                            <w:i/>
                            <w:iCs/>
                            <w:sz w:val="22"/>
                          </w:rPr>
                        </m:ctrlPr>
                      </m:sSubPr>
                      <m:e>
                        <m:r>
                          <w:rPr>
                            <w:rFonts w:ascii="Cambria Math" w:hAnsi="Cambria Math"/>
                          </w:rPr>
                          <m:t>             P</m:t>
                        </m:r>
                      </m:e>
                      <m:sub>
                        <m:r>
                          <w:rPr>
                            <w:rFonts w:ascii="Cambria Math" w:hAnsi="Cambria Math"/>
                          </w:rPr>
                          <m:t>blocker</m:t>
                        </m:r>
                      </m:sub>
                    </m:sSub>
                    <m:r>
                      <w:rPr>
                        <w:rFonts w:ascii="Cambria Math" w:hAnsi="Cambria Math"/>
                      </w:rPr>
                      <m:t>&gt;</m:t>
                    </m:r>
                    <m:sSub>
                      <m:sSubPr>
                        <m:ctrlPr>
                          <w:rPr>
                            <w:rFonts w:ascii="Cambria Math" w:hAnsi="Cambria Math" w:cs="Calibri"/>
                            <w:i/>
                            <w:iCs/>
                            <w:sz w:val="22"/>
                          </w:rPr>
                        </m:ctrlPr>
                      </m:sSubPr>
                      <m:e>
                        <m:r>
                          <w:rPr>
                            <w:rFonts w:ascii="Cambria Math" w:hAnsi="Cambria Math"/>
                          </w:rPr>
                          <m:t>P</m:t>
                        </m:r>
                      </m:e>
                      <m:sub>
                        <m:r>
                          <w:rPr>
                            <w:rFonts w:ascii="Cambria Math" w:hAnsi="Cambria Math"/>
                          </w:rPr>
                          <m:t>2</m:t>
                        </m:r>
                      </m:sub>
                    </m:sSub>
                  </m:e>
                </m:mr>
              </m:m>
            </m:e>
          </m:d>
        </m:oMath>
      </m:oMathPara>
    </w:p>
    <w:p w14:paraId="1FCC1D0B" w14:textId="77777777" w:rsidR="00190238" w:rsidRPr="003C681B" w:rsidRDefault="00190238">
      <w:pPr>
        <w:widowControl w:val="0"/>
        <w:numPr>
          <w:ilvl w:val="1"/>
          <w:numId w:val="22"/>
        </w:numPr>
        <w:overflowPunct/>
        <w:autoSpaceDE/>
        <w:autoSpaceDN/>
        <w:adjustRightInd/>
        <w:jc w:val="both"/>
        <w:textAlignment w:val="auto"/>
        <w:rPr>
          <w:bCs/>
        </w:rPr>
      </w:pPr>
      <w:r w:rsidRPr="003C681B">
        <w:rPr>
          <w:bCs/>
        </w:rPr>
        <w:t xml:space="preserve">Note: </w:t>
      </w:r>
      <m:oMath>
        <m:sSub>
          <m:sSubPr>
            <m:ctrlPr>
              <w:rPr>
                <w:rFonts w:ascii="Cambria Math" w:hAnsi="Cambria Math" w:cs="宋体"/>
                <w:sz w:val="24"/>
                <w:szCs w:val="24"/>
              </w:rPr>
            </m:ctrlPr>
          </m:sSubPr>
          <m:e>
            <m:r>
              <m:rPr>
                <m:sty m:val="p"/>
              </m:rPr>
              <w:rPr>
                <w:rFonts w:ascii="Cambria Math" w:hAnsi="Cambria Math"/>
              </w:rPr>
              <m:t>P</m:t>
            </m:r>
          </m:e>
          <m:sub>
            <m:r>
              <m:rPr>
                <m:sty m:val="p"/>
              </m:rPr>
              <w:rPr>
                <w:rFonts w:ascii="Cambria Math" w:hAnsi="Cambria Math"/>
              </w:rPr>
              <m:t>blocker</m:t>
            </m:r>
          </m:sub>
        </m:sSub>
      </m:oMath>
      <w:r w:rsidRPr="003C681B">
        <w:t xml:space="preserve"> can be reported by companies</w:t>
      </w:r>
    </w:p>
    <w:p w14:paraId="7482F61A" w14:textId="77777777" w:rsidR="00190238" w:rsidRPr="00E31E74" w:rsidRDefault="00190238" w:rsidP="00190238">
      <w:pPr>
        <w:spacing w:after="120"/>
        <w:rPr>
          <w:rFonts w:cstheme="minorHAnsi"/>
          <w:bCs/>
        </w:rPr>
      </w:pPr>
    </w:p>
    <w:p w14:paraId="672C7175" w14:textId="1DAFD334" w:rsidR="00190238" w:rsidRPr="003D5061" w:rsidRDefault="00190238" w:rsidP="00190238">
      <w:pPr>
        <w:rPr>
          <w:b/>
          <w:bCs/>
          <w:highlight w:val="green"/>
          <w:lang w:eastAsia="ko-KR"/>
        </w:rPr>
      </w:pPr>
      <w:r>
        <w:rPr>
          <w:b/>
          <w:bCs/>
          <w:highlight w:val="green"/>
          <w:lang w:eastAsia="ko-KR"/>
        </w:rPr>
        <w:t>Agreement-2</w:t>
      </w:r>
    </w:p>
    <w:p w14:paraId="2323123C" w14:textId="77777777" w:rsidR="00190238" w:rsidRDefault="00190238" w:rsidP="00190238">
      <w:pPr>
        <w:spacing w:after="120"/>
        <w:rPr>
          <w:rFonts w:cstheme="minorHAnsi"/>
          <w:bCs/>
        </w:rPr>
      </w:pPr>
      <w:r>
        <w:rPr>
          <w:rFonts w:cstheme="minorHAnsi"/>
          <w:bCs/>
        </w:rPr>
        <w:t xml:space="preserve">For SLS in RAN1, for co-site inter-sector co-channel inter-subband CLI modelling, reuse similar method as gNB self-interference modelling as follows. </w:t>
      </w:r>
    </w:p>
    <w:p w14:paraId="137F4517" w14:textId="77777777" w:rsidR="00190238" w:rsidRPr="003C681B" w:rsidRDefault="00000000" w:rsidP="00190238">
      <w:pPr>
        <w:spacing w:after="120"/>
        <w:rPr>
          <w:rFonts w:cstheme="minorHAnsi"/>
          <w:bCs/>
        </w:rPr>
      </w:pPr>
      <m:oMathPara>
        <m:oMathParaPr>
          <m:jc m:val="center"/>
        </m:oMathPara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oMath>
      </m:oMathPara>
    </w:p>
    <w:p w14:paraId="148A4D2A" w14:textId="77777777" w:rsidR="00190238" w:rsidRPr="003C681B" w:rsidRDefault="00000000" w:rsidP="00190238">
      <m:oMathPara>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den>
          </m:f>
        </m:oMath>
      </m:oMathPara>
    </w:p>
    <w:p w14:paraId="18BEF484"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00190238" w:rsidRPr="003C681B">
        <w:rPr>
          <w:rFonts w:hint="eastAsia"/>
          <w:iCs/>
        </w:rPr>
        <w:t xml:space="preserve"> </w:t>
      </w:r>
      <w:r w:rsidR="00190238" w:rsidRPr="003C681B">
        <w:t xml:space="preserve">is DL Tx power of sector </w:t>
      </w:r>
      <w:r w:rsidR="00190238" w:rsidRPr="003C681B">
        <w:rPr>
          <w:i/>
          <w:iCs/>
        </w:rPr>
        <w:t>x</w:t>
      </w:r>
      <w:r w:rsidR="00190238" w:rsidRPr="003C681B">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r>
          <w:rPr>
            <w:rFonts w:ascii="Cambria Math" w:hAnsi="Cambria Math"/>
          </w:rPr>
          <m:t>.</m:t>
        </m:r>
      </m:oMath>
      <w:r w:rsidR="00190238" w:rsidRPr="003C681B">
        <w:rPr>
          <w:rFonts w:hint="eastAsia"/>
          <w:iCs/>
        </w:rPr>
        <w:t xml:space="preserve"> </w:t>
      </w:r>
    </w:p>
    <w:p w14:paraId="70B71E87"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00190238" w:rsidRPr="003C681B">
        <w:rPr>
          <w:rFonts w:hint="eastAsia"/>
        </w:rPr>
        <w:t xml:space="preserve"> </w:t>
      </w:r>
      <w:r w:rsidR="00190238" w:rsidRPr="003C681B">
        <w:t xml:space="preserve">is the </w:t>
      </w:r>
      <w:r w:rsidR="00190238" w:rsidRPr="003C681B">
        <w:rPr>
          <w:bCs/>
        </w:rPr>
        <w:t xml:space="preserve">maximum </w:t>
      </w:r>
      <w:r w:rsidR="00190238" w:rsidRPr="003C681B">
        <w:t xml:space="preserve">DL Tx Power of sector </w:t>
      </w:r>
      <w:r w:rsidR="00190238" w:rsidRPr="003C681B">
        <w:rPr>
          <w:i/>
          <w:iCs/>
        </w:rPr>
        <w:t>x</w:t>
      </w:r>
      <w:r w:rsidR="00190238" w:rsidRPr="003C681B">
        <w:t xml:space="preserve"> on the two DL subbands (in linear scale).</w:t>
      </w:r>
    </w:p>
    <w:p w14:paraId="3C1B122F"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sSubSup>
      </m:oMath>
      <w:r w:rsidR="00190238" w:rsidRPr="003C681B">
        <w:t xml:space="preserve"> is the total number of DL RBs in the DL subbands.</w:t>
      </w:r>
    </w:p>
    <w:p w14:paraId="759579B3" w14:textId="77777777" w:rsidR="00190238" w:rsidRPr="003C681B" w:rsidRDefault="00000000">
      <w:pPr>
        <w:widowControl w:val="0"/>
        <w:numPr>
          <w:ilvl w:val="0"/>
          <w:numId w:val="22"/>
        </w:numPr>
        <w:overflowPunct/>
        <w:autoSpaceDE/>
        <w:autoSpaceDN/>
        <w:adjustRightInd/>
        <w:jc w:val="both"/>
        <w:textAlignment w:val="auto"/>
      </w:pP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00190238" w:rsidRPr="003C681B">
        <w:t xml:space="preserve"> is the number of DL RBs allocated for DL transmission of sector </w:t>
      </w:r>
      <w:r w:rsidR="00190238" w:rsidRPr="003C681B">
        <w:rPr>
          <w:i/>
          <w:iCs/>
        </w:rPr>
        <w:t>x</w:t>
      </w:r>
      <w:r w:rsidR="00190238" w:rsidRPr="003C681B">
        <w:t>.</w:t>
      </w:r>
    </w:p>
    <w:p w14:paraId="026AC610" w14:textId="77777777" w:rsidR="00190238" w:rsidRPr="003C681B" w:rsidRDefault="00000000">
      <w:pPr>
        <w:widowControl w:val="0"/>
        <w:numPr>
          <w:ilvl w:val="0"/>
          <w:numId w:val="22"/>
        </w:numPr>
        <w:overflowPunct/>
        <w:autoSpaceDE/>
        <w:autoSpaceDN/>
        <w:adjustRightInd/>
        <w:jc w:val="both"/>
        <w:textAlignment w:val="auto"/>
        <w:rPr>
          <w:strike/>
        </w:rPr>
      </w:pP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00190238" w:rsidRPr="003C681B">
        <w:rPr>
          <w:rFonts w:cstheme="minorHAnsi"/>
          <w:bCs/>
        </w:rPr>
        <w:t xml:space="preserve"> is the </w:t>
      </w:r>
      <w:r w:rsidR="00190238" w:rsidRPr="003C681B">
        <w:rPr>
          <w:rFonts w:eastAsia="Batang" w:cstheme="minorHAnsi"/>
          <w:bCs/>
        </w:rPr>
        <w:t>interference</w:t>
      </w:r>
      <w:r w:rsidR="00190238" w:rsidRPr="003C681B">
        <w:rPr>
          <w:rFonts w:cstheme="minorHAnsi"/>
          <w:bCs/>
        </w:rPr>
        <w:t xml:space="preserve"> suppression capability of co-site inter-sector co-channel inter-subband CLI. </w:t>
      </w:r>
    </w:p>
    <w:p w14:paraId="553CF501" w14:textId="77777777" w:rsidR="00190238" w:rsidRPr="003C681B" w:rsidRDefault="00190238">
      <w:pPr>
        <w:widowControl w:val="0"/>
        <w:numPr>
          <w:ilvl w:val="1"/>
          <w:numId w:val="22"/>
        </w:numPr>
        <w:overflowPunct/>
        <w:autoSpaceDE/>
        <w:autoSpaceDN/>
        <w:adjustRightInd/>
        <w:jc w:val="both"/>
        <w:textAlignment w:val="auto"/>
      </w:pP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rPr>
              <m:t>log</m:t>
            </m:r>
          </m:e>
          <m:sub>
            <m:r>
              <m:rPr>
                <m:sty m:val="p"/>
              </m:rPr>
              <w:rPr>
                <w:rFonts w:ascii="Cambria Math"/>
              </w:rPr>
              <m:t>10</m:t>
            </m:r>
          </m:sub>
        </m:sSub>
        <m:d>
          <m:dPr>
            <m:ctrlPr>
              <w:rPr>
                <w:rFonts w:ascii="Cambria Math" w:hAnsi="Cambria Math"/>
              </w:rPr>
            </m:ctrlPr>
          </m:dPr>
          <m:e>
            <m:f>
              <m:fPr>
                <m:ctrlPr>
                  <w:rPr>
                    <w:rFonts w:ascii="Cambria Math" w:hAnsi="Cambria Math"/>
                  </w:rPr>
                </m:ctrlPr>
              </m:fPr>
              <m:num>
                <m:r>
                  <m:rPr>
                    <m:sty m:val="p"/>
                  </m:rPr>
                  <w:rPr>
                    <w:rFonts w:ascii="Cambria Math"/>
                  </w:rPr>
                  <m:t>1</m:t>
                </m:r>
              </m:num>
              <m:den>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rPr>
                  <m:t>+</m:t>
                </m:r>
                <m:f>
                  <m:fPr>
                    <m:ctrlPr>
                      <w:rPr>
                        <w:rFonts w:ascii="Cambria Math" w:hAnsi="Cambria Math"/>
                      </w:rPr>
                    </m:ctrlPr>
                  </m:fPr>
                  <m:num>
                    <m:r>
                      <m:rPr>
                        <m:sty m:val="p"/>
                      </m:rPr>
                      <w:rPr>
                        <w:rFonts w:asci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den>
            </m:f>
          </m:e>
        </m:d>
        <m:r>
          <m:rPr>
            <m:sty m:val="p"/>
          </m:rPr>
          <w:rPr>
            <w:rFonts w:ascii="Cambria Math"/>
          </w:rPr>
          <m:t>+</m:t>
        </m:r>
        <m:r>
          <m:rPr>
            <m:sty m:val="p"/>
          </m:rPr>
          <w:rPr>
            <w:rFonts w:ascii="Cambria Math"/>
          </w:rPr>
          <m:t>…</m:t>
        </m:r>
        <m:r>
          <m:rPr>
            <m:sty m:val="p"/>
          </m:rPr>
          <w:rPr>
            <w:rFonts w:ascii="Cambria Math"/>
          </w:rPr>
          <m:t xml:space="preserve"> </m:t>
        </m:r>
      </m:oMath>
    </w:p>
    <w:p w14:paraId="1E90131D" w14:textId="77777777" w:rsidR="00190238" w:rsidRPr="003C681B" w:rsidRDefault="00190238">
      <w:pPr>
        <w:pStyle w:val="ListParagraph"/>
        <w:widowControl w:val="0"/>
        <w:numPr>
          <w:ilvl w:val="2"/>
          <w:numId w:val="22"/>
        </w:numPr>
        <w:jc w:val="both"/>
        <w:rPr>
          <w:rFonts w:ascii="Calibri" w:eastAsia="宋体" w:hAnsi="Calibri" w:cs="Calibri"/>
          <w:sz w:val="22"/>
        </w:rPr>
      </w:pPr>
      <w:r w:rsidRPr="003C681B">
        <w:t xml:space="preserve">Note: </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xml:space="preserve"> and </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are in linear scale. gNB ACLR (i.e.,</w:t>
      </w:r>
      <m:oMath>
        <m:sSubSup>
          <m:sSubSupPr>
            <m:ctrlPr>
              <w:rPr>
                <w:rFonts w:ascii="Cambria Math" w:eastAsia="宋体" w:hAnsi="Cambria Math" w:cs="Calibri"/>
                <w:i/>
                <w:iCs/>
                <w:sz w:val="22"/>
              </w:rPr>
            </m:ctrlPr>
          </m:sSubSupPr>
          <m:e>
            <m:r>
              <m:rPr>
                <m:sty m:val="p"/>
              </m:rPr>
              <w:rPr>
                <w:rFonts w:ascii="Cambria Math" w:hAnsi="Cambria Math"/>
              </w:rPr>
              <m:t>ACLR</m:t>
            </m:r>
          </m:e>
          <m:sub>
            <m:r>
              <m:rPr>
                <m:sty m:val="p"/>
              </m:rPr>
              <w:rPr>
                <w:rFonts w:ascii="Cambria Math" w:hAnsi="Cambria Math"/>
              </w:rPr>
              <m:t>BS</m:t>
            </m:r>
          </m:sub>
          <m:sup/>
        </m:sSubSup>
      </m:oMath>
      <w:r w:rsidRPr="003C681B">
        <w:t>) is provided as the candidate for TX leakage, and gNB ACS (i.e.,</w:t>
      </w:r>
      <m:oMath>
        <m:sSubSup>
          <m:sSubSupPr>
            <m:ctrlPr>
              <w:rPr>
                <w:rFonts w:ascii="Cambria Math" w:eastAsia="宋体" w:hAnsi="Cambria Math" w:cs="Calibri"/>
                <w:i/>
                <w:iCs/>
                <w:sz w:val="22"/>
              </w:rPr>
            </m:ctrlPr>
          </m:sSubSupPr>
          <m:e>
            <m:r>
              <m:rPr>
                <m:sty m:val="p"/>
              </m:rPr>
              <w:rPr>
                <w:rFonts w:ascii="Cambria Math" w:hAnsi="Cambria Math"/>
              </w:rPr>
              <m:t>ACS</m:t>
            </m:r>
          </m:e>
          <m:sub>
            <m:r>
              <m:rPr>
                <m:sty m:val="p"/>
              </m:rPr>
              <w:rPr>
                <w:rFonts w:ascii="Cambria Math" w:hAnsi="Cambria Math"/>
              </w:rPr>
              <m:t>BS</m:t>
            </m:r>
          </m:sub>
          <m:sup/>
        </m:sSubSup>
      </m:oMath>
      <w:r w:rsidRPr="003C681B">
        <w:t xml:space="preserve">) is provided as the candidate for Receiver impairment. </w:t>
      </w:r>
    </w:p>
    <w:p w14:paraId="183A11A9" w14:textId="77777777" w:rsidR="00190238" w:rsidRPr="003C681B" w:rsidRDefault="00190238">
      <w:pPr>
        <w:widowControl w:val="0"/>
        <w:numPr>
          <w:ilvl w:val="1"/>
          <w:numId w:val="22"/>
        </w:numPr>
        <w:overflowPunct/>
        <w:autoSpaceDE/>
        <w:autoSpaceDN/>
        <w:adjustRightInd/>
        <w:jc w:val="both"/>
        <w:textAlignment w:val="auto"/>
      </w:pPr>
      <w:r w:rsidRPr="003C681B">
        <w:t xml:space="preserve">Companies shall report the </w:t>
      </w:r>
      <w:r w:rsidRPr="003C681B">
        <w:rPr>
          <w:rFonts w:cstheme="minorHAnsi"/>
          <w:bCs/>
        </w:rPr>
        <w:t xml:space="preserve">value of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co-site</m:t>
            </m:r>
          </m:sub>
          <m:sup/>
        </m:sSubSup>
      </m:oMath>
      <w:r w:rsidRPr="003C681B">
        <w:t xml:space="preserve"> assumed in the simulations with feasibility of how these values were derived. </w:t>
      </w:r>
    </w:p>
    <w:p w14:paraId="06C436DF" w14:textId="77777777" w:rsidR="00190238" w:rsidRPr="003C681B" w:rsidRDefault="00190238">
      <w:pPr>
        <w:widowControl w:val="0"/>
        <w:numPr>
          <w:ilvl w:val="1"/>
          <w:numId w:val="22"/>
        </w:numPr>
        <w:overflowPunct/>
        <w:autoSpaceDE/>
        <w:autoSpaceDN/>
        <w:adjustRightInd/>
        <w:jc w:val="both"/>
        <w:textAlignment w:val="auto"/>
      </w:pPr>
      <w:r w:rsidRPr="003C681B">
        <w:rPr>
          <w:color w:val="FF0000"/>
          <w:lang w:val="en-GB"/>
        </w:rPr>
        <w:t xml:space="preserve">Send LS to RAN4 confirming the model and asking the value ranges for spatial isolation, and values of </w:t>
      </w:r>
      <w:r w:rsidRPr="003C681B">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ACLR</m:t>
                </m:r>
              </m:e>
              <m:sub>
                <m:r>
                  <m:rPr>
                    <m:sty m:val="p"/>
                  </m:rPr>
                  <w:rPr>
                    <w:rFonts w:ascii="Cambria Math"/>
                    <w:color w:val="FF0000"/>
                  </w:rPr>
                  <m:t>BS</m:t>
                </m:r>
              </m:sub>
            </m:sSub>
          </m:e>
        </m:d>
      </m:oMath>
      <w:r w:rsidRPr="003C681B">
        <w:rPr>
          <w:color w:val="FF0000"/>
          <w:lang w:val="en-GB"/>
        </w:rPr>
        <w:t xml:space="preserve"> and </w:t>
      </w:r>
      <w:r w:rsidRPr="003C681B">
        <w:rPr>
          <w:color w:val="FF0000"/>
        </w:rPr>
        <w:t xml:space="preserve"> </w:t>
      </w:r>
      <m:oMath>
        <m:r>
          <m:rPr>
            <m:sty m:val="p"/>
          </m:rPr>
          <w:rPr>
            <w:rFonts w:ascii="Cambria Math"/>
            <w:color w:val="FF0000"/>
          </w:rPr>
          <m:t>10</m:t>
        </m:r>
        <m:r>
          <m:rPr>
            <m:sty m:val="p"/>
          </m:rPr>
          <w:rPr>
            <w:rFonts w:ascii="MS Mincho" w:eastAsia="MS Mincho" w:hAnsi="MS Mincho" w:cs="MS Mincho" w:hint="eastAsia"/>
            <w:color w:val="FF0000"/>
          </w:rPr>
          <m:t>*</m:t>
        </m:r>
        <m:sSub>
          <m:sSubPr>
            <m:ctrlPr>
              <w:rPr>
                <w:rFonts w:ascii="Cambria Math" w:hAnsi="Cambria Math"/>
                <w:iCs/>
                <w:color w:val="FF0000"/>
              </w:rPr>
            </m:ctrlPr>
          </m:sSubPr>
          <m:e>
            <m:r>
              <m:rPr>
                <m:sty m:val="p"/>
              </m:rPr>
              <w:rPr>
                <w:rFonts w:ascii="Cambria Math"/>
                <w:color w:val="FF0000"/>
              </w:rPr>
              <m:t>log</m:t>
            </m:r>
          </m:e>
          <m:sub>
            <m:r>
              <m:rPr>
                <m:sty m:val="p"/>
              </m:rPr>
              <w:rPr>
                <w:rFonts w:ascii="Cambria Math"/>
                <w:color w:val="FF0000"/>
              </w:rPr>
              <m:t>10</m:t>
            </m:r>
          </m:sub>
        </m:sSub>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color w:val="FF0000"/>
                  </w:rPr>
                  <m:t>ACS</m:t>
                </m:r>
              </m:e>
              <m:sub>
                <m:r>
                  <m:rPr>
                    <m:sty m:val="p"/>
                  </m:rPr>
                  <w:rPr>
                    <w:rFonts w:ascii="Cambria Math"/>
                    <w:color w:val="FF0000"/>
                  </w:rPr>
                  <m:t>BS</m:t>
                </m:r>
              </m:sub>
            </m:sSub>
          </m:e>
        </m:d>
      </m:oMath>
      <w:r w:rsidRPr="003C681B">
        <w:rPr>
          <w:iCs/>
          <w:color w:val="FF0000"/>
        </w:rPr>
        <w:t>.</w:t>
      </w:r>
    </w:p>
    <w:p w14:paraId="5952404D" w14:textId="17F9EB25" w:rsidR="00190238" w:rsidRDefault="00190238" w:rsidP="00444AEE">
      <w:pPr>
        <w:overflowPunct/>
        <w:autoSpaceDE/>
        <w:autoSpaceDN/>
        <w:adjustRightInd/>
        <w:textAlignment w:val="auto"/>
        <w:rPr>
          <w:rFonts w:eastAsia="等线"/>
        </w:rPr>
      </w:pPr>
    </w:p>
    <w:p w14:paraId="3F07D633" w14:textId="6E1AA029" w:rsidR="008C1EAC" w:rsidRPr="003D5061" w:rsidRDefault="008C1EAC" w:rsidP="008C1EAC">
      <w:pPr>
        <w:rPr>
          <w:b/>
          <w:bCs/>
          <w:highlight w:val="green"/>
          <w:lang w:eastAsia="ko-KR"/>
        </w:rPr>
      </w:pPr>
      <w:r>
        <w:rPr>
          <w:b/>
          <w:bCs/>
          <w:highlight w:val="green"/>
          <w:lang w:eastAsia="ko-KR"/>
        </w:rPr>
        <w:t>Agreement-</w:t>
      </w:r>
      <w:r>
        <w:rPr>
          <w:b/>
          <w:bCs/>
          <w:highlight w:val="green"/>
          <w:lang w:eastAsia="ko-KR"/>
        </w:rPr>
        <w:t>3</w:t>
      </w:r>
    </w:p>
    <w:p w14:paraId="3371AD70" w14:textId="77777777" w:rsidR="008C1EAC" w:rsidRDefault="008C1EAC" w:rsidP="008C1EAC">
      <w:pPr>
        <w:spacing w:after="120"/>
        <w:rPr>
          <w:rFonts w:cstheme="minorHAnsi"/>
          <w:bCs/>
        </w:rPr>
      </w:pPr>
      <w:r>
        <w:rPr>
          <w:rFonts w:cstheme="minorHAnsi"/>
          <w:bCs/>
        </w:rPr>
        <w:t xml:space="preserve">For SLS in RAN1, regarding Tx </w:t>
      </w:r>
      <w:r w:rsidRPr="002E1852">
        <w:rPr>
          <w:rFonts w:cstheme="minorHAnsi"/>
        </w:rPr>
        <w:t>leakage</w:t>
      </w:r>
      <w:r w:rsidRPr="002E1852">
        <w:rPr>
          <w:rFonts w:cstheme="minorHAnsi"/>
          <w:bCs/>
        </w:rPr>
        <w:t xml:space="preserve"> model of UE-UE co-channel inter-subband CLI modelling, Option 1 is used as starting point.</w:t>
      </w:r>
    </w:p>
    <w:p w14:paraId="2B176BA5" w14:textId="77777777" w:rsidR="008C1EAC" w:rsidRDefault="008C1EAC" w:rsidP="008C1EAC">
      <w:pPr>
        <w:numPr>
          <w:ilvl w:val="0"/>
          <w:numId w:val="24"/>
        </w:numPr>
        <w:rPr>
          <w:rFonts w:cstheme="minorHAnsi"/>
          <w:bCs/>
        </w:rPr>
      </w:pPr>
      <w:r>
        <w:rPr>
          <w:rFonts w:cstheme="minorHAnsi"/>
          <w:bCs/>
        </w:rPr>
        <w:t>Option 1: RAN1 to take in-band emission (IBE) defined in TS38.101-1 and TS38.101-2 as starting point.</w:t>
      </w:r>
    </w:p>
    <w:p w14:paraId="3C895722" w14:textId="77777777" w:rsidR="008C1EAC" w:rsidRPr="002E1852" w:rsidRDefault="008C1EAC" w:rsidP="008C1EAC">
      <w:pPr>
        <w:numPr>
          <w:ilvl w:val="0"/>
          <w:numId w:val="24"/>
        </w:numPr>
        <w:rPr>
          <w:rFonts w:cstheme="minorHAnsi"/>
          <w:bCs/>
          <w:color w:val="FF0000"/>
        </w:rPr>
      </w:pPr>
      <w:r w:rsidRPr="002E1852">
        <w:rPr>
          <w:rFonts w:cstheme="minorHAnsi" w:hint="eastAsia"/>
          <w:bCs/>
          <w:color w:val="FF0000"/>
        </w:rPr>
        <w:t>S</w:t>
      </w:r>
      <w:r w:rsidRPr="002E1852">
        <w:rPr>
          <w:rFonts w:cstheme="minorHAnsi"/>
          <w:bCs/>
          <w:color w:val="FF0000"/>
        </w:rPr>
        <w:t xml:space="preserve">end LS to RAN4 to ask them whether it can be modelled as </w:t>
      </w:r>
      <w:r w:rsidRPr="002E1852">
        <w:rPr>
          <w:rFonts w:cstheme="minorHAnsi"/>
          <w:color w:val="FF0000"/>
        </w:rPr>
        <w:t xml:space="preserve">an equivalent frequency flat model (e.g., </w:t>
      </w:r>
      <m:oMath>
        <m:sSub>
          <m:sSubPr>
            <m:ctrlPr>
              <w:rPr>
                <w:rFonts w:ascii="Cambria Math" w:hAnsi="Cambria Math" w:cstheme="minorHAnsi"/>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r w:rsidRPr="002E1852">
        <w:rPr>
          <w:rFonts w:cstheme="minorHAnsi"/>
          <w:color w:val="FF0000"/>
        </w:rPr>
        <w:t xml:space="preserve">) based on RAN4 IBE requirement, and if possible, what is </w:t>
      </w:r>
      <w:r w:rsidRPr="002E1852">
        <w:rPr>
          <w:rFonts w:cstheme="minorHAnsi"/>
          <w:iCs/>
          <w:color w:val="FF0000"/>
        </w:rPr>
        <w:t xml:space="preserve">the value of </w:t>
      </w:r>
      <m:oMath>
        <m:sSub>
          <m:sSubPr>
            <m:ctrlPr>
              <w:rPr>
                <w:rFonts w:ascii="Cambria Math" w:hAnsi="Cambria Math" w:cstheme="minorHAnsi"/>
                <w:iCs/>
                <w:color w:val="FF0000"/>
              </w:rPr>
            </m:ctrlPr>
          </m:sSubPr>
          <m:e>
            <m:r>
              <m:rPr>
                <m:sty m:val="p"/>
              </m:rPr>
              <w:rPr>
                <w:rFonts w:ascii="Cambria Math" w:hAnsi="Cambria Math" w:cstheme="minorHAnsi"/>
                <w:color w:val="FF0000"/>
              </w:rPr>
              <m:t>IBE</m:t>
            </m:r>
          </m:e>
          <m:sub>
            <m:r>
              <m:rPr>
                <m:sty m:val="p"/>
              </m:rPr>
              <w:rPr>
                <w:rFonts w:ascii="Cambria Math" w:hAnsi="Cambria Math" w:cstheme="minorHAnsi"/>
                <w:color w:val="FF0000"/>
              </w:rPr>
              <m:t>UE,ave</m:t>
            </m:r>
          </m:sub>
        </m:sSub>
      </m:oMath>
    </w:p>
    <w:p w14:paraId="69BEA4BC" w14:textId="77777777" w:rsidR="008C1EAC" w:rsidRDefault="008C1EAC" w:rsidP="00444AEE">
      <w:pPr>
        <w:overflowPunct/>
        <w:autoSpaceDE/>
        <w:autoSpaceDN/>
        <w:adjustRightInd/>
        <w:textAlignment w:val="auto"/>
        <w:rPr>
          <w:rFonts w:eastAsia="等线"/>
        </w:rPr>
      </w:pPr>
    </w:p>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23820A3D"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w:t>
      </w:r>
      <w:r w:rsidR="00706FB9">
        <w:rPr>
          <w:rFonts w:eastAsia="等线"/>
          <w:lang w:val="en-GB"/>
        </w:rPr>
        <w:t xml:space="preserve">to </w:t>
      </w:r>
      <w:r w:rsidR="006A5576">
        <w:rPr>
          <w:rFonts w:eastAsia="等线"/>
          <w:lang w:val="en-GB"/>
        </w:rPr>
        <w:t xml:space="preserve">provide </w:t>
      </w:r>
      <w:r w:rsidRPr="00385C48">
        <w:rPr>
          <w:rFonts w:eastAsia="等线"/>
          <w:lang w:val="en-GB"/>
        </w:rPr>
        <w:t xml:space="preserve">feedback </w:t>
      </w:r>
      <w:r w:rsidR="00C0105D">
        <w:rPr>
          <w:rFonts w:eastAsia="等线"/>
          <w:lang w:val="en-GB"/>
        </w:rPr>
        <w:t>on the</w:t>
      </w:r>
      <w:r w:rsidR="008437C3">
        <w:rPr>
          <w:rFonts w:eastAsia="等线"/>
          <w:lang w:val="en-GB"/>
        </w:rPr>
        <w:t xml:space="preserve"> </w:t>
      </w:r>
      <w:r w:rsidR="006A5576">
        <w:rPr>
          <w:rFonts w:eastAsia="等线"/>
          <w:lang w:val="en-GB"/>
        </w:rPr>
        <w:t>questions above</w:t>
      </w:r>
      <w:r w:rsidR="00BA0D9B">
        <w:rPr>
          <w:rFonts w:eastAsia="等线"/>
          <w:lang w:val="en-GB"/>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p w14:paraId="2BFBEA15" w14:textId="515D6388" w:rsidR="00385C48" w:rsidRDefault="00385C48" w:rsidP="00385C48">
      <w:pPr>
        <w:overflowPunct/>
        <w:autoSpaceDE/>
        <w:autoSpaceDN/>
        <w:adjustRightInd/>
        <w:spacing w:after="180"/>
        <w:textAlignment w:val="auto"/>
        <w:rPr>
          <w:rFonts w:eastAsia="等线"/>
          <w:lang w:val="en-GB"/>
        </w:rPr>
      </w:pPr>
      <w:r w:rsidRPr="00385C48">
        <w:rPr>
          <w:rFonts w:eastAsia="等线"/>
          <w:lang w:val="en-GB"/>
        </w:rPr>
        <w:t>TSG RAN WG1 Meeting #11</w:t>
      </w:r>
      <w:r w:rsidR="00D50B75">
        <w:rPr>
          <w:rFonts w:eastAsia="等线"/>
          <w:lang w:val="en-GB"/>
        </w:rPr>
        <w:t xml:space="preserve">2            </w:t>
      </w:r>
      <w:r w:rsidRPr="00385C48">
        <w:rPr>
          <w:rFonts w:eastAsia="等线"/>
          <w:lang w:val="en-GB"/>
        </w:rPr>
        <w:t xml:space="preserve">                       </w:t>
      </w:r>
      <w:r w:rsidRPr="00385C48">
        <w:rPr>
          <w:rFonts w:eastAsia="等线"/>
          <w:lang w:val="en-GB"/>
        </w:rPr>
        <w:tab/>
      </w:r>
      <w:r w:rsidR="00D50B75">
        <w:rPr>
          <w:rFonts w:eastAsia="等线"/>
          <w:lang w:val="en-GB"/>
        </w:rPr>
        <w:t>27</w:t>
      </w:r>
      <w:r w:rsidRPr="00385C48">
        <w:rPr>
          <w:rFonts w:eastAsia="等线"/>
          <w:lang w:val="en-GB"/>
        </w:rPr>
        <w:t xml:space="preserve">th </w:t>
      </w:r>
      <w:r w:rsidR="00D50B75">
        <w:rPr>
          <w:rFonts w:eastAsia="等线"/>
          <w:lang w:val="en-GB"/>
        </w:rPr>
        <w:t>Feb</w:t>
      </w:r>
      <w:r w:rsidRPr="00385C48">
        <w:rPr>
          <w:rFonts w:eastAsia="等线"/>
          <w:lang w:val="en-GB"/>
        </w:rPr>
        <w:t xml:space="preserve"> – </w:t>
      </w:r>
      <w:r w:rsidR="00D50B75">
        <w:rPr>
          <w:rFonts w:eastAsia="等线"/>
          <w:lang w:val="en-GB"/>
        </w:rPr>
        <w:t>3rd</w:t>
      </w:r>
      <w:r w:rsidRPr="00385C48">
        <w:rPr>
          <w:rFonts w:eastAsia="等线"/>
          <w:lang w:val="en-GB"/>
        </w:rPr>
        <w:t xml:space="preserve"> </w:t>
      </w:r>
      <w:r w:rsidR="00D50B75">
        <w:rPr>
          <w:rFonts w:eastAsia="等线"/>
          <w:lang w:val="en-GB"/>
        </w:rPr>
        <w:t>Mar</w:t>
      </w:r>
      <w:r w:rsidRPr="00385C48">
        <w:rPr>
          <w:rFonts w:eastAsia="等线"/>
          <w:lang w:val="en-GB"/>
        </w:rPr>
        <w:t>, 202</w:t>
      </w:r>
      <w:r w:rsidR="00D50B75">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bookmarkEnd w:id="0"/>
      <w:bookmarkEnd w:id="1"/>
      <w:r w:rsidR="00060AB6" w:rsidRPr="00060AB6">
        <w:rPr>
          <w:rFonts w:eastAsia="等线"/>
          <w:lang w:val="en-GB"/>
        </w:rPr>
        <w:t>Athens, GR</w:t>
      </w:r>
    </w:p>
    <w:p w14:paraId="1854158B" w14:textId="223C5EBB" w:rsidR="008437C3" w:rsidRPr="00385C48" w:rsidRDefault="008437C3" w:rsidP="008437C3">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2-bis-e            </w:t>
      </w:r>
      <w:r w:rsidRPr="00385C48">
        <w:rPr>
          <w:rFonts w:eastAsia="等线"/>
          <w:lang w:val="en-GB"/>
        </w:rPr>
        <w:t xml:space="preserve">               </w:t>
      </w:r>
      <w:r>
        <w:rPr>
          <w:rFonts w:eastAsia="等线"/>
          <w:lang w:val="en-GB"/>
        </w:rPr>
        <w:t>17</w:t>
      </w:r>
      <w:r w:rsidRPr="00385C48">
        <w:rPr>
          <w:rFonts w:eastAsia="等线"/>
          <w:lang w:val="en-GB"/>
        </w:rPr>
        <w:t xml:space="preserve">th </w:t>
      </w:r>
      <w:r>
        <w:rPr>
          <w:rFonts w:eastAsia="等线"/>
          <w:lang w:val="en-GB"/>
        </w:rPr>
        <w:t>Apr</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Apr</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Pr>
          <w:rFonts w:eastAsia="等线"/>
          <w:lang w:val="en-GB"/>
        </w:rPr>
        <w:t>E-meeting</w:t>
      </w:r>
    </w:p>
    <w:p w14:paraId="06C03F96" w14:textId="77777777" w:rsidR="008437C3" w:rsidRPr="008437C3" w:rsidRDefault="008437C3" w:rsidP="00385C48">
      <w:pPr>
        <w:overflowPunct/>
        <w:autoSpaceDE/>
        <w:autoSpaceDN/>
        <w:adjustRightInd/>
        <w:spacing w:after="180"/>
        <w:textAlignment w:val="auto"/>
        <w:rPr>
          <w:rFonts w:eastAsia="等线"/>
          <w:lang w:val="en-GB"/>
        </w:rPr>
      </w:pPr>
    </w:p>
    <w:sectPr w:rsidR="008437C3" w:rsidRPr="008437C3"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DA1DB" w14:textId="77777777" w:rsidR="00A13BE5" w:rsidRDefault="00A13BE5">
      <w:r>
        <w:separator/>
      </w:r>
    </w:p>
  </w:endnote>
  <w:endnote w:type="continuationSeparator" w:id="0">
    <w:p w14:paraId="2065A8E1" w14:textId="77777777" w:rsidR="00A13BE5" w:rsidRDefault="00A13BE5">
      <w:r>
        <w:continuationSeparator/>
      </w:r>
    </w:p>
  </w:endnote>
  <w:endnote w:type="continuationNotice" w:id="1">
    <w:p w14:paraId="379249C7" w14:textId="77777777" w:rsidR="00A13BE5" w:rsidRDefault="00A13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DFBBA" w14:textId="77777777" w:rsidR="00A13BE5" w:rsidRDefault="00A13BE5">
      <w:r>
        <w:separator/>
      </w:r>
    </w:p>
  </w:footnote>
  <w:footnote w:type="continuationSeparator" w:id="0">
    <w:p w14:paraId="2298DC37" w14:textId="77777777" w:rsidR="00A13BE5" w:rsidRDefault="00A13BE5">
      <w:r>
        <w:continuationSeparator/>
      </w:r>
    </w:p>
  </w:footnote>
  <w:footnote w:type="continuationNotice" w:id="1">
    <w:p w14:paraId="376EF1FA" w14:textId="77777777" w:rsidR="00A13BE5" w:rsidRDefault="00A13B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3"/>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3"/>
  </w:num>
  <w:num w:numId="8" w16cid:durableId="892892048">
    <w:abstractNumId w:val="10"/>
  </w:num>
  <w:num w:numId="9" w16cid:durableId="801995797">
    <w:abstractNumId w:val="20"/>
  </w:num>
  <w:num w:numId="10" w16cid:durableId="1144204270">
    <w:abstractNumId w:val="5"/>
  </w:num>
  <w:num w:numId="11" w16cid:durableId="1622611579">
    <w:abstractNumId w:val="14"/>
  </w:num>
  <w:num w:numId="12" w16cid:durableId="1474759726">
    <w:abstractNumId w:val="8"/>
  </w:num>
  <w:num w:numId="13" w16cid:durableId="69934745">
    <w:abstractNumId w:val="1"/>
  </w:num>
  <w:num w:numId="14" w16cid:durableId="318191595">
    <w:abstractNumId w:val="17"/>
  </w:num>
  <w:num w:numId="15" w16cid:durableId="680082891">
    <w:abstractNumId w:val="6"/>
  </w:num>
  <w:num w:numId="16" w16cid:durableId="1218739559">
    <w:abstractNumId w:val="22"/>
  </w:num>
  <w:num w:numId="17" w16cid:durableId="2099866722">
    <w:abstractNumId w:val="18"/>
  </w:num>
  <w:num w:numId="18" w16cid:durableId="1734110993">
    <w:abstractNumId w:val="21"/>
  </w:num>
  <w:num w:numId="19" w16cid:durableId="433289685">
    <w:abstractNumId w:val="12"/>
  </w:num>
  <w:num w:numId="20" w16cid:durableId="1603954654">
    <w:abstractNumId w:val="19"/>
  </w:num>
  <w:num w:numId="21" w16cid:durableId="372265751">
    <w:abstractNumId w:val="11"/>
  </w:num>
  <w:num w:numId="22" w16cid:durableId="969743673">
    <w:abstractNumId w:val="2"/>
  </w:num>
  <w:num w:numId="23" w16cid:durableId="1289236325">
    <w:abstractNumId w:val="15"/>
  </w:num>
  <w:num w:numId="24" w16cid:durableId="18700290">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83</cp:revision>
  <cp:lastPrinted>2014-11-07T14:38:00Z</cp:lastPrinted>
  <dcterms:created xsi:type="dcterms:W3CDTF">2022-05-10T03:39:00Z</dcterms:created>
  <dcterms:modified xsi:type="dcterms:W3CDTF">2022-11-18T09:34:00Z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