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B9D644" w14:textId="56040347" w:rsidR="00B013B1" w:rsidRPr="00B013B1" w:rsidRDefault="00B013B1" w:rsidP="00B013B1">
      <w:pPr>
        <w:ind w:left="1800" w:hanging="1800"/>
        <w:rPr>
          <w:b/>
          <w:sz w:val="24"/>
          <w:szCs w:val="24"/>
        </w:rPr>
      </w:pPr>
      <w:r w:rsidRPr="00B013B1">
        <w:rPr>
          <w:b/>
          <w:sz w:val="24"/>
          <w:szCs w:val="24"/>
        </w:rPr>
        <w:t>3GPP TSG RAN WG1 #111</w:t>
      </w:r>
      <w:r w:rsidRPr="00B013B1">
        <w:rPr>
          <w:b/>
          <w:sz w:val="24"/>
          <w:szCs w:val="24"/>
        </w:rPr>
        <w:tab/>
      </w:r>
      <w:r w:rsidRPr="00B013B1">
        <w:rPr>
          <w:b/>
          <w:sz w:val="24"/>
          <w:szCs w:val="24"/>
        </w:rPr>
        <w:tab/>
      </w:r>
      <w:r w:rsidRPr="00B013B1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B013B1">
        <w:rPr>
          <w:b/>
          <w:sz w:val="24"/>
          <w:szCs w:val="24"/>
        </w:rPr>
        <w:t>R1-22</w:t>
      </w:r>
      <w:r w:rsidR="004D3C4B">
        <w:rPr>
          <w:b/>
          <w:sz w:val="24"/>
          <w:szCs w:val="24"/>
        </w:rPr>
        <w:t>11935</w:t>
      </w:r>
    </w:p>
    <w:p w14:paraId="40A32BAA" w14:textId="22740CC4" w:rsidR="00090197" w:rsidRDefault="00B013B1" w:rsidP="00B013B1">
      <w:pPr>
        <w:ind w:left="1800" w:hanging="1800"/>
        <w:rPr>
          <w:b/>
          <w:sz w:val="24"/>
          <w:szCs w:val="24"/>
        </w:rPr>
      </w:pPr>
      <w:r w:rsidRPr="00B013B1">
        <w:rPr>
          <w:b/>
          <w:sz w:val="24"/>
          <w:szCs w:val="24"/>
        </w:rPr>
        <w:t>Toulouse, France, November 14th – 18th, 2022</w:t>
      </w:r>
    </w:p>
    <w:p w14:paraId="591A6DEE" w14:textId="77777777" w:rsidR="00B013B1" w:rsidRDefault="00B013B1" w:rsidP="00B013B1">
      <w:pPr>
        <w:ind w:left="1800" w:hanging="1800"/>
        <w:rPr>
          <w:b/>
          <w:sz w:val="24"/>
          <w:szCs w:val="24"/>
        </w:rPr>
      </w:pPr>
    </w:p>
    <w:p w14:paraId="4ECEF67E" w14:textId="436A43C5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627EF">
        <w:rPr>
          <w:b/>
          <w:sz w:val="24"/>
          <w:szCs w:val="24"/>
        </w:rPr>
        <w:t>9.</w:t>
      </w:r>
      <w:r w:rsidR="00751076">
        <w:rPr>
          <w:b/>
          <w:sz w:val="24"/>
          <w:szCs w:val="24"/>
        </w:rPr>
        <w:t>8.1</w:t>
      </w:r>
    </w:p>
    <w:p w14:paraId="74D32287" w14:textId="461A6B62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  <w:r w:rsidR="005D2999">
        <w:rPr>
          <w:b/>
          <w:sz w:val="24"/>
          <w:szCs w:val="24"/>
        </w:rPr>
        <w:t>, FirstNet</w:t>
      </w:r>
    </w:p>
    <w:p w14:paraId="242867D0" w14:textId="6678F066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751076" w:rsidRPr="00751076">
        <w:rPr>
          <w:b/>
          <w:bCs/>
          <w:sz w:val="24"/>
          <w:szCs w:val="24"/>
        </w:rPr>
        <w:t>Side control information to enable NR network-controlled repeaters</w:t>
      </w:r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3AA24819" w14:textId="30E005CA" w:rsidR="00D53279" w:rsidRDefault="00D53279" w:rsidP="00D53279">
      <w:pPr>
        <w:rPr>
          <w:rFonts w:ascii="Calibri" w:eastAsia="Malgun Gothic" w:hAnsi="Calibri" w:cs="Batang"/>
          <w:lang w:val="en-GB" w:eastAsia="ko-KR"/>
        </w:rPr>
      </w:pPr>
      <w:bookmarkStart w:id="2" w:name="OLE_LINK41"/>
      <w:bookmarkStart w:id="3" w:name="OLE_LINK42"/>
      <w:r>
        <w:rPr>
          <w:rFonts w:ascii="Calibri" w:eastAsia="Malgun Gothic" w:hAnsi="Calibri" w:cs="Batang"/>
          <w:lang w:val="en-GB" w:eastAsia="ko-KR"/>
        </w:rPr>
        <w:t>As part of</w:t>
      </w:r>
      <w:r w:rsidRPr="00C724F1">
        <w:rPr>
          <w:rFonts w:ascii="Calibri" w:eastAsia="Malgun Gothic" w:hAnsi="Calibri" w:cs="Batang"/>
          <w:lang w:val="en-GB" w:eastAsia="ko-KR"/>
        </w:rPr>
        <w:t xml:space="preserve"> </w:t>
      </w:r>
      <w:r w:rsidR="0019217D">
        <w:rPr>
          <w:rFonts w:ascii="Calibri" w:eastAsia="Malgun Gothic" w:hAnsi="Calibri" w:cs="Batang"/>
          <w:lang w:val="en-GB" w:eastAsia="ko-KR"/>
        </w:rPr>
        <w:t xml:space="preserve">the </w:t>
      </w:r>
      <w:r>
        <w:rPr>
          <w:rFonts w:ascii="Calibri" w:eastAsia="Malgun Gothic" w:hAnsi="Calibri" w:cs="Batang"/>
          <w:lang w:val="en-GB" w:eastAsia="ko-KR"/>
        </w:rPr>
        <w:t>Rel-18 Work</w:t>
      </w:r>
      <w:r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>
        <w:rPr>
          <w:rFonts w:ascii="Calibri" w:eastAsia="Malgun Gothic" w:hAnsi="Calibri" w:cs="Batang"/>
          <w:lang w:val="en-GB" w:eastAsia="ko-KR"/>
        </w:rPr>
        <w:t xml:space="preserve"> </w:t>
      </w:r>
      <w:r>
        <w:rPr>
          <w:rFonts w:ascii="Calibri" w:hAnsi="Calibri" w:cs="Calibri"/>
        </w:rPr>
        <w:t xml:space="preserve">NR Network-controlled Repeaters </w:t>
      </w:r>
      <w:r w:rsidRPr="00C724F1">
        <w:rPr>
          <w:rFonts w:ascii="Calibri" w:eastAsia="Malgun Gothic" w:hAnsi="Calibri" w:cs="Batang"/>
          <w:lang w:val="en-GB" w:eastAsia="ko-KR"/>
        </w:rPr>
        <w:t xml:space="preserve">[1], 3GPP has agreed </w:t>
      </w:r>
      <w:r>
        <w:rPr>
          <w:rFonts w:ascii="Calibri" w:eastAsia="Malgun Gothic" w:hAnsi="Calibri" w:cs="Batang"/>
          <w:lang w:val="en-GB" w:eastAsia="ko-KR"/>
        </w:rPr>
        <w:t>to specify enhancements over conventional RF repeaters including the following objectives:</w:t>
      </w:r>
    </w:p>
    <w:p w14:paraId="7EB4B17B" w14:textId="316AB9AB" w:rsidR="00D53279" w:rsidRPr="00B437E2" w:rsidRDefault="00D53279" w:rsidP="00D53279">
      <w:pPr>
        <w:spacing w:beforeLines="50" w:before="120" w:afterLines="50"/>
        <w:rPr>
          <w:sz w:val="18"/>
          <w:szCs w:val="18"/>
        </w:rPr>
      </w:pPr>
      <w:r w:rsidRPr="00B437E2">
        <w:rPr>
          <w:sz w:val="18"/>
          <w:szCs w:val="18"/>
        </w:rPr>
        <w:t xml:space="preserve">Specify the </w:t>
      </w:r>
      <w:r w:rsidR="006E3B03" w:rsidRPr="00B437E2">
        <w:rPr>
          <w:sz w:val="18"/>
          <w:szCs w:val="18"/>
        </w:rPr>
        <w:t>signaling</w:t>
      </w:r>
      <w:r w:rsidRPr="00B437E2">
        <w:rPr>
          <w:sz w:val="18"/>
          <w:szCs w:val="18"/>
        </w:rPr>
        <w:t xml:space="preserve"> and behavior of the following side control information for controlling the NCR-Fwd [RAN1, RAN2]</w:t>
      </w:r>
    </w:p>
    <w:p w14:paraId="7509CA0B" w14:textId="77777777" w:rsidR="00D53279" w:rsidRPr="00B437E2" w:rsidRDefault="00D53279" w:rsidP="00D53279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Lines="50" w:before="120" w:afterLines="50"/>
        <w:jc w:val="left"/>
        <w:textAlignment w:val="baseline"/>
        <w:rPr>
          <w:sz w:val="18"/>
          <w:szCs w:val="18"/>
        </w:rPr>
      </w:pPr>
      <w:r w:rsidRPr="00B437E2">
        <w:rPr>
          <w:sz w:val="18"/>
          <w:szCs w:val="18"/>
        </w:rPr>
        <w:t>Beamforming</w:t>
      </w:r>
    </w:p>
    <w:p w14:paraId="13990CB2" w14:textId="77777777" w:rsidR="00D53279" w:rsidRPr="00B437E2" w:rsidRDefault="00D53279" w:rsidP="00D53279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Lines="50" w:before="120" w:afterLines="50"/>
        <w:jc w:val="left"/>
        <w:textAlignment w:val="baseline"/>
        <w:rPr>
          <w:sz w:val="18"/>
          <w:szCs w:val="18"/>
        </w:rPr>
      </w:pPr>
      <w:r w:rsidRPr="00B437E2">
        <w:rPr>
          <w:sz w:val="18"/>
          <w:szCs w:val="18"/>
        </w:rPr>
        <w:t>UL-DL TDD operation</w:t>
      </w:r>
    </w:p>
    <w:p w14:paraId="7188D683" w14:textId="77777777" w:rsidR="00D53279" w:rsidRPr="00B437E2" w:rsidRDefault="00D53279" w:rsidP="00D53279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Lines="50" w:before="120" w:afterLines="50"/>
        <w:jc w:val="left"/>
        <w:textAlignment w:val="baseline"/>
        <w:rPr>
          <w:sz w:val="18"/>
          <w:szCs w:val="18"/>
        </w:rPr>
      </w:pPr>
      <w:r w:rsidRPr="00B437E2">
        <w:rPr>
          <w:sz w:val="18"/>
          <w:szCs w:val="18"/>
        </w:rPr>
        <w:t>ON-OFF information</w:t>
      </w:r>
    </w:p>
    <w:p w14:paraId="299A553B" w14:textId="77777777" w:rsidR="00D53279" w:rsidRPr="00B437E2" w:rsidRDefault="00D53279" w:rsidP="00D53279">
      <w:pPr>
        <w:pStyle w:val="ListParagraph"/>
        <w:spacing w:beforeLines="50" w:before="120" w:afterLines="50"/>
        <w:ind w:left="0"/>
        <w:rPr>
          <w:sz w:val="18"/>
          <w:szCs w:val="18"/>
          <w:lang w:eastAsia="zh-CN"/>
        </w:rPr>
      </w:pPr>
      <w:bookmarkStart w:id="4" w:name="_Hlk118383545"/>
      <w:bookmarkEnd w:id="2"/>
      <w:r w:rsidRPr="00B437E2">
        <w:rPr>
          <w:sz w:val="18"/>
          <w:szCs w:val="18"/>
          <w:lang w:eastAsia="zh-CN"/>
        </w:rPr>
        <w:t>Note: Power control aspect will be checked in RAN#98e.</w:t>
      </w:r>
      <w:bookmarkEnd w:id="3"/>
    </w:p>
    <w:bookmarkEnd w:id="4"/>
    <w:p w14:paraId="3D787061" w14:textId="35ABA58B" w:rsidR="00795A55" w:rsidRDefault="00795A55" w:rsidP="00795A55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084904BB" w14:textId="15AC8E0D" w:rsidR="00F765DB" w:rsidRPr="00045AED" w:rsidRDefault="00F765DB" w:rsidP="00045AED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bookmarkStart w:id="5" w:name="OLE_LINK84"/>
      <w:r>
        <w:rPr>
          <w:rFonts w:ascii="Calibri" w:eastAsia="Malgun Gothic" w:hAnsi="Calibri" w:cs="Batang"/>
          <w:lang w:val="en-GB" w:eastAsia="ko-KR"/>
        </w:rPr>
        <w:t xml:space="preserve">This contribution focuses on </w:t>
      </w:r>
      <w:r w:rsidR="00071942">
        <w:rPr>
          <w:rFonts w:ascii="Calibri" w:eastAsia="Malgun Gothic" w:hAnsi="Calibri" w:cs="Batang"/>
          <w:lang w:val="en-GB" w:eastAsia="ko-KR"/>
        </w:rPr>
        <w:t xml:space="preserve">requirements </w:t>
      </w:r>
      <w:r w:rsidR="00544843">
        <w:rPr>
          <w:rFonts w:ascii="Calibri" w:eastAsia="Malgun Gothic" w:hAnsi="Calibri" w:cs="Batang"/>
          <w:lang w:val="en-GB" w:eastAsia="ko-KR"/>
        </w:rPr>
        <w:t>for L1/L2</w:t>
      </w:r>
      <w:r w:rsidR="00071942">
        <w:rPr>
          <w:rFonts w:ascii="Calibri" w:eastAsia="Malgun Gothic" w:hAnsi="Calibri" w:cs="Batang"/>
          <w:lang w:val="en-GB" w:eastAsia="ko-KR"/>
        </w:rPr>
        <w:t xml:space="preserve"> side</w:t>
      </w:r>
      <w:r w:rsidR="00944B01">
        <w:rPr>
          <w:rFonts w:ascii="Calibri" w:eastAsia="Malgun Gothic" w:hAnsi="Calibri" w:cs="Batang"/>
          <w:lang w:val="en-GB" w:eastAsia="ko-KR"/>
        </w:rPr>
        <w:t xml:space="preserve"> control</w:t>
      </w:r>
      <w:r w:rsidR="00071942">
        <w:rPr>
          <w:rFonts w:ascii="Calibri" w:eastAsia="Malgun Gothic" w:hAnsi="Calibri" w:cs="Batang"/>
          <w:lang w:val="en-GB" w:eastAsia="ko-KR"/>
        </w:rPr>
        <w:t xml:space="preserve"> information and signaling framework for NR network-controlled repeaters.</w:t>
      </w:r>
    </w:p>
    <w:bookmarkEnd w:id="5"/>
    <w:p w14:paraId="6CB6A382" w14:textId="77777777" w:rsidR="00F765DB" w:rsidRDefault="00F765DB" w:rsidP="00EE2068">
      <w:pPr>
        <w:pStyle w:val="maintext"/>
        <w:ind w:firstLineChars="0" w:firstLine="0"/>
        <w:rPr>
          <w:rFonts w:ascii="Calibri" w:hAnsi="Calibri"/>
        </w:rPr>
      </w:pPr>
    </w:p>
    <w:p w14:paraId="4600A3D6" w14:textId="0047A7CF" w:rsidR="00346605" w:rsidRPr="00172743" w:rsidRDefault="00544843" w:rsidP="00326FF6">
      <w:pPr>
        <w:pStyle w:val="Heading1"/>
      </w:pPr>
      <w:r>
        <w:t>Side control information for NR network-controlled repeaters</w:t>
      </w:r>
    </w:p>
    <w:p w14:paraId="4D9FF756" w14:textId="65B6B15C" w:rsidR="00775387" w:rsidRDefault="00775387" w:rsidP="00775387">
      <w:pPr>
        <w:spacing w:after="60" w:line="288" w:lineRule="auto"/>
        <w:rPr>
          <w:rFonts w:ascii="Calibri" w:eastAsia="Malgun Gothic" w:hAnsi="Calibri" w:cs="Batang"/>
          <w:lang w:val="en-GB" w:eastAsia="ko-KR"/>
        </w:rPr>
      </w:pPr>
      <w:bookmarkStart w:id="6" w:name="OLE_LINK65"/>
      <w:r w:rsidRPr="001C22A7">
        <w:rPr>
          <w:rFonts w:ascii="Calibri" w:eastAsia="Malgun Gothic" w:hAnsi="Calibri" w:cs="Batang"/>
          <w:lang w:val="en-GB" w:eastAsia="ko-KR"/>
        </w:rPr>
        <w:t xml:space="preserve">Due to the native deployment of massive MIMO or multi-beam systems in NR, there is now an opportunity to develop and deploy </w:t>
      </w:r>
      <w:r w:rsidR="006E3B03">
        <w:rPr>
          <w:rFonts w:ascii="Calibri" w:eastAsia="Malgun Gothic" w:hAnsi="Calibri" w:cs="Batang"/>
          <w:lang w:val="en-GB" w:eastAsia="ko-KR"/>
        </w:rPr>
        <w:t>network-controlled</w:t>
      </w:r>
      <w:r>
        <w:rPr>
          <w:rFonts w:ascii="Calibri" w:eastAsia="Malgun Gothic" w:hAnsi="Calibri" w:cs="Batang"/>
          <w:lang w:val="en-GB" w:eastAsia="ko-KR"/>
        </w:rPr>
        <w:t xml:space="preserve"> </w:t>
      </w:r>
      <w:r w:rsidRPr="001C22A7">
        <w:rPr>
          <w:rFonts w:ascii="Calibri" w:eastAsia="Malgun Gothic" w:hAnsi="Calibri" w:cs="Batang"/>
          <w:lang w:val="en-GB" w:eastAsia="ko-KR"/>
        </w:rPr>
        <w:t>repeaters (</w:t>
      </w:r>
      <w:r>
        <w:rPr>
          <w:rFonts w:ascii="Calibri" w:eastAsia="Malgun Gothic" w:hAnsi="Calibri" w:cs="Batang"/>
          <w:lang w:val="en-GB" w:eastAsia="ko-KR"/>
        </w:rPr>
        <w:t>e.g. “smart” repeaters</w:t>
      </w:r>
      <w:r w:rsidRPr="001C22A7">
        <w:rPr>
          <w:rFonts w:ascii="Calibri" w:eastAsia="Malgun Gothic" w:hAnsi="Calibri" w:cs="Batang"/>
          <w:lang w:val="en-GB" w:eastAsia="ko-KR"/>
        </w:rPr>
        <w:t xml:space="preserve">) </w:t>
      </w:r>
      <w:r>
        <w:rPr>
          <w:rFonts w:ascii="Calibri" w:eastAsia="Malgun Gothic" w:hAnsi="Calibri" w:cs="Batang"/>
          <w:lang w:val="en-GB" w:eastAsia="ko-KR"/>
        </w:rPr>
        <w:t>which utilize</w:t>
      </w:r>
      <w:r w:rsidRPr="001C22A7">
        <w:rPr>
          <w:rFonts w:ascii="Calibri" w:eastAsia="Malgun Gothic" w:hAnsi="Calibri" w:cs="Batang"/>
          <w:lang w:val="en-GB" w:eastAsia="ko-KR"/>
        </w:rPr>
        <w:t xml:space="preserve"> </w:t>
      </w:r>
      <w:r>
        <w:rPr>
          <w:rFonts w:ascii="Calibri" w:eastAsia="Malgun Gothic" w:hAnsi="Calibri" w:cs="Batang"/>
          <w:lang w:val="en-GB" w:eastAsia="ko-KR"/>
        </w:rPr>
        <w:t>an amplify-and-forward</w:t>
      </w:r>
      <w:r w:rsidRPr="001C22A7">
        <w:rPr>
          <w:rFonts w:ascii="Calibri" w:eastAsia="Malgun Gothic" w:hAnsi="Calibri" w:cs="Batang"/>
          <w:lang w:val="en-GB" w:eastAsia="ko-KR"/>
        </w:rPr>
        <w:t xml:space="preserve"> approach to take the DL signal from a donor cell (e.g. macro </w:t>
      </w:r>
      <w:r>
        <w:rPr>
          <w:rFonts w:ascii="Calibri" w:eastAsia="Malgun Gothic" w:hAnsi="Calibri" w:cs="Batang"/>
          <w:lang w:val="en-GB" w:eastAsia="ko-KR"/>
        </w:rPr>
        <w:t>gNB</w:t>
      </w:r>
      <w:r w:rsidRPr="001C22A7">
        <w:rPr>
          <w:rFonts w:ascii="Calibri" w:eastAsia="Malgun Gothic" w:hAnsi="Calibri" w:cs="Batang"/>
          <w:lang w:val="en-GB" w:eastAsia="ko-KR"/>
        </w:rPr>
        <w:t xml:space="preserve">) and provide it to users which may be beyond the coverage of the donor cell. Additionally, the </w:t>
      </w:r>
      <w:r>
        <w:rPr>
          <w:rFonts w:ascii="Calibri" w:eastAsia="Malgun Gothic" w:hAnsi="Calibri" w:cs="Batang"/>
          <w:lang w:val="en-GB" w:eastAsia="ko-KR"/>
        </w:rPr>
        <w:t>NCR</w:t>
      </w:r>
      <w:r w:rsidRPr="001C22A7">
        <w:rPr>
          <w:rFonts w:ascii="Calibri" w:eastAsia="Malgun Gothic" w:hAnsi="Calibri" w:cs="Batang"/>
          <w:lang w:val="en-GB" w:eastAsia="ko-KR"/>
        </w:rPr>
        <w:t xml:space="preserve"> can provide the UL signal from the user device to its serving cell</w:t>
      </w:r>
      <w:r>
        <w:rPr>
          <w:rFonts w:ascii="Calibri" w:eastAsia="Malgun Gothic" w:hAnsi="Calibri" w:cs="Batang"/>
          <w:lang w:val="en-GB" w:eastAsia="ko-KR"/>
        </w:rPr>
        <w:t xml:space="preserve"> in a transparent manner</w:t>
      </w:r>
      <w:r w:rsidRPr="001C22A7">
        <w:rPr>
          <w:rFonts w:ascii="Calibri" w:eastAsia="Malgun Gothic" w:hAnsi="Calibri" w:cs="Batang"/>
          <w:lang w:val="en-GB" w:eastAsia="ko-KR"/>
        </w:rPr>
        <w:t xml:space="preserve">. This may allow easier deployment of a dense network of access points </w:t>
      </w:r>
      <w:r>
        <w:rPr>
          <w:rFonts w:ascii="Calibri" w:eastAsia="Malgun Gothic" w:hAnsi="Calibri" w:cs="Batang"/>
          <w:lang w:val="en-GB" w:eastAsia="ko-KR"/>
        </w:rPr>
        <w:t>in FR1 and FR2 as shown in Figure 1.</w:t>
      </w:r>
      <w:r w:rsidR="006E3B03">
        <w:rPr>
          <w:rFonts w:ascii="Calibri" w:eastAsia="Malgun Gothic" w:hAnsi="Calibri" w:cs="Batang"/>
          <w:lang w:val="en-GB" w:eastAsia="ko-KR"/>
        </w:rPr>
        <w:t xml:space="preserve">  </w:t>
      </w:r>
    </w:p>
    <w:p w14:paraId="0CE07F81" w14:textId="77777777" w:rsidR="00775387" w:rsidRDefault="00775387" w:rsidP="00775387">
      <w:pPr>
        <w:spacing w:after="60" w:line="288" w:lineRule="auto"/>
        <w:rPr>
          <w:rFonts w:ascii="Calibri" w:eastAsia="Malgun Gothic" w:hAnsi="Calibri" w:cs="Batang"/>
          <w:lang w:val="en-GB" w:eastAsia="ko-KR"/>
        </w:rPr>
      </w:pPr>
    </w:p>
    <w:p w14:paraId="1B882280" w14:textId="77777777" w:rsidR="00775387" w:rsidRDefault="00775387" w:rsidP="00775387">
      <w:pPr>
        <w:spacing w:after="60" w:line="288" w:lineRule="auto"/>
        <w:jc w:val="center"/>
        <w:rPr>
          <w:rFonts w:ascii="Times New Roman" w:eastAsia="Malgun Gothic" w:hAnsi="Times New Roman" w:cs="Batang"/>
          <w:b/>
          <w:lang w:eastAsia="ko-KR"/>
        </w:rPr>
      </w:pPr>
      <w:r w:rsidRPr="004C7E99">
        <w:rPr>
          <w:rFonts w:ascii="Times New Roman" w:eastAsia="Malgun Gothic" w:hAnsi="Times New Roman" w:cs="Batang"/>
          <w:b/>
          <w:noProof/>
          <w:lang w:eastAsia="ko-KR"/>
        </w:rPr>
        <w:drawing>
          <wp:inline distT="0" distB="0" distL="0" distR="0" wp14:anchorId="30320016" wp14:editId="7352EF13">
            <wp:extent cx="2578308" cy="2189254"/>
            <wp:effectExtent l="0" t="0" r="0" b="0"/>
            <wp:docPr id="1" name="Picture 1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schematic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19887" cy="2224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89A12" w14:textId="1461262C" w:rsidR="00EA219F" w:rsidRPr="00775387" w:rsidRDefault="00775387" w:rsidP="00775387">
      <w:pPr>
        <w:jc w:val="center"/>
        <w:rPr>
          <w:rFonts w:asciiTheme="minorHAnsi" w:hAnsiTheme="minorHAnsi" w:cstheme="minorHAnsi"/>
          <w:b/>
        </w:rPr>
      </w:pPr>
      <w:r w:rsidRPr="00A81AFF">
        <w:rPr>
          <w:rFonts w:asciiTheme="minorHAnsi" w:hAnsiTheme="minorHAnsi" w:cstheme="minorHAnsi"/>
          <w:b/>
        </w:rPr>
        <w:t xml:space="preserve">Figure 1: Network-controlled repeater access and </w:t>
      </w:r>
      <w:r>
        <w:rPr>
          <w:rFonts w:asciiTheme="minorHAnsi" w:hAnsiTheme="minorHAnsi" w:cstheme="minorHAnsi"/>
          <w:b/>
        </w:rPr>
        <w:t>backhaul</w:t>
      </w:r>
      <w:r w:rsidRPr="00A81AFF">
        <w:rPr>
          <w:rFonts w:asciiTheme="minorHAnsi" w:hAnsiTheme="minorHAnsi" w:cstheme="minorHAnsi"/>
          <w:b/>
        </w:rPr>
        <w:t xml:space="preserve"> links</w:t>
      </w:r>
      <w:bookmarkEnd w:id="6"/>
    </w:p>
    <w:p w14:paraId="3B096EDD" w14:textId="47A9E791" w:rsidR="00A81AFF" w:rsidRDefault="00A07EAB" w:rsidP="00AB38F0">
      <w:pPr>
        <w:pStyle w:val="maintext"/>
        <w:ind w:firstLineChars="0" w:firstLine="0"/>
        <w:rPr>
          <w:rFonts w:ascii="Calibri" w:hAnsi="Calibri"/>
        </w:rPr>
      </w:pPr>
      <w:r w:rsidRPr="00A07EAB">
        <w:rPr>
          <w:rFonts w:ascii="Calibri" w:hAnsi="Calibri"/>
        </w:rPr>
        <w:lastRenderedPageBreak/>
        <w:t xml:space="preserve">As a result, there is a need for </w:t>
      </w:r>
      <w:r w:rsidR="004079C3">
        <w:rPr>
          <w:rFonts w:ascii="Calibri" w:hAnsi="Calibri"/>
          <w:lang w:val="en-US"/>
        </w:rPr>
        <w:t>i</w:t>
      </w:r>
      <w:r w:rsidR="004079C3" w:rsidRPr="004079C3">
        <w:rPr>
          <w:rFonts w:ascii="Calibri" w:hAnsi="Calibri"/>
          <w:lang w:val="en-US"/>
        </w:rPr>
        <w:t xml:space="preserve">dentification and authorization of network-controlled repeaters by </w:t>
      </w:r>
      <w:r w:rsidR="00076D90">
        <w:rPr>
          <w:rFonts w:ascii="Calibri" w:hAnsi="Calibri"/>
          <w:lang w:val="en-US"/>
        </w:rPr>
        <w:t>the network</w:t>
      </w:r>
      <w:r w:rsidR="004079C3" w:rsidRPr="004079C3">
        <w:rPr>
          <w:rFonts w:ascii="Calibri" w:hAnsi="Calibri"/>
          <w:lang w:val="en-US"/>
        </w:rPr>
        <w:t xml:space="preserve"> </w:t>
      </w:r>
      <w:r w:rsidR="004079C3">
        <w:rPr>
          <w:rFonts w:ascii="Calibri" w:hAnsi="Calibri"/>
          <w:lang w:val="en-US"/>
        </w:rPr>
        <w:t xml:space="preserve">in addition to </w:t>
      </w:r>
      <w:r w:rsidRPr="00A07EAB">
        <w:rPr>
          <w:rFonts w:ascii="Calibri" w:hAnsi="Calibri"/>
        </w:rPr>
        <w:t xml:space="preserve">OTA configuration and management which can adapt the physical layer </w:t>
      </w:r>
      <w:r w:rsidR="004A20EA">
        <w:rPr>
          <w:rFonts w:ascii="Calibri" w:hAnsi="Calibri"/>
        </w:rPr>
        <w:t xml:space="preserve">L1/L2 </w:t>
      </w:r>
      <w:r w:rsidRPr="00A07EAB">
        <w:rPr>
          <w:rFonts w:ascii="Calibri" w:hAnsi="Calibri"/>
        </w:rPr>
        <w:t xml:space="preserve">parameters used by the </w:t>
      </w:r>
      <w:r w:rsidR="004A20EA">
        <w:rPr>
          <w:rFonts w:ascii="Calibri" w:hAnsi="Calibri"/>
        </w:rPr>
        <w:t>NCR-MT for its control link a</w:t>
      </w:r>
      <w:r w:rsidR="006533C2">
        <w:rPr>
          <w:rFonts w:ascii="Calibri" w:hAnsi="Calibri"/>
        </w:rPr>
        <w:t xml:space="preserve">s well as the L1/L2 parameters used by the NCR-Fwd </w:t>
      </w:r>
      <w:r w:rsidRPr="00A07EAB">
        <w:rPr>
          <w:rFonts w:ascii="Calibri" w:hAnsi="Calibri"/>
        </w:rPr>
        <w:t xml:space="preserve">for </w:t>
      </w:r>
      <w:r w:rsidR="00043F30">
        <w:rPr>
          <w:rFonts w:ascii="Calibri" w:hAnsi="Calibri"/>
        </w:rPr>
        <w:t xml:space="preserve">its </w:t>
      </w:r>
      <w:r w:rsidR="00A81AFF">
        <w:rPr>
          <w:rFonts w:ascii="Calibri" w:hAnsi="Calibri"/>
        </w:rPr>
        <w:t>forwarding operation</w:t>
      </w:r>
      <w:r w:rsidR="006533C2">
        <w:rPr>
          <w:rFonts w:ascii="Calibri" w:hAnsi="Calibri"/>
        </w:rPr>
        <w:t xml:space="preserve"> (which may be the same or different resources/beams)</w:t>
      </w:r>
      <w:r w:rsidRPr="00A07EAB">
        <w:rPr>
          <w:rFonts w:ascii="Calibri" w:hAnsi="Calibri"/>
        </w:rPr>
        <w:t>.</w:t>
      </w:r>
      <w:r w:rsidR="00A81AFF">
        <w:rPr>
          <w:rFonts w:ascii="Calibri" w:hAnsi="Calibri"/>
        </w:rPr>
        <w:t xml:space="preserve"> This configuration should include at the least the following side control information:</w:t>
      </w:r>
    </w:p>
    <w:p w14:paraId="2C923420" w14:textId="77777777" w:rsidR="00A81AFF" w:rsidRPr="00A81AFF" w:rsidRDefault="00A81AFF" w:rsidP="00A81AFF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Calibri" w:eastAsia="Malgun Gothic" w:hAnsi="Calibri" w:cs="Batang"/>
          <w:lang w:val="en-GB" w:eastAsia="ko-KR"/>
        </w:rPr>
      </w:pPr>
      <w:r w:rsidRPr="00A81AFF">
        <w:rPr>
          <w:rFonts w:ascii="Calibri" w:eastAsia="Malgun Gothic" w:hAnsi="Calibri" w:cs="Batang"/>
          <w:lang w:val="en-GB" w:eastAsia="ko-KR"/>
        </w:rPr>
        <w:t>Beamforming information</w:t>
      </w:r>
    </w:p>
    <w:p w14:paraId="496E14D3" w14:textId="77777777" w:rsidR="00A81AFF" w:rsidRPr="00A81AFF" w:rsidRDefault="00A81AFF" w:rsidP="00A81AFF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Calibri" w:eastAsia="Malgun Gothic" w:hAnsi="Calibri" w:cs="Batang"/>
          <w:lang w:val="en-GB" w:eastAsia="ko-KR"/>
        </w:rPr>
      </w:pPr>
      <w:r w:rsidRPr="00A81AFF">
        <w:rPr>
          <w:rFonts w:ascii="Calibri" w:eastAsia="Malgun Gothic" w:hAnsi="Calibri" w:cs="Batang"/>
          <w:lang w:val="en-GB" w:eastAsia="ko-KR"/>
        </w:rPr>
        <w:t>Information on UL-DL TDD configuration</w:t>
      </w:r>
    </w:p>
    <w:p w14:paraId="39455D27" w14:textId="77777777" w:rsidR="00A81AFF" w:rsidRPr="00A81AFF" w:rsidRDefault="00A81AFF" w:rsidP="00A81AFF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Calibri" w:eastAsia="Malgun Gothic" w:hAnsi="Calibri" w:cs="Batang"/>
          <w:lang w:val="en-GB" w:eastAsia="ko-KR"/>
        </w:rPr>
      </w:pPr>
      <w:r w:rsidRPr="00A81AFF">
        <w:rPr>
          <w:rFonts w:ascii="Calibri" w:eastAsia="Malgun Gothic" w:hAnsi="Calibri" w:cs="Batang"/>
          <w:lang w:val="en-GB" w:eastAsia="ko-KR"/>
        </w:rPr>
        <w:t>ON-OFF information for efficient interference management and improved energy efficiency</w:t>
      </w:r>
    </w:p>
    <w:p w14:paraId="1F16904A" w14:textId="7961854D" w:rsidR="00861EBA" w:rsidRDefault="00861EBA" w:rsidP="00A81AFF">
      <w:p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Calibri" w:eastAsia="Malgun Gothic" w:hAnsi="Calibri" w:cs="Batang"/>
          <w:lang w:val="en-GB" w:eastAsia="ko-KR"/>
        </w:rPr>
      </w:pPr>
    </w:p>
    <w:p w14:paraId="1FD3468F" w14:textId="712657B1" w:rsidR="006533C2" w:rsidRPr="006533C2" w:rsidRDefault="000361A5" w:rsidP="006533C2">
      <w:pPr>
        <w:rPr>
          <w:rFonts w:ascii="Calibri" w:eastAsia="Malgun Gothic" w:hAnsi="Calibri" w:cs="Batang"/>
          <w:lang w:val="en-GB" w:eastAsia="ko-KR"/>
        </w:rPr>
      </w:pPr>
      <w:bookmarkStart w:id="7" w:name="OLE_LINK76"/>
      <w:r>
        <w:rPr>
          <w:rFonts w:ascii="Calibri" w:eastAsia="Malgun Gothic" w:hAnsi="Calibri" w:cs="Batang"/>
          <w:lang w:val="en-GB" w:eastAsia="ko-KR"/>
        </w:rPr>
        <w:t>In case of beamforming information</w:t>
      </w:r>
      <w:r w:rsidR="00BB0B45">
        <w:rPr>
          <w:rFonts w:ascii="Calibri" w:eastAsia="Malgun Gothic" w:hAnsi="Calibri" w:cs="Batang"/>
          <w:lang w:val="en-GB" w:eastAsia="ko-KR"/>
        </w:rPr>
        <w:t>,</w:t>
      </w:r>
      <w:r w:rsidR="008566DA">
        <w:rPr>
          <w:rFonts w:ascii="Calibri" w:eastAsia="Malgun Gothic" w:hAnsi="Calibri" w:cs="Batang"/>
          <w:lang w:val="en-GB" w:eastAsia="ko-KR"/>
        </w:rPr>
        <w:t xml:space="preserve"> </w:t>
      </w:r>
      <w:r w:rsidR="0003103A">
        <w:rPr>
          <w:rFonts w:ascii="Calibri" w:eastAsia="Malgun Gothic" w:hAnsi="Calibri" w:cs="Batang"/>
          <w:lang w:val="en-GB" w:eastAsia="ko-KR"/>
        </w:rPr>
        <w:t>the following agreements</w:t>
      </w:r>
      <w:r w:rsidR="00C6412E">
        <w:rPr>
          <w:rFonts w:ascii="Calibri" w:eastAsia="Malgun Gothic" w:hAnsi="Calibri" w:cs="Batang"/>
          <w:lang w:val="en-GB" w:eastAsia="ko-KR"/>
        </w:rPr>
        <w:t xml:space="preserve"> were made in RAN1#110bis-e</w:t>
      </w:r>
      <w:r w:rsidR="00BB0B45">
        <w:rPr>
          <w:rFonts w:ascii="Calibri" w:eastAsia="Malgun Gothic" w:hAnsi="Calibri" w:cs="Batang"/>
          <w:lang w:val="en-GB" w:eastAsia="ko-KR"/>
        </w:rPr>
        <w:t>:</w:t>
      </w:r>
    </w:p>
    <w:bookmarkEnd w:id="7"/>
    <w:p w14:paraId="425497E4" w14:textId="77777777" w:rsidR="0003103A" w:rsidRPr="00C508AC" w:rsidRDefault="0003103A" w:rsidP="0003103A">
      <w:pPr>
        <w:snapToGrid w:val="0"/>
        <w:rPr>
          <w:rFonts w:ascii="Times New Roman" w:hAnsi="Times New Roman"/>
          <w:b/>
          <w:bCs/>
          <w:iCs/>
          <w:color w:val="000000"/>
          <w:highlight w:val="green"/>
        </w:rPr>
      </w:pPr>
      <w:r>
        <w:rPr>
          <w:rFonts w:ascii="Times New Roman" w:hAnsi="Times New Roman"/>
          <w:b/>
          <w:color w:val="000000"/>
          <w:highlight w:val="green"/>
        </w:rPr>
        <w:t>Agreement</w:t>
      </w:r>
    </w:p>
    <w:p w14:paraId="4253D627" w14:textId="77777777" w:rsidR="0003103A" w:rsidRPr="00681868" w:rsidRDefault="0003103A" w:rsidP="0003103A">
      <w:pPr>
        <w:snapToGrid w:val="0"/>
        <w:rPr>
          <w:rFonts w:ascii="Times New Roman" w:eastAsia="DengXian" w:hAnsi="Times New Roman"/>
        </w:rPr>
      </w:pPr>
      <w:r w:rsidRPr="00681868">
        <w:rPr>
          <w:rFonts w:ascii="Times New Roman" w:eastAsia="DengXian" w:hAnsi="Times New Roman"/>
        </w:rPr>
        <w:t xml:space="preserve">The following information can be used to characterize the physical beam(s) supported by NCR-Fwd for access link: </w:t>
      </w:r>
    </w:p>
    <w:p w14:paraId="254B6538" w14:textId="77777777" w:rsidR="0003103A" w:rsidRPr="00C508AC" w:rsidRDefault="0003103A" w:rsidP="0003103A">
      <w:pPr>
        <w:pStyle w:val="ListParagraph"/>
        <w:numPr>
          <w:ilvl w:val="0"/>
          <w:numId w:val="26"/>
        </w:numPr>
        <w:snapToGrid w:val="0"/>
        <w:spacing w:before="0" w:after="0"/>
        <w:contextualSpacing w:val="0"/>
        <w:jc w:val="left"/>
        <w:rPr>
          <w:rFonts w:ascii="Times New Roman" w:eastAsia="DengXian" w:hAnsi="Times New Roman"/>
          <w:color w:val="000000"/>
        </w:rPr>
      </w:pPr>
      <w:r w:rsidRPr="00C508AC">
        <w:rPr>
          <w:rFonts w:ascii="Times New Roman" w:hAnsi="Times New Roman"/>
        </w:rPr>
        <w:t>Number of beams supported for access link</w:t>
      </w:r>
    </w:p>
    <w:p w14:paraId="5876E105" w14:textId="77777777" w:rsidR="0003103A" w:rsidRPr="00C508AC" w:rsidRDefault="0003103A" w:rsidP="0003103A">
      <w:pPr>
        <w:pStyle w:val="ListParagraph"/>
        <w:numPr>
          <w:ilvl w:val="1"/>
          <w:numId w:val="26"/>
        </w:numPr>
        <w:snapToGrid w:val="0"/>
        <w:spacing w:before="0" w:after="0"/>
        <w:contextualSpacing w:val="0"/>
        <w:jc w:val="left"/>
        <w:rPr>
          <w:rFonts w:ascii="Times New Roman" w:hAnsi="Times New Roman"/>
        </w:rPr>
      </w:pPr>
      <w:r w:rsidRPr="00C508AC">
        <w:rPr>
          <w:rFonts w:ascii="Times New Roman" w:hAnsi="Times New Roman"/>
        </w:rPr>
        <w:t>FFS: How to define the detailed value (e.g., per beam type)</w:t>
      </w:r>
    </w:p>
    <w:p w14:paraId="63A36830" w14:textId="77777777" w:rsidR="0003103A" w:rsidRPr="00681868" w:rsidRDefault="0003103A" w:rsidP="0003103A">
      <w:pPr>
        <w:pStyle w:val="ListParagraph"/>
        <w:numPr>
          <w:ilvl w:val="1"/>
          <w:numId w:val="26"/>
        </w:numPr>
        <w:snapToGrid w:val="0"/>
        <w:spacing w:before="0" w:after="0"/>
        <w:contextualSpacing w:val="0"/>
        <w:jc w:val="left"/>
        <w:rPr>
          <w:rFonts w:ascii="Times New Roman" w:hAnsi="Times New Roman"/>
        </w:rPr>
      </w:pPr>
      <w:r w:rsidRPr="00681868">
        <w:rPr>
          <w:rFonts w:ascii="Times New Roman" w:hAnsi="Times New Roman"/>
        </w:rPr>
        <w:t>FFS: Whether the number of beam can be derived by beam layout</w:t>
      </w:r>
    </w:p>
    <w:p w14:paraId="0EE0DE72" w14:textId="77777777" w:rsidR="0003103A" w:rsidRPr="00681868" w:rsidRDefault="0003103A" w:rsidP="0003103A">
      <w:pPr>
        <w:pStyle w:val="ListParagraph"/>
        <w:numPr>
          <w:ilvl w:val="0"/>
          <w:numId w:val="26"/>
        </w:numPr>
        <w:snapToGrid w:val="0"/>
        <w:spacing w:before="0" w:after="0"/>
        <w:contextualSpacing w:val="0"/>
        <w:jc w:val="left"/>
        <w:rPr>
          <w:rFonts w:ascii="Times New Roman" w:hAnsi="Times New Roman"/>
        </w:rPr>
      </w:pPr>
      <w:r w:rsidRPr="00C508AC">
        <w:rPr>
          <w:rFonts w:ascii="Times New Roman" w:hAnsi="Times New Roman"/>
        </w:rPr>
        <w:t>Spatial relationship between different beams</w:t>
      </w:r>
    </w:p>
    <w:p w14:paraId="63C26932" w14:textId="77777777" w:rsidR="0003103A" w:rsidRPr="00681868" w:rsidRDefault="0003103A" w:rsidP="0003103A">
      <w:pPr>
        <w:pStyle w:val="ListParagraph"/>
        <w:numPr>
          <w:ilvl w:val="0"/>
          <w:numId w:val="26"/>
        </w:numPr>
        <w:snapToGrid w:val="0"/>
        <w:spacing w:before="0" w:after="0"/>
        <w:contextualSpacing w:val="0"/>
        <w:jc w:val="left"/>
        <w:rPr>
          <w:rFonts w:ascii="Times New Roman" w:hAnsi="Times New Roman"/>
        </w:rPr>
      </w:pPr>
      <w:r w:rsidRPr="00C508AC">
        <w:rPr>
          <w:rFonts w:ascii="Times New Roman" w:hAnsi="Times New Roman"/>
        </w:rPr>
        <w:t xml:space="preserve">FFS: Beam types defined by the beam width </w:t>
      </w:r>
      <w:r w:rsidRPr="00681868">
        <w:rPr>
          <w:rFonts w:ascii="Times New Roman" w:hAnsi="Times New Roman"/>
        </w:rPr>
        <w:t>(e.g. two types as wide beam and narrow beam type)</w:t>
      </w:r>
    </w:p>
    <w:p w14:paraId="344A7C54" w14:textId="77777777" w:rsidR="0003103A" w:rsidRPr="00C508AC" w:rsidRDefault="0003103A" w:rsidP="0003103A">
      <w:pPr>
        <w:pStyle w:val="ListParagraph"/>
        <w:numPr>
          <w:ilvl w:val="0"/>
          <w:numId w:val="26"/>
        </w:numPr>
        <w:snapToGrid w:val="0"/>
        <w:spacing w:before="0" w:after="0"/>
        <w:contextualSpacing w:val="0"/>
        <w:jc w:val="left"/>
        <w:rPr>
          <w:rFonts w:ascii="Times New Roman" w:hAnsi="Times New Roman"/>
        </w:rPr>
      </w:pPr>
      <w:r w:rsidRPr="00681868">
        <w:rPr>
          <w:rFonts w:ascii="Times New Roman" w:hAnsi="Times New Roman"/>
        </w:rPr>
        <w:t xml:space="preserve">FFS: </w:t>
      </w:r>
      <w:r w:rsidRPr="00C508AC">
        <w:rPr>
          <w:rFonts w:ascii="Times New Roman" w:hAnsi="Times New Roman"/>
        </w:rPr>
        <w:t>Beam direction defined by the boresight of beam</w:t>
      </w:r>
    </w:p>
    <w:p w14:paraId="28908233" w14:textId="77777777" w:rsidR="0003103A" w:rsidRPr="00681868" w:rsidRDefault="0003103A" w:rsidP="0003103A">
      <w:pPr>
        <w:pStyle w:val="ListParagraph"/>
        <w:numPr>
          <w:ilvl w:val="0"/>
          <w:numId w:val="26"/>
        </w:numPr>
        <w:snapToGrid w:val="0"/>
        <w:spacing w:before="0" w:after="0"/>
        <w:contextualSpacing w:val="0"/>
        <w:jc w:val="left"/>
        <w:rPr>
          <w:rFonts w:ascii="Times New Roman" w:hAnsi="Times New Roman"/>
        </w:rPr>
      </w:pPr>
      <w:r w:rsidRPr="00C508AC">
        <w:rPr>
          <w:rFonts w:ascii="Times New Roman" w:hAnsi="Times New Roman"/>
        </w:rPr>
        <w:t>FFS: Whether/How to deliver this information to gNB</w:t>
      </w:r>
    </w:p>
    <w:p w14:paraId="4ADFB6A5" w14:textId="77777777" w:rsidR="0003103A" w:rsidRPr="00681868" w:rsidRDefault="0003103A" w:rsidP="0003103A">
      <w:pPr>
        <w:pStyle w:val="ListParagraph"/>
        <w:numPr>
          <w:ilvl w:val="0"/>
          <w:numId w:val="26"/>
        </w:numPr>
        <w:snapToGrid w:val="0"/>
        <w:spacing w:before="0" w:after="0"/>
        <w:contextualSpacing w:val="0"/>
        <w:jc w:val="left"/>
        <w:rPr>
          <w:rFonts w:ascii="Times New Roman" w:hAnsi="Times New Roman"/>
        </w:rPr>
      </w:pPr>
      <w:r w:rsidRPr="00C508AC">
        <w:rPr>
          <w:rFonts w:ascii="Times New Roman" w:hAnsi="Times New Roman"/>
        </w:rPr>
        <w:t>FFS: Coverage area for each beam type</w:t>
      </w:r>
    </w:p>
    <w:p w14:paraId="036EA2CC" w14:textId="77777777" w:rsidR="0003103A" w:rsidRPr="00681868" w:rsidRDefault="0003103A" w:rsidP="0003103A">
      <w:pPr>
        <w:pStyle w:val="ListParagraph"/>
        <w:numPr>
          <w:ilvl w:val="0"/>
          <w:numId w:val="26"/>
        </w:numPr>
        <w:snapToGrid w:val="0"/>
        <w:spacing w:before="0" w:after="0"/>
        <w:contextualSpacing w:val="0"/>
        <w:jc w:val="left"/>
        <w:rPr>
          <w:rFonts w:ascii="Times New Roman" w:hAnsi="Times New Roman"/>
        </w:rPr>
      </w:pPr>
      <w:r w:rsidRPr="00C508AC">
        <w:rPr>
          <w:rFonts w:ascii="Times New Roman" w:hAnsi="Times New Roman"/>
        </w:rPr>
        <w:t xml:space="preserve">FFS: Beam ID (via explicit or implicit means) </w:t>
      </w:r>
    </w:p>
    <w:p w14:paraId="46683131" w14:textId="77777777" w:rsidR="0003103A" w:rsidRDefault="0003103A" w:rsidP="0003103A">
      <w:pPr>
        <w:rPr>
          <w:lang w:eastAsia="x-none"/>
        </w:rPr>
      </w:pPr>
    </w:p>
    <w:p w14:paraId="263410C6" w14:textId="77777777" w:rsidR="0003103A" w:rsidRPr="00303B72" w:rsidRDefault="0003103A" w:rsidP="0003103A">
      <w:pPr>
        <w:snapToGrid w:val="0"/>
        <w:rPr>
          <w:b/>
          <w:bCs/>
          <w:iCs/>
          <w:highlight w:val="green"/>
        </w:rPr>
      </w:pPr>
      <w:r w:rsidRPr="00303B72">
        <w:rPr>
          <w:b/>
          <w:highlight w:val="green"/>
        </w:rPr>
        <w:t>Agreement</w:t>
      </w:r>
    </w:p>
    <w:p w14:paraId="36744BF4" w14:textId="77777777" w:rsidR="0003103A" w:rsidRPr="00303B72" w:rsidRDefault="0003103A" w:rsidP="0003103A">
      <w:pPr>
        <w:snapToGrid w:val="0"/>
        <w:rPr>
          <w:rFonts w:eastAsia="DengXian"/>
        </w:rPr>
      </w:pPr>
      <w:r w:rsidRPr="00303B72">
        <w:rPr>
          <w:bCs/>
          <w:iCs/>
        </w:rPr>
        <w:t>The following methods are supported for access link beam indication:</w:t>
      </w:r>
    </w:p>
    <w:p w14:paraId="2692A92F" w14:textId="77777777" w:rsidR="0003103A" w:rsidRPr="00303B72" w:rsidRDefault="0003103A" w:rsidP="0003103A">
      <w:pPr>
        <w:pStyle w:val="ListParagraph"/>
        <w:numPr>
          <w:ilvl w:val="0"/>
          <w:numId w:val="26"/>
        </w:numPr>
        <w:snapToGrid w:val="0"/>
        <w:spacing w:before="0" w:after="0"/>
        <w:contextualSpacing w:val="0"/>
        <w:jc w:val="left"/>
      </w:pPr>
      <w:r w:rsidRPr="00303B72">
        <w:t>Single beam index per indication is supported to indicate one beam.</w:t>
      </w:r>
    </w:p>
    <w:p w14:paraId="637125DF" w14:textId="77777777" w:rsidR="0003103A" w:rsidRPr="00303B72" w:rsidRDefault="0003103A" w:rsidP="0003103A">
      <w:pPr>
        <w:pStyle w:val="ListParagraph"/>
        <w:numPr>
          <w:ilvl w:val="0"/>
          <w:numId w:val="26"/>
        </w:numPr>
        <w:snapToGrid w:val="0"/>
        <w:spacing w:before="0" w:after="0"/>
        <w:contextualSpacing w:val="0"/>
        <w:jc w:val="left"/>
      </w:pPr>
      <w:r w:rsidRPr="00303B72">
        <w:t>The indication of multiple beams in one indication is supported</w:t>
      </w:r>
    </w:p>
    <w:p w14:paraId="06C6C5E4" w14:textId="77777777" w:rsidR="0003103A" w:rsidRPr="00303B72" w:rsidRDefault="0003103A" w:rsidP="0003103A">
      <w:pPr>
        <w:pStyle w:val="ListParagraph"/>
        <w:numPr>
          <w:ilvl w:val="1"/>
          <w:numId w:val="26"/>
        </w:numPr>
        <w:snapToGrid w:val="0"/>
        <w:spacing w:before="0" w:after="0"/>
        <w:contextualSpacing w:val="0"/>
        <w:jc w:val="left"/>
      </w:pPr>
      <w:r w:rsidRPr="00303B72">
        <w:t>Note: The multiple beams are applied in TDMed over same frequency resource</w:t>
      </w:r>
    </w:p>
    <w:p w14:paraId="3E6D84CA" w14:textId="77777777" w:rsidR="0003103A" w:rsidRPr="00303B72" w:rsidRDefault="0003103A" w:rsidP="00C6412E">
      <w:pPr>
        <w:pStyle w:val="NormalWeb"/>
        <w:spacing w:before="0" w:beforeAutospacing="0" w:after="0" w:afterAutospacing="0"/>
        <w:rPr>
          <w:rFonts w:ascii="Times" w:hAnsi="Times" w:cs="Times"/>
        </w:rPr>
      </w:pPr>
    </w:p>
    <w:p w14:paraId="0A8C158C" w14:textId="77777777" w:rsidR="0003103A" w:rsidRPr="00C508AC" w:rsidRDefault="0003103A" w:rsidP="0003103A">
      <w:pPr>
        <w:snapToGrid w:val="0"/>
        <w:rPr>
          <w:rFonts w:ascii="Times New Roman" w:hAnsi="Times New Roman"/>
          <w:b/>
          <w:bCs/>
          <w:iCs/>
          <w:color w:val="000000"/>
          <w:highlight w:val="green"/>
        </w:rPr>
      </w:pPr>
      <w:r>
        <w:rPr>
          <w:rFonts w:ascii="Times New Roman" w:hAnsi="Times New Roman"/>
          <w:b/>
          <w:color w:val="000000"/>
          <w:highlight w:val="green"/>
        </w:rPr>
        <w:t>Agreement</w:t>
      </w:r>
    </w:p>
    <w:p w14:paraId="3B235F5F" w14:textId="77777777" w:rsidR="0003103A" w:rsidRPr="00530E44" w:rsidRDefault="0003103A" w:rsidP="0003103A">
      <w:pPr>
        <w:pStyle w:val="NormalWeb"/>
        <w:spacing w:before="0" w:beforeAutospacing="0" w:after="0" w:afterAutospacing="0"/>
        <w:ind w:firstLine="400"/>
        <w:rPr>
          <w:rFonts w:ascii="Times" w:hAnsi="Times" w:cs="Times"/>
        </w:rPr>
      </w:pPr>
      <w:r w:rsidRPr="00530E44">
        <w:rPr>
          <w:rFonts w:ascii="Times" w:hAnsi="Times" w:cs="Times"/>
          <w:sz w:val="20"/>
          <w:szCs w:val="20"/>
        </w:rPr>
        <w:t>The following aspects should be NCR capability:</w:t>
      </w:r>
    </w:p>
    <w:p w14:paraId="570E8C3D" w14:textId="77777777" w:rsidR="0003103A" w:rsidRPr="00530E44" w:rsidRDefault="0003103A" w:rsidP="0003103A">
      <w:pPr>
        <w:pStyle w:val="ListParagraph"/>
        <w:numPr>
          <w:ilvl w:val="0"/>
          <w:numId w:val="26"/>
        </w:numPr>
        <w:snapToGrid w:val="0"/>
        <w:spacing w:before="0" w:after="0"/>
        <w:contextualSpacing w:val="0"/>
        <w:jc w:val="left"/>
        <w:rPr>
          <w:rFonts w:ascii="Times New Roman" w:hAnsi="Times New Roman"/>
        </w:rPr>
      </w:pPr>
      <w:r w:rsidRPr="00530E44">
        <w:rPr>
          <w:rFonts w:ascii="Times New Roman" w:hAnsi="Times New Roman"/>
        </w:rPr>
        <w:t>Simultaneous UL transmission of C-link and backhaul link</w:t>
      </w:r>
    </w:p>
    <w:p w14:paraId="6426D9FF" w14:textId="77777777" w:rsidR="0003103A" w:rsidRPr="00530E44" w:rsidRDefault="0003103A" w:rsidP="0003103A">
      <w:pPr>
        <w:pStyle w:val="ListParagraph"/>
        <w:numPr>
          <w:ilvl w:val="0"/>
          <w:numId w:val="26"/>
        </w:numPr>
        <w:snapToGrid w:val="0"/>
        <w:spacing w:before="0" w:after="0"/>
        <w:contextualSpacing w:val="0"/>
        <w:jc w:val="left"/>
        <w:rPr>
          <w:rFonts w:ascii="Times New Roman" w:hAnsi="Times New Roman"/>
        </w:rPr>
      </w:pPr>
      <w:r w:rsidRPr="00530E44">
        <w:rPr>
          <w:rFonts w:ascii="Times New Roman" w:hAnsi="Times New Roman"/>
        </w:rPr>
        <w:t>Adaptive beam for C-link/backhaul-link</w:t>
      </w:r>
    </w:p>
    <w:p w14:paraId="418603AC" w14:textId="77777777" w:rsidR="0003103A" w:rsidRPr="00530E44" w:rsidRDefault="0003103A" w:rsidP="0003103A">
      <w:pPr>
        <w:pStyle w:val="ListParagraph"/>
        <w:numPr>
          <w:ilvl w:val="0"/>
          <w:numId w:val="26"/>
        </w:numPr>
        <w:snapToGrid w:val="0"/>
        <w:spacing w:before="0" w:after="0"/>
        <w:contextualSpacing w:val="0"/>
        <w:jc w:val="left"/>
        <w:rPr>
          <w:rFonts w:ascii="Times New Roman" w:hAnsi="Times New Roman"/>
        </w:rPr>
      </w:pPr>
      <w:r w:rsidRPr="00530E44">
        <w:rPr>
          <w:rFonts w:ascii="Times New Roman" w:hAnsi="Times New Roman"/>
        </w:rPr>
        <w:t>Note-1: Fixed beam for C-link/backhaul link is default capability</w:t>
      </w:r>
    </w:p>
    <w:p w14:paraId="4D47B6E0" w14:textId="77777777" w:rsidR="0003103A" w:rsidRPr="00530E44" w:rsidRDefault="0003103A" w:rsidP="0003103A">
      <w:pPr>
        <w:pStyle w:val="ListParagraph"/>
        <w:numPr>
          <w:ilvl w:val="0"/>
          <w:numId w:val="26"/>
        </w:numPr>
        <w:snapToGrid w:val="0"/>
        <w:spacing w:before="0" w:after="0"/>
        <w:contextualSpacing w:val="0"/>
        <w:jc w:val="left"/>
        <w:rPr>
          <w:rFonts w:ascii="Times New Roman" w:hAnsi="Times New Roman"/>
        </w:rPr>
      </w:pPr>
      <w:r w:rsidRPr="00530E44">
        <w:rPr>
          <w:rFonts w:ascii="Times New Roman" w:hAnsi="Times New Roman"/>
        </w:rPr>
        <w:t>Note-2: TDMed UL transmission of C-link and backhaul link is default capability.</w:t>
      </w:r>
    </w:p>
    <w:p w14:paraId="533F7D99" w14:textId="77777777" w:rsidR="0003103A" w:rsidRPr="00530E44" w:rsidRDefault="0003103A" w:rsidP="0003103A">
      <w:pPr>
        <w:pStyle w:val="ListParagraph"/>
        <w:numPr>
          <w:ilvl w:val="0"/>
          <w:numId w:val="26"/>
        </w:numPr>
        <w:snapToGrid w:val="0"/>
        <w:spacing w:before="0" w:after="0"/>
        <w:contextualSpacing w:val="0"/>
        <w:jc w:val="left"/>
        <w:rPr>
          <w:rFonts w:ascii="Times New Roman" w:hAnsi="Times New Roman"/>
        </w:rPr>
      </w:pPr>
      <w:r w:rsidRPr="00530E44">
        <w:rPr>
          <w:rFonts w:ascii="Times New Roman" w:hAnsi="Times New Roman"/>
        </w:rPr>
        <w:t>FFS: How to define the capability for adaptive beam for C-link/backhaul-link</w:t>
      </w:r>
    </w:p>
    <w:p w14:paraId="3D62C772" w14:textId="77777777" w:rsidR="006533C2" w:rsidRDefault="006533C2" w:rsidP="00BB0B45">
      <w:pPr>
        <w:rPr>
          <w:rFonts w:ascii="Calibri" w:eastAsia="Malgun Gothic" w:hAnsi="Calibri" w:cs="Batang"/>
          <w:lang w:val="en-GB" w:eastAsia="ko-KR"/>
        </w:rPr>
      </w:pPr>
    </w:p>
    <w:p w14:paraId="2D43D602" w14:textId="41F590B1" w:rsidR="00D2587F" w:rsidRDefault="0062375C" w:rsidP="00BB0B45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The physical beams used by the NCR-Fwd on the access link need to be </w:t>
      </w:r>
      <w:r w:rsidR="00F94CBC">
        <w:rPr>
          <w:rFonts w:ascii="Calibri" w:eastAsia="Malgun Gothic" w:hAnsi="Calibri" w:cs="Batang"/>
          <w:lang w:val="en-GB" w:eastAsia="ko-KR"/>
        </w:rPr>
        <w:t xml:space="preserve">characterized in a manner that allows the parent gNB to </w:t>
      </w:r>
      <w:r w:rsidR="003F0396">
        <w:rPr>
          <w:rFonts w:ascii="Calibri" w:eastAsia="Malgun Gothic" w:hAnsi="Calibri" w:cs="Batang"/>
          <w:lang w:val="en-GB" w:eastAsia="ko-KR"/>
        </w:rPr>
        <w:t>be aware of the</w:t>
      </w:r>
      <w:r w:rsidR="00BF1F91">
        <w:rPr>
          <w:rFonts w:ascii="Calibri" w:eastAsia="Malgun Gothic" w:hAnsi="Calibri" w:cs="Batang"/>
          <w:lang w:val="en-GB" w:eastAsia="ko-KR"/>
        </w:rPr>
        <w:t xml:space="preserve">ir spatial </w:t>
      </w:r>
      <w:r w:rsidR="003F0396">
        <w:rPr>
          <w:rFonts w:ascii="Calibri" w:eastAsia="Malgun Gothic" w:hAnsi="Calibri" w:cs="Batang"/>
          <w:lang w:val="en-GB" w:eastAsia="ko-KR"/>
        </w:rPr>
        <w:t xml:space="preserve">layout </w:t>
      </w:r>
      <w:r w:rsidR="00D952E1">
        <w:rPr>
          <w:rFonts w:ascii="Calibri" w:eastAsia="Malgun Gothic" w:hAnsi="Calibri" w:cs="Batang"/>
          <w:lang w:val="en-GB" w:eastAsia="ko-KR"/>
        </w:rPr>
        <w:t xml:space="preserve">in order to </w:t>
      </w:r>
      <w:r w:rsidR="00F94CBC">
        <w:rPr>
          <w:rFonts w:ascii="Calibri" w:eastAsia="Malgun Gothic" w:hAnsi="Calibri" w:cs="Batang"/>
          <w:lang w:val="en-GB" w:eastAsia="ko-KR"/>
        </w:rPr>
        <w:t>determine appropriate beam indications to the NCR</w:t>
      </w:r>
      <w:r w:rsidR="00D952E1">
        <w:rPr>
          <w:rFonts w:ascii="Calibri" w:eastAsia="Malgun Gothic" w:hAnsi="Calibri" w:cs="Batang"/>
          <w:lang w:val="en-GB" w:eastAsia="ko-KR"/>
        </w:rPr>
        <w:t xml:space="preserve">. The beam </w:t>
      </w:r>
      <w:r w:rsidR="00334E13">
        <w:rPr>
          <w:rFonts w:ascii="Calibri" w:eastAsia="Malgun Gothic" w:hAnsi="Calibri" w:cs="Batang"/>
          <w:lang w:val="en-GB" w:eastAsia="ko-KR"/>
        </w:rPr>
        <w:t>type</w:t>
      </w:r>
      <w:r w:rsidR="00DB6F61">
        <w:rPr>
          <w:rFonts w:ascii="Calibri" w:eastAsia="Malgun Gothic" w:hAnsi="Calibri" w:cs="Batang"/>
          <w:lang w:val="en-GB" w:eastAsia="ko-KR"/>
        </w:rPr>
        <w:t xml:space="preserve">, beam </w:t>
      </w:r>
      <w:r w:rsidR="004A4FB4">
        <w:rPr>
          <w:rFonts w:ascii="Calibri" w:eastAsia="Malgun Gothic" w:hAnsi="Calibri" w:cs="Batang"/>
          <w:lang w:val="en-GB" w:eastAsia="ko-KR"/>
        </w:rPr>
        <w:t>width and direction</w:t>
      </w:r>
      <w:r w:rsidR="00D952E1">
        <w:rPr>
          <w:rFonts w:ascii="Calibri" w:eastAsia="Malgun Gothic" w:hAnsi="Calibri" w:cs="Batang"/>
          <w:lang w:val="en-GB" w:eastAsia="ko-KR"/>
        </w:rPr>
        <w:t xml:space="preserve"> </w:t>
      </w:r>
      <w:r w:rsidR="0057434C">
        <w:rPr>
          <w:rFonts w:ascii="Calibri" w:eastAsia="Malgun Gothic" w:hAnsi="Calibri" w:cs="Batang"/>
          <w:lang w:val="en-GB" w:eastAsia="ko-KR"/>
        </w:rPr>
        <w:t>are</w:t>
      </w:r>
      <w:r w:rsidR="00D952E1">
        <w:rPr>
          <w:rFonts w:ascii="Calibri" w:eastAsia="Malgun Gothic" w:hAnsi="Calibri" w:cs="Batang"/>
          <w:lang w:val="en-GB" w:eastAsia="ko-KR"/>
        </w:rPr>
        <w:t xml:space="preserve"> needed by the gNB</w:t>
      </w:r>
      <w:r w:rsidR="00C068A7">
        <w:rPr>
          <w:rFonts w:ascii="Calibri" w:eastAsia="Malgun Gothic" w:hAnsi="Calibri" w:cs="Batang"/>
          <w:lang w:val="en-GB" w:eastAsia="ko-KR"/>
        </w:rPr>
        <w:t xml:space="preserve"> as well</w:t>
      </w:r>
      <w:r w:rsidR="00D952E1">
        <w:rPr>
          <w:rFonts w:ascii="Calibri" w:eastAsia="Malgun Gothic" w:hAnsi="Calibri" w:cs="Batang"/>
          <w:lang w:val="en-GB" w:eastAsia="ko-KR"/>
        </w:rPr>
        <w:t xml:space="preserve"> to</w:t>
      </w:r>
      <w:r w:rsidR="00C068A7">
        <w:rPr>
          <w:rFonts w:ascii="Calibri" w:eastAsia="Malgun Gothic" w:hAnsi="Calibri" w:cs="Batang"/>
          <w:lang w:val="en-GB" w:eastAsia="ko-KR"/>
        </w:rPr>
        <w:t xml:space="preserve"> configure other side control information like the </w:t>
      </w:r>
      <w:r w:rsidR="00E4551C">
        <w:rPr>
          <w:rFonts w:ascii="Calibri" w:eastAsia="Malgun Gothic" w:hAnsi="Calibri" w:cs="Batang"/>
          <w:lang w:val="en-GB" w:eastAsia="ko-KR"/>
        </w:rPr>
        <w:t xml:space="preserve">ON/OFF </w:t>
      </w:r>
      <w:r w:rsidR="00FC5C45">
        <w:rPr>
          <w:rFonts w:ascii="Calibri" w:eastAsia="Malgun Gothic" w:hAnsi="Calibri" w:cs="Batang"/>
          <w:lang w:val="en-GB" w:eastAsia="ko-KR"/>
        </w:rPr>
        <w:t>indication</w:t>
      </w:r>
      <w:r w:rsidR="00E4551C">
        <w:rPr>
          <w:rFonts w:ascii="Calibri" w:eastAsia="Malgun Gothic" w:hAnsi="Calibri" w:cs="Batang"/>
          <w:lang w:val="en-GB" w:eastAsia="ko-KR"/>
        </w:rPr>
        <w:t xml:space="preserve"> </w:t>
      </w:r>
      <w:r w:rsidR="00025F1E">
        <w:rPr>
          <w:rFonts w:ascii="Calibri" w:eastAsia="Malgun Gothic" w:hAnsi="Calibri" w:cs="Batang"/>
          <w:lang w:val="en-GB" w:eastAsia="ko-KR"/>
        </w:rPr>
        <w:t>which may depend on the spatial directions of the beams for interference management and energy savin</w:t>
      </w:r>
      <w:r w:rsidR="003F0396">
        <w:rPr>
          <w:rFonts w:ascii="Calibri" w:eastAsia="Malgun Gothic" w:hAnsi="Calibri" w:cs="Batang"/>
          <w:lang w:val="en-GB" w:eastAsia="ko-KR"/>
        </w:rPr>
        <w:t>g</w:t>
      </w:r>
      <w:r w:rsidR="00FC5C45">
        <w:rPr>
          <w:rFonts w:ascii="Calibri" w:eastAsia="Malgun Gothic" w:hAnsi="Calibri" w:cs="Batang"/>
          <w:lang w:val="en-GB" w:eastAsia="ko-KR"/>
        </w:rPr>
        <w:t xml:space="preserve"> purposes</w:t>
      </w:r>
      <w:r w:rsidR="00BB0B45">
        <w:rPr>
          <w:rFonts w:ascii="Calibri" w:eastAsia="Malgun Gothic" w:hAnsi="Calibri" w:cs="Batang"/>
          <w:lang w:val="en-GB" w:eastAsia="ko-KR"/>
        </w:rPr>
        <w:t>.</w:t>
      </w:r>
      <w:r w:rsidR="000B7D32">
        <w:rPr>
          <w:rFonts w:ascii="Calibri" w:eastAsia="Malgun Gothic" w:hAnsi="Calibri" w:cs="Batang"/>
          <w:lang w:val="en-GB" w:eastAsia="ko-KR"/>
        </w:rPr>
        <w:t xml:space="preserve"> </w:t>
      </w:r>
      <w:r w:rsidR="00E0456E">
        <w:rPr>
          <w:rFonts w:ascii="Calibri" w:eastAsia="Malgun Gothic" w:hAnsi="Calibri" w:cs="Batang"/>
          <w:lang w:val="en-GB" w:eastAsia="ko-KR"/>
        </w:rPr>
        <w:t>The layout should also provide a</w:t>
      </w:r>
      <w:r w:rsidR="002141A4">
        <w:rPr>
          <w:rFonts w:ascii="Calibri" w:eastAsia="Malgun Gothic" w:hAnsi="Calibri" w:cs="Batang"/>
          <w:lang w:val="en-GB" w:eastAsia="ko-KR"/>
        </w:rPr>
        <w:t>n explicit</w:t>
      </w:r>
      <w:r w:rsidR="00E0456E">
        <w:rPr>
          <w:rFonts w:ascii="Calibri" w:eastAsia="Malgun Gothic" w:hAnsi="Calibri" w:cs="Batang"/>
          <w:lang w:val="en-GB" w:eastAsia="ko-KR"/>
        </w:rPr>
        <w:t xml:space="preserve"> mapping to a set of beam indices </w:t>
      </w:r>
      <w:r w:rsidR="002141A4">
        <w:rPr>
          <w:rFonts w:ascii="Calibri" w:eastAsia="Malgun Gothic" w:hAnsi="Calibri" w:cs="Batang"/>
          <w:lang w:val="en-GB" w:eastAsia="ko-KR"/>
        </w:rPr>
        <w:t>which can be used as part of the side control information signaling.</w:t>
      </w:r>
    </w:p>
    <w:p w14:paraId="4CE223D8" w14:textId="4560D261" w:rsidR="000361A5" w:rsidRPr="00513BBD" w:rsidRDefault="000361A5" w:rsidP="00BB0B45">
      <w:pPr>
        <w:rPr>
          <w:rFonts w:ascii="Calibri" w:eastAsia="Malgun Gothic" w:hAnsi="Calibri" w:cs="Batang"/>
          <w:b/>
          <w:bCs/>
          <w:lang w:val="en-GB" w:eastAsia="ko-KR"/>
        </w:rPr>
      </w:pPr>
      <w:bookmarkStart w:id="8" w:name="OLE_LINK96"/>
      <w:bookmarkStart w:id="9" w:name="OLE_LINK1"/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Proposal </w:t>
      </w:r>
      <w:r>
        <w:rPr>
          <w:rFonts w:ascii="Calibri" w:eastAsia="Malgun Gothic" w:hAnsi="Calibri" w:cs="Batang"/>
          <w:b/>
          <w:bCs/>
          <w:lang w:val="en-GB" w:eastAsia="ko-KR"/>
        </w:rPr>
        <w:t>1</w:t>
      </w:r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: </w:t>
      </w:r>
      <w:r w:rsidR="00752F40">
        <w:rPr>
          <w:rFonts w:ascii="Calibri" w:eastAsia="Malgun Gothic" w:hAnsi="Calibri" w:cs="Batang"/>
          <w:b/>
          <w:bCs/>
          <w:lang w:val="en-GB" w:eastAsia="ko-KR"/>
        </w:rPr>
        <w:t xml:space="preserve">The gNB should be provided with </w:t>
      </w:r>
      <w:r w:rsidR="00103BB0">
        <w:rPr>
          <w:rFonts w:ascii="Calibri" w:eastAsia="Malgun Gothic" w:hAnsi="Calibri" w:cs="Batang"/>
          <w:b/>
          <w:bCs/>
          <w:lang w:val="en-GB" w:eastAsia="ko-KR"/>
        </w:rPr>
        <w:t xml:space="preserve">a beam layout </w:t>
      </w:r>
      <w:r w:rsidR="002C73B7">
        <w:rPr>
          <w:rFonts w:ascii="Calibri" w:eastAsia="Malgun Gothic" w:hAnsi="Calibri" w:cs="Batang"/>
          <w:b/>
          <w:bCs/>
          <w:lang w:val="en-GB" w:eastAsia="ko-KR"/>
        </w:rPr>
        <w:t xml:space="preserve">by the NCR-MT </w:t>
      </w:r>
      <w:r w:rsidR="00CA495D">
        <w:rPr>
          <w:rFonts w:ascii="Calibri" w:eastAsia="Malgun Gothic" w:hAnsi="Calibri" w:cs="Batang"/>
          <w:b/>
          <w:bCs/>
          <w:lang w:val="en-GB" w:eastAsia="ko-KR"/>
        </w:rPr>
        <w:t xml:space="preserve">via NCR capability signaling </w:t>
      </w:r>
      <w:r w:rsidR="00103BB0">
        <w:rPr>
          <w:rFonts w:ascii="Calibri" w:eastAsia="Malgun Gothic" w:hAnsi="Calibri" w:cs="Batang"/>
          <w:b/>
          <w:bCs/>
          <w:lang w:val="en-GB" w:eastAsia="ko-KR"/>
        </w:rPr>
        <w:t xml:space="preserve">which indicates the </w:t>
      </w:r>
      <w:r w:rsidR="00A14E1F">
        <w:rPr>
          <w:rFonts w:ascii="Calibri" w:eastAsia="Malgun Gothic" w:hAnsi="Calibri" w:cs="Batang"/>
          <w:b/>
          <w:bCs/>
          <w:lang w:val="en-GB" w:eastAsia="ko-KR"/>
        </w:rPr>
        <w:t xml:space="preserve">following information to characterize the </w:t>
      </w:r>
      <w:r w:rsidR="00103BB0">
        <w:rPr>
          <w:rFonts w:ascii="Calibri" w:eastAsia="Malgun Gothic" w:hAnsi="Calibri" w:cs="Batang"/>
          <w:b/>
          <w:bCs/>
          <w:lang w:val="en-GB" w:eastAsia="ko-KR"/>
        </w:rPr>
        <w:t>spatial relat</w:t>
      </w:r>
      <w:r w:rsidR="002C73B7">
        <w:rPr>
          <w:rFonts w:ascii="Calibri" w:eastAsia="Malgun Gothic" w:hAnsi="Calibri" w:cs="Batang"/>
          <w:b/>
          <w:bCs/>
          <w:lang w:val="en-GB" w:eastAsia="ko-KR"/>
        </w:rPr>
        <w:t xml:space="preserve">ionship between different beams of </w:t>
      </w:r>
      <w:r w:rsidR="00A14E1F">
        <w:rPr>
          <w:rFonts w:ascii="Calibri" w:eastAsia="Malgun Gothic" w:hAnsi="Calibri" w:cs="Batang"/>
          <w:b/>
          <w:bCs/>
          <w:lang w:val="en-GB" w:eastAsia="ko-KR"/>
        </w:rPr>
        <w:t xml:space="preserve">the NCR-Fwd for </w:t>
      </w:r>
      <w:r w:rsidR="002C73B7">
        <w:rPr>
          <w:rFonts w:ascii="Calibri" w:eastAsia="Malgun Gothic" w:hAnsi="Calibri" w:cs="Batang"/>
          <w:b/>
          <w:bCs/>
          <w:lang w:val="en-GB" w:eastAsia="ko-KR"/>
        </w:rPr>
        <w:t>the access link</w:t>
      </w:r>
      <w:r w:rsidR="00A14E1F">
        <w:rPr>
          <w:rFonts w:ascii="Calibri" w:eastAsia="Malgun Gothic" w:hAnsi="Calibri" w:cs="Batang"/>
          <w:b/>
          <w:bCs/>
          <w:lang w:val="en-GB" w:eastAsia="ko-KR"/>
        </w:rPr>
        <w:t>:</w:t>
      </w:r>
    </w:p>
    <w:p w14:paraId="59364B9B" w14:textId="4811FA0C" w:rsidR="00BB0B45" w:rsidRPr="007353F4" w:rsidRDefault="00DB6F61" w:rsidP="00DB6F61">
      <w:pPr>
        <w:pStyle w:val="ListParagraph"/>
        <w:numPr>
          <w:ilvl w:val="0"/>
          <w:numId w:val="27"/>
        </w:numPr>
        <w:rPr>
          <w:rFonts w:ascii="Calibri" w:eastAsia="Malgun Gothic" w:hAnsi="Calibri" w:cs="Batang"/>
          <w:b/>
          <w:bCs/>
          <w:lang w:val="en-GB" w:eastAsia="ko-KR"/>
        </w:rPr>
      </w:pPr>
      <w:bookmarkStart w:id="10" w:name="OLE_LINK89"/>
      <w:bookmarkStart w:id="11" w:name="OLE_LINK92"/>
      <w:bookmarkEnd w:id="8"/>
      <w:r w:rsidRPr="007353F4">
        <w:rPr>
          <w:rFonts w:ascii="Calibri" w:eastAsia="Malgun Gothic" w:hAnsi="Calibri" w:cs="Batang"/>
          <w:b/>
          <w:bCs/>
          <w:lang w:val="en-GB" w:eastAsia="ko-KR"/>
        </w:rPr>
        <w:t>Beam type (if multiple types are supported)</w:t>
      </w:r>
    </w:p>
    <w:p w14:paraId="74B28CBA" w14:textId="51A890CC" w:rsidR="00F81C09" w:rsidRPr="007353F4" w:rsidRDefault="00F81C09" w:rsidP="00DB6F61">
      <w:pPr>
        <w:pStyle w:val="ListParagraph"/>
        <w:numPr>
          <w:ilvl w:val="0"/>
          <w:numId w:val="27"/>
        </w:numPr>
        <w:rPr>
          <w:rFonts w:ascii="Calibri" w:eastAsia="Malgun Gothic" w:hAnsi="Calibri" w:cs="Batang"/>
          <w:b/>
          <w:bCs/>
          <w:lang w:val="en-GB" w:eastAsia="ko-KR"/>
        </w:rPr>
      </w:pPr>
      <w:r w:rsidRPr="007353F4">
        <w:rPr>
          <w:rFonts w:ascii="Calibri" w:eastAsia="Malgun Gothic" w:hAnsi="Calibri" w:cs="Batang"/>
          <w:b/>
          <w:bCs/>
          <w:lang w:val="en-GB" w:eastAsia="ko-KR"/>
        </w:rPr>
        <w:t>Half-power beam width</w:t>
      </w:r>
    </w:p>
    <w:p w14:paraId="4AC7BA26" w14:textId="4FE67DAC" w:rsidR="00F81C09" w:rsidRPr="007353F4" w:rsidRDefault="00F81C09" w:rsidP="00DB6F61">
      <w:pPr>
        <w:pStyle w:val="ListParagraph"/>
        <w:numPr>
          <w:ilvl w:val="0"/>
          <w:numId w:val="27"/>
        </w:numPr>
        <w:rPr>
          <w:rFonts w:ascii="Calibri" w:eastAsia="Malgun Gothic" w:hAnsi="Calibri" w:cs="Batang"/>
          <w:b/>
          <w:bCs/>
          <w:lang w:val="en-GB" w:eastAsia="ko-KR"/>
        </w:rPr>
      </w:pPr>
      <w:r w:rsidRPr="007353F4">
        <w:rPr>
          <w:rFonts w:ascii="Calibri" w:eastAsia="Malgun Gothic" w:hAnsi="Calibri" w:cs="Batang"/>
          <w:b/>
          <w:bCs/>
          <w:lang w:val="en-GB" w:eastAsia="ko-KR"/>
        </w:rPr>
        <w:t>Beam direction defined by the boresight of the beam</w:t>
      </w:r>
    </w:p>
    <w:p w14:paraId="58700700" w14:textId="07976D34" w:rsidR="00F81C09" w:rsidRPr="007353F4" w:rsidRDefault="00F81C09" w:rsidP="00DB6F61">
      <w:pPr>
        <w:pStyle w:val="ListParagraph"/>
        <w:numPr>
          <w:ilvl w:val="0"/>
          <w:numId w:val="27"/>
        </w:numPr>
        <w:rPr>
          <w:rFonts w:ascii="Calibri" w:eastAsia="Malgun Gothic" w:hAnsi="Calibri" w:cs="Batang"/>
          <w:b/>
          <w:bCs/>
          <w:lang w:val="en-GB" w:eastAsia="ko-KR"/>
        </w:rPr>
      </w:pPr>
      <w:r w:rsidRPr="007353F4">
        <w:rPr>
          <w:rFonts w:ascii="Calibri" w:eastAsia="Malgun Gothic" w:hAnsi="Calibri" w:cs="Batang"/>
          <w:b/>
          <w:bCs/>
          <w:lang w:val="en-GB" w:eastAsia="ko-KR"/>
        </w:rPr>
        <w:t xml:space="preserve">Explicit </w:t>
      </w:r>
      <w:r w:rsidR="007353F4" w:rsidRPr="007353F4">
        <w:rPr>
          <w:rFonts w:ascii="Calibri" w:eastAsia="Malgun Gothic" w:hAnsi="Calibri" w:cs="Batang"/>
          <w:b/>
          <w:bCs/>
          <w:lang w:val="en-GB" w:eastAsia="ko-KR"/>
        </w:rPr>
        <w:t xml:space="preserve">mapping to a set of beam indices </w:t>
      </w:r>
    </w:p>
    <w:bookmarkEnd w:id="9"/>
    <w:p w14:paraId="528159B0" w14:textId="6B7412A0" w:rsidR="006533C2" w:rsidRPr="006533C2" w:rsidRDefault="00BB0B45" w:rsidP="006533C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lastRenderedPageBreak/>
        <w:t>For</w:t>
      </w:r>
      <w:r w:rsidR="00513BBD">
        <w:rPr>
          <w:rFonts w:ascii="Calibri" w:eastAsia="Malgun Gothic" w:hAnsi="Calibri" w:cs="Batang"/>
          <w:lang w:val="en-GB" w:eastAsia="ko-KR"/>
        </w:rPr>
        <w:t xml:space="preserve"> </w:t>
      </w:r>
      <w:r w:rsidR="0025565D">
        <w:rPr>
          <w:rFonts w:ascii="Calibri" w:eastAsia="Malgun Gothic" w:hAnsi="Calibri" w:cs="Batang"/>
          <w:lang w:val="en-GB" w:eastAsia="ko-KR"/>
        </w:rPr>
        <w:t>NCR TDD configurations</w:t>
      </w:r>
      <w:r w:rsidR="00513BBD">
        <w:rPr>
          <w:rFonts w:ascii="Calibri" w:eastAsia="Malgun Gothic" w:hAnsi="Calibri" w:cs="Batang"/>
          <w:lang w:val="en-GB" w:eastAsia="ko-KR"/>
        </w:rPr>
        <w:t xml:space="preserve">, </w:t>
      </w:r>
      <w:r w:rsidR="00641062">
        <w:rPr>
          <w:rFonts w:ascii="Calibri" w:eastAsia="Malgun Gothic" w:hAnsi="Calibri" w:cs="Batang"/>
          <w:lang w:val="en-GB" w:eastAsia="ko-KR"/>
        </w:rPr>
        <w:t>the following agreement was made in RAN1#110bis-e</w:t>
      </w:r>
      <w:r>
        <w:rPr>
          <w:rFonts w:ascii="Calibri" w:eastAsia="Malgun Gothic" w:hAnsi="Calibri" w:cs="Batang"/>
          <w:lang w:val="en-GB" w:eastAsia="ko-KR"/>
        </w:rPr>
        <w:t>:</w:t>
      </w:r>
      <w:bookmarkStart w:id="12" w:name="OLE_LINK75"/>
      <w:bookmarkEnd w:id="10"/>
    </w:p>
    <w:bookmarkEnd w:id="12"/>
    <w:p w14:paraId="66FF25B2" w14:textId="77777777" w:rsidR="00C6412E" w:rsidRPr="00C508AC" w:rsidRDefault="00C6412E" w:rsidP="00C6412E">
      <w:pPr>
        <w:snapToGrid w:val="0"/>
        <w:rPr>
          <w:rFonts w:ascii="Times New Roman" w:hAnsi="Times New Roman"/>
          <w:b/>
          <w:bCs/>
          <w:iCs/>
          <w:color w:val="000000"/>
          <w:highlight w:val="green"/>
        </w:rPr>
      </w:pPr>
      <w:r>
        <w:rPr>
          <w:rFonts w:ascii="Times New Roman" w:hAnsi="Times New Roman"/>
          <w:b/>
          <w:color w:val="000000"/>
          <w:highlight w:val="green"/>
        </w:rPr>
        <w:t>Agreement</w:t>
      </w:r>
    </w:p>
    <w:p w14:paraId="65561C5E" w14:textId="77777777" w:rsidR="00C6412E" w:rsidRPr="00530E44" w:rsidRDefault="00C6412E" w:rsidP="005B619B">
      <w:pPr>
        <w:pStyle w:val="NormalWeb"/>
        <w:spacing w:before="0" w:beforeAutospacing="0" w:after="0" w:afterAutospacing="0"/>
        <w:ind w:left="360" w:firstLine="40"/>
        <w:rPr>
          <w:rFonts w:ascii="Times" w:eastAsia="Malgun Gothic" w:hAnsi="Times" w:cs="Times"/>
        </w:rPr>
      </w:pPr>
      <w:r w:rsidRPr="00530E44">
        <w:rPr>
          <w:rFonts w:ascii="Times" w:hAnsi="Times" w:cs="Times"/>
          <w:sz w:val="20"/>
          <w:szCs w:val="20"/>
          <w:shd w:val="clear" w:color="auto" w:fill="FFFFFF"/>
        </w:rPr>
        <w:t>For the flexible symbol based on the semi-static configuration (e.g., TDD-UL-DL-ConfigCommon, TDD-UL-DL-ConfigDedicated),</w:t>
      </w:r>
      <w:r w:rsidRPr="00530E44">
        <w:rPr>
          <w:rFonts w:ascii="Times" w:hAnsi="Times" w:cs="Times"/>
        </w:rPr>
        <w:t> </w:t>
      </w:r>
      <w:r w:rsidRPr="00530E44">
        <w:rPr>
          <w:rFonts w:ascii="Times" w:hAnsi="Times" w:cs="Times"/>
          <w:sz w:val="20"/>
          <w:szCs w:val="20"/>
        </w:rPr>
        <w:t>the default behavior of the NCR-Fwd is expected to be OFF or not forwarding over these symbols</w:t>
      </w:r>
    </w:p>
    <w:p w14:paraId="338B21E8" w14:textId="77777777" w:rsidR="00C6412E" w:rsidRPr="00530E44" w:rsidRDefault="00C6412E" w:rsidP="00C6412E">
      <w:pPr>
        <w:pStyle w:val="ListParagraph"/>
        <w:numPr>
          <w:ilvl w:val="0"/>
          <w:numId w:val="26"/>
        </w:numPr>
        <w:snapToGrid w:val="0"/>
        <w:spacing w:before="0" w:after="0"/>
        <w:contextualSpacing w:val="0"/>
        <w:jc w:val="left"/>
        <w:rPr>
          <w:rFonts w:ascii="Times New Roman" w:hAnsi="Times New Roman"/>
        </w:rPr>
      </w:pPr>
      <w:r w:rsidRPr="00530E44">
        <w:rPr>
          <w:rFonts w:ascii="Times New Roman" w:hAnsi="Times New Roman"/>
        </w:rPr>
        <w:t>FFS: The behavior over these symbol if dynamic DL/UL operation is supported by NCR-MT and/or NCR-Fwd.</w:t>
      </w:r>
    </w:p>
    <w:p w14:paraId="7C2F0B67" w14:textId="77777777" w:rsidR="006533C2" w:rsidRDefault="006533C2" w:rsidP="00BB0B45">
      <w:pPr>
        <w:rPr>
          <w:rFonts w:ascii="Calibri" w:eastAsia="Malgun Gothic" w:hAnsi="Calibri" w:cs="Batang"/>
          <w:lang w:val="en-GB" w:eastAsia="ko-KR"/>
        </w:rPr>
      </w:pPr>
    </w:p>
    <w:p w14:paraId="6422BCF7" w14:textId="0E7327A2" w:rsidR="00BB0B45" w:rsidRDefault="005B619B" w:rsidP="00BB0B45">
      <w:pPr>
        <w:rPr>
          <w:rFonts w:ascii="Calibri" w:eastAsia="Malgun Gothic" w:hAnsi="Calibri" w:cs="Batang"/>
          <w:lang w:val="en-GB" w:eastAsia="ko-KR"/>
        </w:rPr>
      </w:pPr>
      <w:bookmarkStart w:id="13" w:name="OLE_LINK2"/>
      <w:r>
        <w:rPr>
          <w:rFonts w:ascii="Calibri" w:eastAsia="Malgun Gothic" w:hAnsi="Calibri" w:cs="Batang"/>
          <w:lang w:val="en-GB" w:eastAsia="ko-KR"/>
        </w:rPr>
        <w:t xml:space="preserve">In case dynamic DL/UL operation is supported by the NCR-MT and/or NCR-Fwd </w:t>
      </w:r>
      <w:r w:rsidR="00792642">
        <w:rPr>
          <w:rFonts w:ascii="Calibri" w:eastAsia="Malgun Gothic" w:hAnsi="Calibri" w:cs="Batang"/>
          <w:lang w:val="en-GB" w:eastAsia="ko-KR"/>
        </w:rPr>
        <w:t>when flexible symbol</w:t>
      </w:r>
      <w:r w:rsidR="00305A7C">
        <w:rPr>
          <w:rFonts w:ascii="Calibri" w:eastAsia="Malgun Gothic" w:hAnsi="Calibri" w:cs="Batang"/>
          <w:lang w:val="en-GB" w:eastAsia="ko-KR"/>
        </w:rPr>
        <w:t>(</w:t>
      </w:r>
      <w:r w:rsidR="00792642">
        <w:rPr>
          <w:rFonts w:ascii="Calibri" w:eastAsia="Malgun Gothic" w:hAnsi="Calibri" w:cs="Batang"/>
          <w:lang w:val="en-GB" w:eastAsia="ko-KR"/>
        </w:rPr>
        <w:t>s</w:t>
      </w:r>
      <w:r w:rsidR="00305A7C">
        <w:rPr>
          <w:rFonts w:ascii="Calibri" w:eastAsia="Malgun Gothic" w:hAnsi="Calibri" w:cs="Batang"/>
          <w:lang w:val="en-GB" w:eastAsia="ko-KR"/>
        </w:rPr>
        <w:t>)</w:t>
      </w:r>
      <w:r w:rsidR="00792642">
        <w:rPr>
          <w:rFonts w:ascii="Calibri" w:eastAsia="Malgun Gothic" w:hAnsi="Calibri" w:cs="Batang"/>
          <w:lang w:val="en-GB" w:eastAsia="ko-KR"/>
        </w:rPr>
        <w:t xml:space="preserve"> are configured by the gNB, </w:t>
      </w:r>
      <w:r w:rsidR="00705851">
        <w:rPr>
          <w:rFonts w:ascii="Calibri" w:eastAsia="Malgun Gothic" w:hAnsi="Calibri" w:cs="Batang"/>
          <w:lang w:val="en-GB" w:eastAsia="ko-KR"/>
        </w:rPr>
        <w:t xml:space="preserve">the NCR forwarding behavior </w:t>
      </w:r>
      <w:r w:rsidR="00793226">
        <w:rPr>
          <w:rFonts w:ascii="Calibri" w:eastAsia="Malgun Gothic" w:hAnsi="Calibri" w:cs="Batang"/>
          <w:lang w:val="en-GB" w:eastAsia="ko-KR"/>
        </w:rPr>
        <w:t xml:space="preserve">should consider whether an explicit ON/OFF indication is also provided for the time duration </w:t>
      </w:r>
      <w:r w:rsidR="00F94461">
        <w:rPr>
          <w:rFonts w:ascii="Calibri" w:eastAsia="Malgun Gothic" w:hAnsi="Calibri" w:cs="Batang"/>
          <w:lang w:val="en-GB" w:eastAsia="ko-KR"/>
        </w:rPr>
        <w:t>overlapping with the flexible symbol</w:t>
      </w:r>
      <w:r w:rsidR="00A61DD2">
        <w:rPr>
          <w:rFonts w:ascii="Calibri" w:eastAsia="Malgun Gothic" w:hAnsi="Calibri" w:cs="Batang"/>
          <w:lang w:val="en-GB" w:eastAsia="ko-KR"/>
        </w:rPr>
        <w:t>(</w:t>
      </w:r>
      <w:r w:rsidR="00F94461">
        <w:rPr>
          <w:rFonts w:ascii="Calibri" w:eastAsia="Malgun Gothic" w:hAnsi="Calibri" w:cs="Batang"/>
          <w:lang w:val="en-GB" w:eastAsia="ko-KR"/>
        </w:rPr>
        <w:t>s</w:t>
      </w:r>
      <w:r w:rsidR="00705851">
        <w:rPr>
          <w:rFonts w:ascii="Calibri" w:eastAsia="Malgun Gothic" w:hAnsi="Calibri" w:cs="Batang"/>
          <w:lang w:val="en-GB" w:eastAsia="ko-KR"/>
        </w:rPr>
        <w:t>)</w:t>
      </w:r>
      <w:r w:rsidR="00F94461">
        <w:rPr>
          <w:rFonts w:ascii="Calibri" w:eastAsia="Malgun Gothic" w:hAnsi="Calibri" w:cs="Batang"/>
          <w:lang w:val="en-GB" w:eastAsia="ko-KR"/>
        </w:rPr>
        <w:t>. In case the NCR is indicated to be ON during the flexible symbol</w:t>
      </w:r>
      <w:r w:rsidR="00A61DD2">
        <w:rPr>
          <w:rFonts w:ascii="Calibri" w:eastAsia="Malgun Gothic" w:hAnsi="Calibri" w:cs="Batang"/>
          <w:lang w:val="en-GB" w:eastAsia="ko-KR"/>
        </w:rPr>
        <w:t>(s)</w:t>
      </w:r>
      <w:r w:rsidR="00F94461">
        <w:rPr>
          <w:rFonts w:ascii="Calibri" w:eastAsia="Malgun Gothic" w:hAnsi="Calibri" w:cs="Batang"/>
          <w:lang w:val="en-GB" w:eastAsia="ko-KR"/>
        </w:rPr>
        <w:t xml:space="preserve">, it should </w:t>
      </w:r>
      <w:r w:rsidR="00C60B0F">
        <w:rPr>
          <w:rFonts w:ascii="Calibri" w:eastAsia="Malgun Gothic" w:hAnsi="Calibri" w:cs="Batang"/>
          <w:lang w:val="en-GB" w:eastAsia="ko-KR"/>
        </w:rPr>
        <w:t>forward the corresponding DL transmission or UL reception</w:t>
      </w:r>
      <w:r w:rsidR="00A61DD2">
        <w:rPr>
          <w:rFonts w:ascii="Calibri" w:eastAsia="Malgun Gothic" w:hAnsi="Calibri" w:cs="Batang"/>
          <w:lang w:val="en-GB" w:eastAsia="ko-KR"/>
        </w:rPr>
        <w:t>, otherwise it should not forward over the flexible symbol(s).</w:t>
      </w:r>
    </w:p>
    <w:bookmarkEnd w:id="13"/>
    <w:p w14:paraId="7B82E6F0" w14:textId="5185009F" w:rsidR="00861EBA" w:rsidRDefault="00861EBA" w:rsidP="00A81AFF">
      <w:p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Calibri" w:eastAsia="Malgun Gothic" w:hAnsi="Calibri" w:cs="Batang"/>
          <w:lang w:val="en-GB" w:eastAsia="ko-KR"/>
        </w:rPr>
      </w:pPr>
    </w:p>
    <w:p w14:paraId="6BEA60C7" w14:textId="2C158EAC" w:rsidR="00705851" w:rsidRDefault="001629BD" w:rsidP="00705851">
      <w:pPr>
        <w:rPr>
          <w:rFonts w:ascii="Calibri" w:eastAsia="Malgun Gothic" w:hAnsi="Calibri" w:cs="Batang"/>
          <w:b/>
          <w:bCs/>
          <w:lang w:val="en-GB" w:eastAsia="ko-KR"/>
        </w:rPr>
      </w:pPr>
      <w:bookmarkStart w:id="14" w:name="OLE_LINK90"/>
      <w:bookmarkStart w:id="15" w:name="OLE_LINK95"/>
      <w:bookmarkStart w:id="16" w:name="OLE_LINK8"/>
      <w:bookmarkStart w:id="17" w:name="OLE_LINK3"/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Proposal 2: </w:t>
      </w:r>
      <w:bookmarkEnd w:id="11"/>
      <w:bookmarkEnd w:id="14"/>
      <w:bookmarkEnd w:id="15"/>
      <w:r w:rsidR="00390BF8">
        <w:rPr>
          <w:rFonts w:ascii="Calibri" w:eastAsia="Malgun Gothic" w:hAnsi="Calibri" w:cs="Batang"/>
          <w:b/>
          <w:bCs/>
          <w:lang w:val="en-GB" w:eastAsia="ko-KR"/>
        </w:rPr>
        <w:t>If</w:t>
      </w:r>
      <w:r w:rsidR="00705851" w:rsidRPr="00705851">
        <w:rPr>
          <w:rFonts w:ascii="Calibri" w:eastAsia="Malgun Gothic" w:hAnsi="Calibri" w:cs="Batang"/>
          <w:b/>
          <w:bCs/>
          <w:lang w:val="en-GB" w:eastAsia="ko-KR"/>
        </w:rPr>
        <w:t xml:space="preserve"> dynamic DL/UL operation is supported by the NCR-MT and/or NCR-Fw</w:t>
      </w:r>
      <w:r w:rsidR="00390BF8">
        <w:rPr>
          <w:rFonts w:ascii="Calibri" w:eastAsia="Malgun Gothic" w:hAnsi="Calibri" w:cs="Batang"/>
          <w:b/>
          <w:bCs/>
          <w:lang w:val="en-GB" w:eastAsia="ko-KR"/>
        </w:rPr>
        <w:t>d and</w:t>
      </w:r>
      <w:r w:rsidR="00305A7C">
        <w:rPr>
          <w:rFonts w:ascii="Calibri" w:eastAsia="Malgun Gothic" w:hAnsi="Calibri" w:cs="Batang"/>
          <w:b/>
          <w:bCs/>
          <w:lang w:val="en-GB" w:eastAsia="ko-KR"/>
        </w:rPr>
        <w:t xml:space="preserve"> </w:t>
      </w:r>
      <w:r w:rsidR="00705851" w:rsidRPr="00705851">
        <w:rPr>
          <w:rFonts w:ascii="Calibri" w:eastAsia="Malgun Gothic" w:hAnsi="Calibri" w:cs="Batang"/>
          <w:b/>
          <w:bCs/>
          <w:lang w:val="en-GB" w:eastAsia="ko-KR"/>
        </w:rPr>
        <w:t>flexible symbol</w:t>
      </w:r>
      <w:r w:rsidR="00E36399">
        <w:rPr>
          <w:rFonts w:ascii="Calibri" w:eastAsia="Malgun Gothic" w:hAnsi="Calibri" w:cs="Batang"/>
          <w:b/>
          <w:bCs/>
          <w:lang w:val="en-GB" w:eastAsia="ko-KR"/>
        </w:rPr>
        <w:t>(</w:t>
      </w:r>
      <w:r w:rsidR="00705851" w:rsidRPr="00705851">
        <w:rPr>
          <w:rFonts w:ascii="Calibri" w:eastAsia="Malgun Gothic" w:hAnsi="Calibri" w:cs="Batang"/>
          <w:b/>
          <w:bCs/>
          <w:lang w:val="en-GB" w:eastAsia="ko-KR"/>
        </w:rPr>
        <w:t>s</w:t>
      </w:r>
      <w:r w:rsidR="00E36399">
        <w:rPr>
          <w:rFonts w:ascii="Calibri" w:eastAsia="Malgun Gothic" w:hAnsi="Calibri" w:cs="Batang"/>
          <w:b/>
          <w:bCs/>
          <w:lang w:val="en-GB" w:eastAsia="ko-KR"/>
        </w:rPr>
        <w:t>)</w:t>
      </w:r>
      <w:r w:rsidR="00705851" w:rsidRPr="00705851">
        <w:rPr>
          <w:rFonts w:ascii="Calibri" w:eastAsia="Malgun Gothic" w:hAnsi="Calibri" w:cs="Batang"/>
          <w:b/>
          <w:bCs/>
          <w:lang w:val="en-GB" w:eastAsia="ko-KR"/>
        </w:rPr>
        <w:t xml:space="preserve"> are configured by the gNB</w:t>
      </w:r>
      <w:r w:rsidR="00705851">
        <w:rPr>
          <w:rFonts w:ascii="Calibri" w:eastAsia="Malgun Gothic" w:hAnsi="Calibri" w:cs="Batang"/>
          <w:b/>
          <w:bCs/>
          <w:lang w:val="en-GB" w:eastAsia="ko-KR"/>
        </w:rPr>
        <w:t xml:space="preserve">, </w:t>
      </w:r>
      <w:r w:rsidR="00705851" w:rsidRPr="00705851">
        <w:rPr>
          <w:rFonts w:ascii="Calibri" w:eastAsia="Malgun Gothic" w:hAnsi="Calibri" w:cs="Batang"/>
          <w:b/>
          <w:bCs/>
          <w:lang w:val="en-GB" w:eastAsia="ko-KR"/>
        </w:rPr>
        <w:t>the</w:t>
      </w:r>
      <w:r w:rsidR="001B3739">
        <w:rPr>
          <w:rFonts w:ascii="Calibri" w:eastAsia="Malgun Gothic" w:hAnsi="Calibri" w:cs="Batang"/>
          <w:b/>
          <w:bCs/>
          <w:lang w:val="en-GB" w:eastAsia="ko-KR"/>
        </w:rPr>
        <w:t xml:space="preserve"> NCR-Fwd is expected to be ON during the</w:t>
      </w:r>
      <w:r w:rsidR="00705851" w:rsidRPr="00705851">
        <w:rPr>
          <w:rFonts w:ascii="Calibri" w:eastAsia="Malgun Gothic" w:hAnsi="Calibri" w:cs="Batang"/>
          <w:b/>
          <w:bCs/>
          <w:lang w:val="en-GB" w:eastAsia="ko-KR"/>
        </w:rPr>
        <w:t xml:space="preserve"> corresponding DL transmission</w:t>
      </w:r>
      <w:r w:rsidR="00E36399">
        <w:rPr>
          <w:rFonts w:ascii="Calibri" w:eastAsia="Malgun Gothic" w:hAnsi="Calibri" w:cs="Batang"/>
          <w:b/>
          <w:bCs/>
          <w:lang w:val="en-GB" w:eastAsia="ko-KR"/>
        </w:rPr>
        <w:t>(s)</w:t>
      </w:r>
      <w:r w:rsidR="00705851" w:rsidRPr="00705851">
        <w:rPr>
          <w:rFonts w:ascii="Calibri" w:eastAsia="Malgun Gothic" w:hAnsi="Calibri" w:cs="Batang"/>
          <w:b/>
          <w:bCs/>
          <w:lang w:val="en-GB" w:eastAsia="ko-KR"/>
        </w:rPr>
        <w:t xml:space="preserve"> </w:t>
      </w:r>
      <w:r w:rsidR="001B3739">
        <w:rPr>
          <w:rFonts w:ascii="Calibri" w:eastAsia="Malgun Gothic" w:hAnsi="Calibri" w:cs="Batang"/>
          <w:b/>
          <w:bCs/>
          <w:lang w:val="en-GB" w:eastAsia="ko-KR"/>
        </w:rPr>
        <w:t>and/</w:t>
      </w:r>
      <w:r w:rsidR="00705851" w:rsidRPr="00705851">
        <w:rPr>
          <w:rFonts w:ascii="Calibri" w:eastAsia="Malgun Gothic" w:hAnsi="Calibri" w:cs="Batang"/>
          <w:b/>
          <w:bCs/>
          <w:lang w:val="en-GB" w:eastAsia="ko-KR"/>
        </w:rPr>
        <w:t>or UL reception</w:t>
      </w:r>
      <w:r w:rsidR="00E36399">
        <w:rPr>
          <w:rFonts w:ascii="Calibri" w:eastAsia="Malgun Gothic" w:hAnsi="Calibri" w:cs="Batang"/>
          <w:b/>
          <w:bCs/>
          <w:lang w:val="en-GB" w:eastAsia="ko-KR"/>
        </w:rPr>
        <w:t>(s)</w:t>
      </w:r>
      <w:r w:rsidR="001B3739">
        <w:rPr>
          <w:rFonts w:ascii="Calibri" w:eastAsia="Malgun Gothic" w:hAnsi="Calibri" w:cs="Batang"/>
          <w:b/>
          <w:bCs/>
          <w:lang w:val="en-GB" w:eastAsia="ko-KR"/>
        </w:rPr>
        <w:t xml:space="preserve"> if provided with an explicit or implicit ON indication</w:t>
      </w:r>
      <w:r w:rsidR="00565117">
        <w:rPr>
          <w:rFonts w:ascii="Calibri" w:eastAsia="Malgun Gothic" w:hAnsi="Calibri" w:cs="Batang"/>
          <w:b/>
          <w:bCs/>
          <w:lang w:val="en-GB" w:eastAsia="ko-KR"/>
        </w:rPr>
        <w:t xml:space="preserve"> over the same time duration as the flexible symbol(s)</w:t>
      </w:r>
      <w:r w:rsidR="00705851" w:rsidRPr="00705851">
        <w:rPr>
          <w:rFonts w:ascii="Calibri" w:eastAsia="Malgun Gothic" w:hAnsi="Calibri" w:cs="Batang"/>
          <w:b/>
          <w:bCs/>
          <w:lang w:val="en-GB" w:eastAsia="ko-KR"/>
        </w:rPr>
        <w:t xml:space="preserve">, otherwise </w:t>
      </w:r>
      <w:r w:rsidR="001B3739">
        <w:rPr>
          <w:rFonts w:ascii="Calibri" w:eastAsia="Malgun Gothic" w:hAnsi="Calibri" w:cs="Batang"/>
          <w:b/>
          <w:bCs/>
          <w:lang w:val="en-GB" w:eastAsia="ko-KR"/>
        </w:rPr>
        <w:t>the NCR-Fwd is expected to be OFF or not forwarding</w:t>
      </w:r>
      <w:r w:rsidR="00705851" w:rsidRPr="00705851">
        <w:rPr>
          <w:rFonts w:ascii="Calibri" w:eastAsia="Malgun Gothic" w:hAnsi="Calibri" w:cs="Batang"/>
          <w:b/>
          <w:bCs/>
          <w:lang w:val="en-GB" w:eastAsia="ko-KR"/>
        </w:rPr>
        <w:t xml:space="preserve"> over the flexible symbol(s).</w:t>
      </w:r>
    </w:p>
    <w:bookmarkEnd w:id="16"/>
    <w:p w14:paraId="520F1B0C" w14:textId="77777777" w:rsidR="00320A3F" w:rsidRDefault="00320A3F" w:rsidP="00705851">
      <w:pPr>
        <w:rPr>
          <w:rFonts w:ascii="Calibri" w:eastAsia="Malgun Gothic" w:hAnsi="Calibri" w:cs="Batang"/>
          <w:lang w:val="en-GB" w:eastAsia="ko-KR"/>
        </w:rPr>
      </w:pPr>
    </w:p>
    <w:bookmarkEnd w:id="17"/>
    <w:p w14:paraId="633BE8D7" w14:textId="3574CBBD" w:rsidR="00EC030D" w:rsidRDefault="00EC030D" w:rsidP="00705851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In </w:t>
      </w:r>
      <w:r w:rsidR="005358F1">
        <w:rPr>
          <w:rFonts w:ascii="Calibri" w:eastAsia="Malgun Gothic" w:hAnsi="Calibri" w:cs="Batang"/>
          <w:lang w:val="en-GB" w:eastAsia="ko-KR"/>
        </w:rPr>
        <w:t xml:space="preserve">the </w:t>
      </w:r>
      <w:r>
        <w:rPr>
          <w:rFonts w:ascii="Calibri" w:eastAsia="Malgun Gothic" w:hAnsi="Calibri" w:cs="Batang"/>
          <w:lang w:val="en-GB" w:eastAsia="ko-KR"/>
        </w:rPr>
        <w:t xml:space="preserve">case of </w:t>
      </w:r>
      <w:r w:rsidR="00BB0B45">
        <w:rPr>
          <w:rFonts w:ascii="Calibri" w:eastAsia="Malgun Gothic" w:hAnsi="Calibri" w:cs="Batang"/>
          <w:lang w:val="en-GB" w:eastAsia="ko-KR"/>
        </w:rPr>
        <w:t>ON-OFF indications</w:t>
      </w:r>
      <w:r>
        <w:rPr>
          <w:rFonts w:ascii="Calibri" w:eastAsia="Malgun Gothic" w:hAnsi="Calibri" w:cs="Batang"/>
          <w:lang w:val="en-GB" w:eastAsia="ko-KR"/>
        </w:rPr>
        <w:t xml:space="preserve">, </w:t>
      </w:r>
      <w:r w:rsidR="00BB0B45">
        <w:rPr>
          <w:rFonts w:ascii="Calibri" w:eastAsia="Malgun Gothic" w:hAnsi="Calibri" w:cs="Batang"/>
          <w:lang w:val="en-GB" w:eastAsia="ko-KR"/>
        </w:rPr>
        <w:t>the following</w:t>
      </w:r>
      <w:r>
        <w:rPr>
          <w:rFonts w:ascii="Calibri" w:eastAsia="Malgun Gothic" w:hAnsi="Calibri" w:cs="Batang"/>
          <w:lang w:val="en-GB" w:eastAsia="ko-KR"/>
        </w:rPr>
        <w:t xml:space="preserve"> </w:t>
      </w:r>
      <w:r w:rsidR="00D56444">
        <w:rPr>
          <w:rFonts w:ascii="Calibri" w:eastAsia="Malgun Gothic" w:hAnsi="Calibri" w:cs="Batang"/>
          <w:lang w:val="en-GB" w:eastAsia="ko-KR"/>
        </w:rPr>
        <w:t>agreement</w:t>
      </w:r>
      <w:r w:rsidR="002123A2">
        <w:rPr>
          <w:rFonts w:ascii="Calibri" w:eastAsia="Malgun Gothic" w:hAnsi="Calibri" w:cs="Batang"/>
          <w:lang w:val="en-GB" w:eastAsia="ko-KR"/>
        </w:rPr>
        <w:t>s</w:t>
      </w:r>
      <w:r w:rsidR="00D56444">
        <w:rPr>
          <w:rFonts w:ascii="Calibri" w:eastAsia="Malgun Gothic" w:hAnsi="Calibri" w:cs="Batang"/>
          <w:lang w:val="en-GB" w:eastAsia="ko-KR"/>
        </w:rPr>
        <w:t xml:space="preserve"> w</w:t>
      </w:r>
      <w:r w:rsidR="002123A2">
        <w:rPr>
          <w:rFonts w:ascii="Calibri" w:eastAsia="Malgun Gothic" w:hAnsi="Calibri" w:cs="Batang"/>
          <w:lang w:val="en-GB" w:eastAsia="ko-KR"/>
        </w:rPr>
        <w:t xml:space="preserve">ere </w:t>
      </w:r>
      <w:r w:rsidR="00D56444">
        <w:rPr>
          <w:rFonts w:ascii="Calibri" w:eastAsia="Malgun Gothic" w:hAnsi="Calibri" w:cs="Batang"/>
          <w:lang w:val="en-GB" w:eastAsia="ko-KR"/>
        </w:rPr>
        <w:t>made in RAN1#110bis-e</w:t>
      </w:r>
      <w:r w:rsidR="006533C2">
        <w:rPr>
          <w:rFonts w:ascii="Calibri" w:eastAsia="Malgun Gothic" w:hAnsi="Calibri" w:cs="Batang"/>
          <w:lang w:val="en-GB" w:eastAsia="ko-KR"/>
        </w:rPr>
        <w:t>:</w:t>
      </w:r>
    </w:p>
    <w:p w14:paraId="7B25285E" w14:textId="77777777" w:rsidR="00D56444" w:rsidRPr="004D2A3D" w:rsidRDefault="00D56444" w:rsidP="00D56444">
      <w:pPr>
        <w:pStyle w:val="NormalWeb"/>
        <w:shd w:val="clear" w:color="auto" w:fill="FFFFFF"/>
        <w:spacing w:before="0" w:beforeAutospacing="0" w:after="0" w:afterAutospacing="0"/>
        <w:ind w:firstLine="400"/>
        <w:rPr>
          <w:rStyle w:val="Strong"/>
          <w:rFonts w:ascii="Times" w:eastAsia="Malgun Gothic" w:hAnsi="Times" w:cs="Times"/>
          <w:highlight w:val="green"/>
        </w:rPr>
      </w:pPr>
      <w:r>
        <w:rPr>
          <w:rStyle w:val="Strong"/>
          <w:rFonts w:ascii="Times" w:hAnsi="Times" w:cs="Times"/>
          <w:sz w:val="20"/>
          <w:szCs w:val="20"/>
          <w:highlight w:val="green"/>
        </w:rPr>
        <w:t>Agreement</w:t>
      </w:r>
    </w:p>
    <w:p w14:paraId="5B8AA35F" w14:textId="77777777" w:rsidR="00D56444" w:rsidRPr="004D2A3D" w:rsidRDefault="00D56444" w:rsidP="00D56444">
      <w:pPr>
        <w:pStyle w:val="NormalWeb"/>
        <w:shd w:val="clear" w:color="auto" w:fill="FFFFFF"/>
        <w:spacing w:before="0" w:beforeAutospacing="0" w:after="0" w:afterAutospacing="0"/>
        <w:ind w:firstLine="400"/>
        <w:rPr>
          <w:rFonts w:ascii="Times" w:hAnsi="Times" w:cs="Times"/>
        </w:rPr>
      </w:pPr>
      <w:r w:rsidRPr="004D2A3D">
        <w:rPr>
          <w:rFonts w:ascii="Times" w:hAnsi="Times" w:cs="Times"/>
          <w:sz w:val="20"/>
          <w:szCs w:val="20"/>
        </w:rPr>
        <w:t>For the ON/OFF information indication, </w:t>
      </w:r>
      <w:r w:rsidRPr="004D2A3D">
        <w:rPr>
          <w:rFonts w:ascii="Times" w:hAnsi="Times" w:cs="Times"/>
          <w:color w:val="FF0000"/>
          <w:sz w:val="20"/>
          <w:szCs w:val="20"/>
        </w:rPr>
        <w:t>at least</w:t>
      </w:r>
      <w:r w:rsidRPr="004D2A3D">
        <w:rPr>
          <w:rFonts w:ascii="Times" w:hAnsi="Times" w:cs="Times"/>
          <w:sz w:val="20"/>
          <w:szCs w:val="20"/>
        </w:rPr>
        <w:t> one of following options is supported to indicate the ON state of NCR</w:t>
      </w:r>
    </w:p>
    <w:p w14:paraId="70AA4BD9" w14:textId="77777777" w:rsidR="00D56444" w:rsidRDefault="00D56444" w:rsidP="00D56444">
      <w:pPr>
        <w:pStyle w:val="ListParagraph"/>
        <w:numPr>
          <w:ilvl w:val="0"/>
          <w:numId w:val="25"/>
        </w:numPr>
        <w:snapToGrid w:val="0"/>
        <w:spacing w:before="0" w:after="0"/>
        <w:contextualSpacing w:val="0"/>
        <w:jc w:val="left"/>
        <w:rPr>
          <w:rFonts w:cs="Times"/>
        </w:rPr>
      </w:pPr>
      <w:r w:rsidRPr="004D2A3D">
        <w:rPr>
          <w:rFonts w:cs="Times"/>
        </w:rPr>
        <w:t>Alt-1: Explicit indication with dedicated field to indicate ON state</w:t>
      </w:r>
    </w:p>
    <w:p w14:paraId="502CC9F4" w14:textId="77777777" w:rsidR="00D56444" w:rsidRPr="004D2A3D" w:rsidRDefault="00D56444" w:rsidP="00D56444">
      <w:pPr>
        <w:pStyle w:val="ListParagraph"/>
        <w:numPr>
          <w:ilvl w:val="1"/>
          <w:numId w:val="25"/>
        </w:numPr>
        <w:snapToGrid w:val="0"/>
        <w:spacing w:before="0" w:after="0"/>
        <w:contextualSpacing w:val="0"/>
        <w:jc w:val="left"/>
        <w:rPr>
          <w:rFonts w:cs="Times"/>
        </w:rPr>
      </w:pPr>
      <w:r w:rsidRPr="004D2A3D">
        <w:rPr>
          <w:rFonts w:cs="Times"/>
        </w:rPr>
        <w:t>Note: At least it’s supported when the beam indication is not applicable</w:t>
      </w:r>
    </w:p>
    <w:p w14:paraId="614C74DF" w14:textId="77777777" w:rsidR="00D56444" w:rsidRPr="004D2A3D" w:rsidRDefault="00D56444" w:rsidP="00D56444">
      <w:pPr>
        <w:pStyle w:val="ListParagraph"/>
        <w:numPr>
          <w:ilvl w:val="0"/>
          <w:numId w:val="25"/>
        </w:numPr>
        <w:snapToGrid w:val="0"/>
        <w:spacing w:before="0" w:after="0"/>
        <w:contextualSpacing w:val="0"/>
        <w:jc w:val="left"/>
        <w:rPr>
          <w:rFonts w:cs="Times"/>
        </w:rPr>
      </w:pPr>
      <w:r w:rsidRPr="004D2A3D">
        <w:rPr>
          <w:rFonts w:cs="Times"/>
        </w:rPr>
        <w:t>Alt-2: Implicit indication via the beam indication</w:t>
      </w:r>
    </w:p>
    <w:p w14:paraId="4D2C8A0B" w14:textId="77777777" w:rsidR="00D56444" w:rsidRPr="004D2A3D" w:rsidRDefault="00D56444" w:rsidP="00D56444">
      <w:pPr>
        <w:pStyle w:val="ListParagraph"/>
        <w:numPr>
          <w:ilvl w:val="0"/>
          <w:numId w:val="25"/>
        </w:numPr>
        <w:snapToGrid w:val="0"/>
        <w:spacing w:before="0" w:after="0"/>
        <w:contextualSpacing w:val="0"/>
        <w:jc w:val="left"/>
        <w:rPr>
          <w:rFonts w:cs="Times"/>
        </w:rPr>
      </w:pPr>
      <w:bookmarkStart w:id="18" w:name="OLE_LINK4"/>
      <w:r w:rsidRPr="004D2A3D">
        <w:rPr>
          <w:rFonts w:cs="Times"/>
        </w:rPr>
        <w:t>Alt-3: Indication via the time domain resource indication (i.e., the NCR is assumed to be ON over the indicated time domain resource)</w:t>
      </w:r>
    </w:p>
    <w:bookmarkEnd w:id="18"/>
    <w:p w14:paraId="632FAA17" w14:textId="443A1005" w:rsidR="00EC030D" w:rsidRDefault="00EC030D" w:rsidP="00EC030D">
      <w:p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Calibri" w:eastAsia="Malgun Gothic" w:hAnsi="Calibri" w:cs="Batang"/>
          <w:lang w:val="en-GB" w:eastAsia="ko-KR"/>
        </w:rPr>
      </w:pPr>
    </w:p>
    <w:p w14:paraId="0EB3E21D" w14:textId="77777777" w:rsidR="002123A2" w:rsidRPr="00C736F2" w:rsidRDefault="002123A2" w:rsidP="002123A2">
      <w:pPr>
        <w:snapToGrid w:val="0"/>
        <w:rPr>
          <w:rFonts w:cs="Times"/>
          <w:b/>
          <w:bCs/>
          <w:iCs/>
          <w:color w:val="000000"/>
          <w:highlight w:val="green"/>
        </w:rPr>
      </w:pPr>
      <w:r w:rsidRPr="00C736F2">
        <w:rPr>
          <w:rFonts w:cs="Times"/>
          <w:b/>
          <w:color w:val="000000"/>
          <w:highlight w:val="green"/>
        </w:rPr>
        <w:t>Agreement</w:t>
      </w:r>
    </w:p>
    <w:p w14:paraId="25F62FFA" w14:textId="77777777" w:rsidR="002123A2" w:rsidRPr="00C736F2" w:rsidRDefault="002123A2" w:rsidP="002123A2">
      <w:pPr>
        <w:snapToGrid w:val="0"/>
        <w:rPr>
          <w:rFonts w:cs="Times"/>
          <w:bCs/>
          <w:iCs/>
        </w:rPr>
      </w:pPr>
      <w:r w:rsidRPr="00C736F2">
        <w:rPr>
          <w:rFonts w:cs="Times"/>
          <w:bCs/>
          <w:iCs/>
        </w:rPr>
        <w:t>Following parameters should be supported to define the time resource:</w:t>
      </w:r>
    </w:p>
    <w:p w14:paraId="709B618F" w14:textId="77777777" w:rsidR="002123A2" w:rsidRPr="00C736F2" w:rsidRDefault="002123A2" w:rsidP="002123A2">
      <w:pPr>
        <w:pStyle w:val="ListParagraph"/>
        <w:numPr>
          <w:ilvl w:val="0"/>
          <w:numId w:val="25"/>
        </w:numPr>
        <w:snapToGrid w:val="0"/>
        <w:spacing w:before="0" w:after="0"/>
        <w:contextualSpacing w:val="0"/>
        <w:jc w:val="left"/>
        <w:rPr>
          <w:rFonts w:cs="Times"/>
        </w:rPr>
      </w:pPr>
      <w:r w:rsidRPr="00C736F2">
        <w:rPr>
          <w:rFonts w:cs="Times"/>
        </w:rPr>
        <w:t>For a periodic and/or semi-persistent configured time resource, starting time, duration per beam(s) and periodicity is needed.</w:t>
      </w:r>
    </w:p>
    <w:p w14:paraId="13FA9FB1" w14:textId="77777777" w:rsidR="002123A2" w:rsidRPr="00C736F2" w:rsidRDefault="002123A2" w:rsidP="002123A2">
      <w:pPr>
        <w:pStyle w:val="ListParagraph"/>
        <w:numPr>
          <w:ilvl w:val="0"/>
          <w:numId w:val="25"/>
        </w:numPr>
        <w:snapToGrid w:val="0"/>
        <w:spacing w:before="0" w:after="0"/>
        <w:contextualSpacing w:val="0"/>
        <w:jc w:val="left"/>
        <w:rPr>
          <w:rFonts w:cs="Times"/>
        </w:rPr>
      </w:pPr>
      <w:r w:rsidRPr="00C736F2">
        <w:rPr>
          <w:rFonts w:cs="Times"/>
        </w:rPr>
        <w:t xml:space="preserve">For aperiodic indication of time resource, starting time and duration per beam(s) is needed.  </w:t>
      </w:r>
    </w:p>
    <w:p w14:paraId="10CCFCC8" w14:textId="77777777" w:rsidR="002123A2" w:rsidRPr="00C736F2" w:rsidRDefault="002123A2" w:rsidP="002123A2">
      <w:pPr>
        <w:pStyle w:val="ListParagraph"/>
        <w:numPr>
          <w:ilvl w:val="0"/>
          <w:numId w:val="25"/>
        </w:numPr>
        <w:snapToGrid w:val="0"/>
        <w:spacing w:before="0" w:after="0"/>
        <w:contextualSpacing w:val="0"/>
        <w:jc w:val="left"/>
        <w:rPr>
          <w:rFonts w:cs="Times"/>
        </w:rPr>
      </w:pPr>
      <w:r w:rsidRPr="00C736F2">
        <w:rPr>
          <w:rFonts w:cs="Times"/>
        </w:rPr>
        <w:t>FFS: The SCS for starting time, duration, and periodicity</w:t>
      </w:r>
    </w:p>
    <w:p w14:paraId="230A2FF8" w14:textId="77777777" w:rsidR="002123A2" w:rsidRPr="00C736F2" w:rsidRDefault="002123A2" w:rsidP="002123A2">
      <w:pPr>
        <w:pStyle w:val="ListParagraph"/>
        <w:numPr>
          <w:ilvl w:val="0"/>
          <w:numId w:val="25"/>
        </w:numPr>
        <w:snapToGrid w:val="0"/>
        <w:spacing w:before="0" w:after="0"/>
        <w:contextualSpacing w:val="0"/>
        <w:jc w:val="left"/>
        <w:rPr>
          <w:rFonts w:cs="Times"/>
        </w:rPr>
      </w:pPr>
      <w:r w:rsidRPr="00C736F2">
        <w:rPr>
          <w:rFonts w:cs="Times"/>
        </w:rPr>
        <w:t>FFS: How to define the duration, e.g., via the length of time resource or resource index(es)</w:t>
      </w:r>
    </w:p>
    <w:p w14:paraId="58DEF01E" w14:textId="77777777" w:rsidR="002123A2" w:rsidRPr="00C736F2" w:rsidRDefault="002123A2" w:rsidP="002123A2">
      <w:pPr>
        <w:pStyle w:val="ListParagraph"/>
        <w:numPr>
          <w:ilvl w:val="0"/>
          <w:numId w:val="25"/>
        </w:numPr>
        <w:snapToGrid w:val="0"/>
        <w:spacing w:before="0" w:after="0"/>
        <w:contextualSpacing w:val="0"/>
        <w:jc w:val="left"/>
        <w:rPr>
          <w:rFonts w:cs="Times"/>
        </w:rPr>
      </w:pPr>
      <w:r w:rsidRPr="00C736F2">
        <w:rPr>
          <w:rFonts w:cs="Times"/>
        </w:rPr>
        <w:t>FFS: Whether indication of starting time can be implicit (e.g., the first slot after the time to apply the received beam indication and the first OFDM symbol in the slot)</w:t>
      </w:r>
    </w:p>
    <w:p w14:paraId="02857533" w14:textId="42493CF2" w:rsidR="002123A2" w:rsidRDefault="002123A2" w:rsidP="00EC030D">
      <w:p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Calibri" w:eastAsia="Malgun Gothic" w:hAnsi="Calibri" w:cs="Batang"/>
          <w:lang w:val="en-GB" w:eastAsia="ko-KR"/>
        </w:rPr>
      </w:pPr>
    </w:p>
    <w:p w14:paraId="640CB98C" w14:textId="5469633E" w:rsidR="00B64A6F" w:rsidRDefault="00853E6F" w:rsidP="00D353AD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Alt-3</w:t>
      </w:r>
      <w:r w:rsidR="00BB0B45" w:rsidRPr="00762AE5">
        <w:rPr>
          <w:rFonts w:ascii="Calibri" w:eastAsia="Malgun Gothic" w:hAnsi="Calibri" w:cs="Batang"/>
          <w:lang w:val="en-GB" w:eastAsia="ko-KR"/>
        </w:rPr>
        <w:t xml:space="preserve"> </w:t>
      </w:r>
      <w:r w:rsidR="00BB0B45">
        <w:rPr>
          <w:rFonts w:ascii="Calibri" w:eastAsia="Malgun Gothic" w:hAnsi="Calibri" w:cs="Batang"/>
          <w:lang w:val="en-GB" w:eastAsia="ko-KR"/>
        </w:rPr>
        <w:t xml:space="preserve">is the most attractive solution in our view since it is </w:t>
      </w:r>
      <w:r w:rsidR="00BB0B45" w:rsidRPr="00762AE5">
        <w:rPr>
          <w:rFonts w:ascii="Calibri" w:eastAsia="Malgun Gothic" w:hAnsi="Calibri" w:cs="Batang"/>
          <w:lang w:val="en-GB" w:eastAsia="ko-KR"/>
        </w:rPr>
        <w:t>similar to the handling of</w:t>
      </w:r>
      <w:r w:rsidR="00BB0B45">
        <w:rPr>
          <w:rFonts w:ascii="Calibri" w:eastAsia="Malgun Gothic" w:hAnsi="Calibri" w:cs="Batang"/>
          <w:lang w:val="en-GB" w:eastAsia="ko-KR"/>
        </w:rPr>
        <w:t xml:space="preserve"> the</w:t>
      </w:r>
      <w:r w:rsidR="00BB0B45" w:rsidRPr="00762AE5">
        <w:rPr>
          <w:rFonts w:ascii="Calibri" w:eastAsia="Malgun Gothic" w:hAnsi="Calibri" w:cs="Batang"/>
          <w:lang w:val="en-GB" w:eastAsia="ko-KR"/>
        </w:rPr>
        <w:t xml:space="preserve"> IAB-MT</w:t>
      </w:r>
      <w:r w:rsidR="00BB0B45">
        <w:rPr>
          <w:rFonts w:ascii="Calibri" w:eastAsia="Malgun Gothic" w:hAnsi="Calibri" w:cs="Batang"/>
          <w:lang w:val="en-GB" w:eastAsia="ko-KR"/>
        </w:rPr>
        <w:t xml:space="preserve"> </w:t>
      </w:r>
      <w:r w:rsidR="00B77AA2">
        <w:rPr>
          <w:rFonts w:ascii="Calibri" w:eastAsia="Malgun Gothic" w:hAnsi="Calibri" w:cs="Batang"/>
          <w:lang w:val="en-GB" w:eastAsia="ko-KR"/>
        </w:rPr>
        <w:t xml:space="preserve">in the definition of Hard (i.e. always ON), </w:t>
      </w:r>
      <w:r w:rsidR="00992357">
        <w:rPr>
          <w:rFonts w:ascii="Calibri" w:eastAsia="Malgun Gothic" w:hAnsi="Calibri" w:cs="Batang"/>
          <w:lang w:val="en-GB" w:eastAsia="ko-KR"/>
        </w:rPr>
        <w:t xml:space="preserve">Not Available (i.e. always OFF), and Soft (i.e. ON if indicated via dynamic signaling from the parent node) resources </w:t>
      </w:r>
      <w:r w:rsidR="00254292">
        <w:rPr>
          <w:rFonts w:ascii="Calibri" w:eastAsia="Malgun Gothic" w:hAnsi="Calibri" w:cs="Batang"/>
          <w:lang w:val="en-GB" w:eastAsia="ko-KR"/>
        </w:rPr>
        <w:t>which are mapped to the time domain resources of the access link</w:t>
      </w:r>
      <w:r w:rsidR="00D03510">
        <w:rPr>
          <w:rFonts w:ascii="Calibri" w:eastAsia="Malgun Gothic" w:hAnsi="Calibri" w:cs="Batang"/>
          <w:lang w:val="en-GB" w:eastAsia="ko-KR"/>
        </w:rPr>
        <w:t xml:space="preserve">. </w:t>
      </w:r>
      <w:r w:rsidR="00271019">
        <w:rPr>
          <w:rFonts w:ascii="Calibri" w:eastAsia="Malgun Gothic" w:hAnsi="Calibri" w:cs="Batang"/>
          <w:lang w:val="en-GB" w:eastAsia="ko-KR"/>
        </w:rPr>
        <w:t>U</w:t>
      </w:r>
      <w:r w:rsidR="00EF2B92">
        <w:rPr>
          <w:rFonts w:ascii="Calibri" w:eastAsia="Malgun Gothic" w:hAnsi="Calibri" w:cs="Batang"/>
          <w:lang w:val="en-GB" w:eastAsia="ko-KR"/>
        </w:rPr>
        <w:t>nlike IAB</w:t>
      </w:r>
      <w:r w:rsidR="00271019">
        <w:rPr>
          <w:rFonts w:ascii="Calibri" w:eastAsia="Malgun Gothic" w:hAnsi="Calibri" w:cs="Batang"/>
          <w:lang w:val="en-GB" w:eastAsia="ko-KR"/>
        </w:rPr>
        <w:t xml:space="preserve">, since </w:t>
      </w:r>
      <w:r w:rsidR="00C668AC">
        <w:rPr>
          <w:rFonts w:ascii="Calibri" w:eastAsia="Malgun Gothic" w:hAnsi="Calibri" w:cs="Batang"/>
          <w:lang w:val="en-GB" w:eastAsia="ko-KR"/>
        </w:rPr>
        <w:t xml:space="preserve">the NCR does not have a DU function, </w:t>
      </w:r>
      <w:r w:rsidR="00EF2B92">
        <w:rPr>
          <w:rFonts w:ascii="Calibri" w:eastAsia="Malgun Gothic" w:hAnsi="Calibri" w:cs="Batang"/>
          <w:lang w:val="en-GB" w:eastAsia="ko-KR"/>
        </w:rPr>
        <w:t xml:space="preserve">implicit rules </w:t>
      </w:r>
      <w:r w:rsidR="00254292">
        <w:rPr>
          <w:rFonts w:ascii="Calibri" w:eastAsia="Malgun Gothic" w:hAnsi="Calibri" w:cs="Batang"/>
          <w:lang w:val="en-GB" w:eastAsia="ko-KR"/>
        </w:rPr>
        <w:t>such as Alt-</w:t>
      </w:r>
      <w:r w:rsidR="00EF2B92">
        <w:rPr>
          <w:rFonts w:ascii="Calibri" w:eastAsia="Malgun Gothic" w:hAnsi="Calibri" w:cs="Batang"/>
          <w:lang w:val="en-GB" w:eastAsia="ko-KR"/>
        </w:rPr>
        <w:t xml:space="preserve">2 may not be necessary </w:t>
      </w:r>
      <w:r w:rsidR="00271019">
        <w:rPr>
          <w:rFonts w:ascii="Calibri" w:eastAsia="Malgun Gothic" w:hAnsi="Calibri" w:cs="Batang"/>
          <w:lang w:val="en-GB" w:eastAsia="ko-KR"/>
        </w:rPr>
        <w:t>as</w:t>
      </w:r>
      <w:r w:rsidR="00EF2B92">
        <w:rPr>
          <w:rFonts w:ascii="Calibri" w:eastAsia="Malgun Gothic" w:hAnsi="Calibri" w:cs="Batang"/>
          <w:lang w:val="en-GB" w:eastAsia="ko-KR"/>
        </w:rPr>
        <w:t xml:space="preserve"> </w:t>
      </w:r>
      <w:r w:rsidR="00271019">
        <w:rPr>
          <w:rFonts w:ascii="Calibri" w:eastAsia="Malgun Gothic" w:hAnsi="Calibri" w:cs="Batang"/>
          <w:lang w:val="en-GB" w:eastAsia="ko-KR"/>
        </w:rPr>
        <w:t>there should not be any conflicts between the NCR and parent gNB</w:t>
      </w:r>
      <w:r w:rsidR="00EF2B92">
        <w:rPr>
          <w:rFonts w:ascii="Calibri" w:eastAsia="Malgun Gothic" w:hAnsi="Calibri" w:cs="Batang"/>
          <w:lang w:val="en-GB" w:eastAsia="ko-KR"/>
        </w:rPr>
        <w:t xml:space="preserve"> </w:t>
      </w:r>
      <w:r w:rsidR="00271019">
        <w:rPr>
          <w:rFonts w:ascii="Calibri" w:eastAsia="Malgun Gothic" w:hAnsi="Calibri" w:cs="Batang"/>
          <w:lang w:val="en-GB" w:eastAsia="ko-KR"/>
        </w:rPr>
        <w:t xml:space="preserve">which </w:t>
      </w:r>
      <w:r w:rsidR="00414F00">
        <w:rPr>
          <w:rFonts w:ascii="Calibri" w:eastAsia="Malgun Gothic" w:hAnsi="Calibri" w:cs="Batang"/>
          <w:lang w:val="en-GB" w:eastAsia="ko-KR"/>
        </w:rPr>
        <w:t>needs</w:t>
      </w:r>
      <w:r w:rsidR="00271019">
        <w:rPr>
          <w:rFonts w:ascii="Calibri" w:eastAsia="Malgun Gothic" w:hAnsi="Calibri" w:cs="Batang"/>
          <w:lang w:val="en-GB" w:eastAsia="ko-KR"/>
        </w:rPr>
        <w:t xml:space="preserve"> full control</w:t>
      </w:r>
      <w:r w:rsidR="00414F00">
        <w:rPr>
          <w:rFonts w:ascii="Calibri" w:eastAsia="Malgun Gothic" w:hAnsi="Calibri" w:cs="Batang"/>
          <w:lang w:val="en-GB" w:eastAsia="ko-KR"/>
        </w:rPr>
        <w:t xml:space="preserve"> and visibility</w:t>
      </w:r>
      <w:r w:rsidR="00271019">
        <w:rPr>
          <w:rFonts w:ascii="Calibri" w:eastAsia="Malgun Gothic" w:hAnsi="Calibri" w:cs="Batang"/>
          <w:lang w:val="en-GB" w:eastAsia="ko-KR"/>
        </w:rPr>
        <w:t xml:space="preserve"> of the </w:t>
      </w:r>
      <w:r w:rsidR="00414F00">
        <w:rPr>
          <w:rFonts w:ascii="Calibri" w:eastAsia="Malgun Gothic" w:hAnsi="Calibri" w:cs="Batang"/>
          <w:lang w:val="en-GB" w:eastAsia="ko-KR"/>
        </w:rPr>
        <w:t>resources used on the C-link and Fwd-link</w:t>
      </w:r>
      <w:r w:rsidR="0037233B">
        <w:rPr>
          <w:rFonts w:ascii="Calibri" w:eastAsia="Malgun Gothic" w:hAnsi="Calibri" w:cs="Batang"/>
          <w:lang w:val="en-GB" w:eastAsia="ko-KR"/>
        </w:rPr>
        <w:t xml:space="preserve"> in order to support a coordinated pattern across cells/NCRs over a given period of time configured by the network</w:t>
      </w:r>
      <w:r w:rsidR="00414F00">
        <w:rPr>
          <w:rFonts w:ascii="Calibri" w:eastAsia="Malgun Gothic" w:hAnsi="Calibri" w:cs="Batang"/>
          <w:lang w:val="en-GB" w:eastAsia="ko-KR"/>
        </w:rPr>
        <w:t>.</w:t>
      </w:r>
      <w:r w:rsidR="00BB0B45">
        <w:rPr>
          <w:rFonts w:ascii="Calibri" w:eastAsia="Malgun Gothic" w:hAnsi="Calibri" w:cs="Batang"/>
          <w:lang w:val="en-GB" w:eastAsia="ko-KR"/>
        </w:rPr>
        <w:t xml:space="preserve"> </w:t>
      </w:r>
      <w:r w:rsidR="0037233B">
        <w:rPr>
          <w:rFonts w:ascii="Calibri" w:eastAsia="Malgun Gothic" w:hAnsi="Calibri" w:cs="Batang"/>
          <w:lang w:val="en-GB" w:eastAsia="ko-KR"/>
        </w:rPr>
        <w:t>However, f</w:t>
      </w:r>
      <w:r w:rsidR="002608AC">
        <w:rPr>
          <w:rFonts w:ascii="Calibri" w:eastAsia="Malgun Gothic" w:hAnsi="Calibri" w:cs="Batang"/>
          <w:lang w:val="en-GB" w:eastAsia="ko-KR"/>
        </w:rPr>
        <w:t xml:space="preserve">or use cases such as interference management, </w:t>
      </w:r>
      <w:r w:rsidR="0037233B">
        <w:rPr>
          <w:rFonts w:ascii="Calibri" w:eastAsia="Malgun Gothic" w:hAnsi="Calibri" w:cs="Batang"/>
          <w:lang w:val="en-GB" w:eastAsia="ko-KR"/>
        </w:rPr>
        <w:t>an additional</w:t>
      </w:r>
      <w:r w:rsidR="002608AC">
        <w:rPr>
          <w:rFonts w:ascii="Calibri" w:eastAsia="Malgun Gothic" w:hAnsi="Calibri" w:cs="Batang"/>
          <w:lang w:val="en-GB" w:eastAsia="ko-KR"/>
        </w:rPr>
        <w:t xml:space="preserve"> </w:t>
      </w:r>
      <w:r w:rsidR="0037233B">
        <w:rPr>
          <w:rFonts w:ascii="Calibri" w:eastAsia="Malgun Gothic" w:hAnsi="Calibri" w:cs="Batang"/>
          <w:lang w:val="en-GB" w:eastAsia="ko-KR"/>
        </w:rPr>
        <w:t xml:space="preserve">dynamic explicit </w:t>
      </w:r>
      <w:r w:rsidR="00801CD2">
        <w:rPr>
          <w:rFonts w:ascii="Calibri" w:eastAsia="Malgun Gothic" w:hAnsi="Calibri" w:cs="Batang"/>
          <w:lang w:val="en-GB" w:eastAsia="ko-KR"/>
        </w:rPr>
        <w:t xml:space="preserve">ON/OFF </w:t>
      </w:r>
      <w:r w:rsidR="0037233B">
        <w:rPr>
          <w:rFonts w:ascii="Calibri" w:eastAsia="Malgun Gothic" w:hAnsi="Calibri" w:cs="Batang"/>
          <w:lang w:val="en-GB" w:eastAsia="ko-KR"/>
        </w:rPr>
        <w:t>indication should be supported which overrides and default behavior or semi-static indications</w:t>
      </w:r>
      <w:r w:rsidR="00801CD2">
        <w:rPr>
          <w:rFonts w:ascii="Calibri" w:eastAsia="Malgun Gothic" w:hAnsi="Calibri" w:cs="Batang"/>
          <w:lang w:val="en-GB" w:eastAsia="ko-KR"/>
        </w:rPr>
        <w:t>.</w:t>
      </w:r>
      <w:bookmarkStart w:id="19" w:name="OLE_LINK94"/>
    </w:p>
    <w:p w14:paraId="76731E93" w14:textId="77777777" w:rsidR="00B64A6F" w:rsidRDefault="00B64A6F" w:rsidP="00D353AD">
      <w:pPr>
        <w:rPr>
          <w:rFonts w:ascii="Calibri" w:eastAsia="Malgun Gothic" w:hAnsi="Calibri" w:cs="Batang"/>
          <w:lang w:val="en-GB" w:eastAsia="ko-KR"/>
        </w:rPr>
      </w:pPr>
    </w:p>
    <w:p w14:paraId="78307283" w14:textId="6D9F17F9" w:rsidR="00AC16C1" w:rsidRDefault="00EC030D" w:rsidP="00D353AD">
      <w:pPr>
        <w:rPr>
          <w:rFonts w:ascii="Calibri" w:eastAsia="Malgun Gothic" w:hAnsi="Calibri" w:cs="Batang"/>
          <w:b/>
          <w:bCs/>
          <w:lang w:val="en-GB" w:eastAsia="ko-KR"/>
        </w:rPr>
      </w:pPr>
      <w:bookmarkStart w:id="20" w:name="OLE_LINK7"/>
      <w:bookmarkStart w:id="21" w:name="OLE_LINK5"/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Proposal </w:t>
      </w:r>
      <w:r w:rsidR="00170598">
        <w:rPr>
          <w:rFonts w:ascii="Calibri" w:eastAsia="Malgun Gothic" w:hAnsi="Calibri" w:cs="Batang"/>
          <w:b/>
          <w:bCs/>
          <w:lang w:val="en-GB" w:eastAsia="ko-KR"/>
        </w:rPr>
        <w:t>3</w:t>
      </w:r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: </w:t>
      </w:r>
      <w:r w:rsidR="00D353AD">
        <w:rPr>
          <w:rFonts w:ascii="Calibri" w:eastAsia="Malgun Gothic" w:hAnsi="Calibri" w:cs="Batang"/>
          <w:b/>
          <w:bCs/>
          <w:lang w:val="en-GB" w:eastAsia="ko-KR"/>
        </w:rPr>
        <w:t>T</w:t>
      </w:r>
      <w:r w:rsidR="00D353AD" w:rsidRPr="00D353AD">
        <w:rPr>
          <w:rFonts w:ascii="Calibri" w:eastAsia="Malgun Gothic" w:hAnsi="Calibri" w:cs="Batang"/>
          <w:b/>
          <w:bCs/>
          <w:lang w:val="en-GB" w:eastAsia="ko-KR"/>
        </w:rPr>
        <w:t>o indicate the ON-OFF information from gNB to NCR for controlling the behaviour of NCR-Fwd</w:t>
      </w:r>
      <w:bookmarkEnd w:id="19"/>
      <w:r w:rsidR="00AC16C1">
        <w:rPr>
          <w:rFonts w:ascii="Calibri" w:eastAsia="Malgun Gothic" w:hAnsi="Calibri" w:cs="Batang"/>
          <w:b/>
          <w:bCs/>
          <w:lang w:val="en-GB" w:eastAsia="ko-KR"/>
        </w:rPr>
        <w:t xml:space="preserve"> the following is supported:</w:t>
      </w:r>
    </w:p>
    <w:p w14:paraId="243CBE86" w14:textId="1E47C407" w:rsidR="00D353AD" w:rsidRDefault="00B64A6F" w:rsidP="00AC16C1">
      <w:pPr>
        <w:ind w:left="432"/>
        <w:rPr>
          <w:rFonts w:ascii="Calibri" w:eastAsia="Malgun Gothic" w:hAnsi="Calibri" w:cs="Batang"/>
          <w:b/>
          <w:bCs/>
          <w:lang w:eastAsia="ko-KR"/>
        </w:rPr>
      </w:pPr>
      <w:r w:rsidRPr="00B64A6F">
        <w:rPr>
          <w:rFonts w:ascii="Calibri" w:eastAsia="Malgun Gothic" w:hAnsi="Calibri" w:cs="Batang"/>
          <w:b/>
          <w:bCs/>
          <w:lang w:eastAsia="ko-KR"/>
        </w:rPr>
        <w:t>Indication via the time domain resource indication (i.e., the NCR is assumed to be ON over the indicated time domain resource)</w:t>
      </w:r>
      <w:r w:rsidR="0037233B">
        <w:rPr>
          <w:rFonts w:ascii="Calibri" w:eastAsia="Malgun Gothic" w:hAnsi="Calibri" w:cs="Batang"/>
          <w:b/>
          <w:bCs/>
          <w:lang w:eastAsia="ko-KR"/>
        </w:rPr>
        <w:t xml:space="preserve"> with an additional explicit dynamic indication with a dedicated field to indicate ON/OFF state which overrides and default behavior or semi-static indications. </w:t>
      </w:r>
    </w:p>
    <w:bookmarkEnd w:id="20"/>
    <w:p w14:paraId="59EB858D" w14:textId="1E5D3255" w:rsidR="00423191" w:rsidRDefault="00423191" w:rsidP="00AC16C1">
      <w:pPr>
        <w:ind w:left="432"/>
        <w:rPr>
          <w:rFonts w:ascii="Calibri" w:eastAsia="Malgun Gothic" w:hAnsi="Calibri" w:cs="Batang"/>
          <w:b/>
          <w:bCs/>
          <w:lang w:eastAsia="ko-KR"/>
        </w:rPr>
      </w:pPr>
    </w:p>
    <w:p w14:paraId="7860982E" w14:textId="099F96B9" w:rsidR="00423191" w:rsidRDefault="00300BA5" w:rsidP="009B5E4F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Finally, </w:t>
      </w:r>
      <w:r w:rsidR="009C4915" w:rsidRPr="009C4915">
        <w:rPr>
          <w:rFonts w:ascii="Calibri" w:eastAsia="Malgun Gothic" w:hAnsi="Calibri" w:cs="Batang"/>
          <w:lang w:val="en-GB" w:eastAsia="ko-KR"/>
        </w:rPr>
        <w:t>regarding the power control information, no conclusion has been achieved</w:t>
      </w:r>
      <w:r w:rsidR="009C4915">
        <w:rPr>
          <w:rFonts w:ascii="Calibri" w:eastAsia="Malgun Gothic" w:hAnsi="Calibri" w:cs="Batang"/>
          <w:lang w:val="en-GB" w:eastAsia="ko-KR"/>
        </w:rPr>
        <w:t xml:space="preserve"> </w:t>
      </w:r>
      <w:r w:rsidR="00D36ABF">
        <w:rPr>
          <w:rFonts w:ascii="Calibri" w:eastAsia="Malgun Gothic" w:hAnsi="Calibri" w:cs="Batang"/>
          <w:lang w:val="en-GB" w:eastAsia="ko-KR"/>
        </w:rPr>
        <w:t>at</w:t>
      </w:r>
      <w:r w:rsidR="007D0BA4">
        <w:rPr>
          <w:rFonts w:ascii="Calibri" w:eastAsia="Malgun Gothic" w:hAnsi="Calibri" w:cs="Batang"/>
          <w:lang w:val="en-GB" w:eastAsia="ko-KR"/>
        </w:rPr>
        <w:t xml:space="preserve"> either</w:t>
      </w:r>
      <w:r w:rsidR="00D36ABF">
        <w:rPr>
          <w:rFonts w:ascii="Calibri" w:eastAsia="Malgun Gothic" w:hAnsi="Calibri" w:cs="Batang"/>
          <w:lang w:val="en-GB" w:eastAsia="ko-KR"/>
        </w:rPr>
        <w:t xml:space="preserve"> RAN#110 or RAN#110-bis. </w:t>
      </w:r>
      <w:r w:rsidR="008D76F1">
        <w:rPr>
          <w:rFonts w:ascii="Calibri" w:eastAsia="Malgun Gothic" w:hAnsi="Calibri" w:cs="Batang"/>
          <w:lang w:val="en-GB" w:eastAsia="ko-KR"/>
        </w:rPr>
        <w:t xml:space="preserve">In the currently approved Work Item Description [1], there is a note </w:t>
      </w:r>
      <w:r w:rsidR="00E93590">
        <w:rPr>
          <w:rFonts w:ascii="Calibri" w:eastAsia="Malgun Gothic" w:hAnsi="Calibri" w:cs="Batang"/>
          <w:lang w:val="en-GB" w:eastAsia="ko-KR"/>
        </w:rPr>
        <w:t>that “</w:t>
      </w:r>
      <w:r w:rsidR="00E93590" w:rsidRPr="00E93590">
        <w:rPr>
          <w:rFonts w:ascii="Calibri" w:eastAsia="Malgun Gothic" w:hAnsi="Calibri" w:cs="Batang"/>
          <w:lang w:val="en-GB" w:eastAsia="ko-KR"/>
        </w:rPr>
        <w:t>Power control aspect will be checked in RAN#98e</w:t>
      </w:r>
      <w:r w:rsidR="00E93590">
        <w:rPr>
          <w:rFonts w:ascii="Calibri" w:eastAsia="Malgun Gothic" w:hAnsi="Calibri" w:cs="Batang"/>
          <w:lang w:val="en-GB" w:eastAsia="ko-KR"/>
        </w:rPr>
        <w:t xml:space="preserve">.” </w:t>
      </w:r>
    </w:p>
    <w:p w14:paraId="4A65ED01" w14:textId="1A890E48" w:rsidR="00E93590" w:rsidRDefault="00E93590" w:rsidP="009B5E4F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From our view, </w:t>
      </w:r>
      <w:r w:rsidR="00DD2B16">
        <w:rPr>
          <w:rFonts w:ascii="Calibri" w:eastAsia="Malgun Gothic" w:hAnsi="Calibri" w:cs="Batang"/>
          <w:lang w:val="en-GB" w:eastAsia="ko-KR"/>
        </w:rPr>
        <w:t xml:space="preserve">we </w:t>
      </w:r>
      <w:r w:rsidR="00C1623D">
        <w:rPr>
          <w:rFonts w:ascii="Calibri" w:eastAsia="Malgun Gothic" w:hAnsi="Calibri" w:cs="Batang"/>
          <w:lang w:val="en-GB" w:eastAsia="ko-KR"/>
        </w:rPr>
        <w:t xml:space="preserve">do not support dynamic </w:t>
      </w:r>
      <w:r w:rsidR="00DD2B16" w:rsidRPr="00DD2B16">
        <w:rPr>
          <w:rFonts w:ascii="Calibri" w:eastAsia="Malgun Gothic" w:hAnsi="Calibri" w:cs="Batang"/>
          <w:lang w:val="en-GB" w:eastAsia="ko-KR"/>
        </w:rPr>
        <w:t>power control to be specified as</w:t>
      </w:r>
      <w:r w:rsidR="00DA749C">
        <w:rPr>
          <w:rFonts w:ascii="Calibri" w:eastAsia="Malgun Gothic" w:hAnsi="Calibri" w:cs="Batang"/>
          <w:lang w:val="en-GB" w:eastAsia="ko-KR"/>
        </w:rPr>
        <w:t xml:space="preserve"> part of the</w:t>
      </w:r>
      <w:r w:rsidR="00DD2B16" w:rsidRPr="00DD2B16">
        <w:rPr>
          <w:rFonts w:ascii="Calibri" w:eastAsia="Malgun Gothic" w:hAnsi="Calibri" w:cs="Batang"/>
          <w:lang w:val="en-GB" w:eastAsia="ko-KR"/>
        </w:rPr>
        <w:t xml:space="preserve"> side control </w:t>
      </w:r>
      <w:r w:rsidR="00442A7E" w:rsidRPr="00DD2B16">
        <w:rPr>
          <w:rFonts w:ascii="Calibri" w:eastAsia="Malgun Gothic" w:hAnsi="Calibri" w:cs="Batang"/>
          <w:lang w:val="en-GB" w:eastAsia="ko-KR"/>
        </w:rPr>
        <w:t>information</w:t>
      </w:r>
      <w:r w:rsidR="00442A7E">
        <w:rPr>
          <w:rFonts w:ascii="Calibri" w:eastAsia="Malgun Gothic" w:hAnsi="Calibri" w:cs="Batang"/>
          <w:lang w:val="en-GB" w:eastAsia="ko-KR"/>
        </w:rPr>
        <w:t xml:space="preserve"> but</w:t>
      </w:r>
      <w:r w:rsidR="00C1623D">
        <w:rPr>
          <w:rFonts w:ascii="Calibri" w:eastAsia="Malgun Gothic" w:hAnsi="Calibri" w:cs="Batang"/>
          <w:lang w:val="en-GB" w:eastAsia="ko-KR"/>
        </w:rPr>
        <w:t xml:space="preserve"> </w:t>
      </w:r>
      <w:r w:rsidR="00D668E2">
        <w:rPr>
          <w:rFonts w:ascii="Calibri" w:eastAsia="Malgun Gothic" w:hAnsi="Calibri" w:cs="Batang"/>
          <w:lang w:val="en-GB" w:eastAsia="ko-KR"/>
        </w:rPr>
        <w:t xml:space="preserve">see </w:t>
      </w:r>
      <w:r w:rsidR="00637EB8">
        <w:rPr>
          <w:rFonts w:ascii="Calibri" w:eastAsia="Malgun Gothic" w:hAnsi="Calibri" w:cs="Batang"/>
          <w:lang w:val="en-GB" w:eastAsia="ko-KR"/>
        </w:rPr>
        <w:t xml:space="preserve">that there </w:t>
      </w:r>
      <w:r w:rsidR="00A049CC">
        <w:rPr>
          <w:rFonts w:ascii="Calibri" w:eastAsia="Malgun Gothic" w:hAnsi="Calibri" w:cs="Batang"/>
          <w:lang w:val="en-GB" w:eastAsia="ko-KR"/>
        </w:rPr>
        <w:t xml:space="preserve">would be </w:t>
      </w:r>
      <w:r w:rsidR="00637EB8">
        <w:rPr>
          <w:rFonts w:ascii="Calibri" w:eastAsia="Malgun Gothic" w:hAnsi="Calibri" w:cs="Batang"/>
          <w:lang w:val="en-GB" w:eastAsia="ko-KR"/>
        </w:rPr>
        <w:t xml:space="preserve">some benefit to specify </w:t>
      </w:r>
      <w:r w:rsidR="00DA749C">
        <w:rPr>
          <w:rFonts w:ascii="Calibri" w:eastAsia="Malgun Gothic" w:hAnsi="Calibri" w:cs="Batang"/>
          <w:lang w:val="en-GB" w:eastAsia="ko-KR"/>
        </w:rPr>
        <w:t>semi-static power control</w:t>
      </w:r>
      <w:r w:rsidR="002F2B0D">
        <w:rPr>
          <w:rFonts w:ascii="Calibri" w:eastAsia="Malgun Gothic" w:hAnsi="Calibri" w:cs="Batang"/>
          <w:lang w:val="en-GB" w:eastAsia="ko-KR"/>
        </w:rPr>
        <w:t xml:space="preserve">, e.g., </w:t>
      </w:r>
      <w:r w:rsidR="002F2B0D" w:rsidRPr="002F2B0D">
        <w:rPr>
          <w:rFonts w:ascii="Calibri" w:eastAsia="Malgun Gothic" w:hAnsi="Calibri" w:cs="Batang"/>
          <w:lang w:val="en-GB" w:eastAsia="ko-KR"/>
        </w:rPr>
        <w:t>efficient interference management and improved energy efficiency</w:t>
      </w:r>
      <w:r w:rsidR="00D668E2">
        <w:rPr>
          <w:rFonts w:ascii="Calibri" w:eastAsia="Malgun Gothic" w:hAnsi="Calibri" w:cs="Batang"/>
          <w:lang w:val="en-GB" w:eastAsia="ko-KR"/>
        </w:rPr>
        <w:t>. This c</w:t>
      </w:r>
      <w:r w:rsidR="00C12C0C">
        <w:rPr>
          <w:rFonts w:ascii="Calibri" w:eastAsia="Malgun Gothic" w:hAnsi="Calibri" w:cs="Batang"/>
          <w:lang w:val="en-GB" w:eastAsia="ko-KR"/>
        </w:rPr>
        <w:t xml:space="preserve">ould </w:t>
      </w:r>
      <w:r w:rsidR="00D668E2">
        <w:rPr>
          <w:rFonts w:ascii="Calibri" w:eastAsia="Malgun Gothic" w:hAnsi="Calibri" w:cs="Batang"/>
          <w:lang w:val="en-GB" w:eastAsia="ko-KR"/>
        </w:rPr>
        <w:t xml:space="preserve">be </w:t>
      </w:r>
      <w:r w:rsidR="007B5972">
        <w:rPr>
          <w:rFonts w:ascii="Calibri" w:eastAsia="Malgun Gothic" w:hAnsi="Calibri" w:cs="Batang"/>
          <w:lang w:val="en-GB" w:eastAsia="ko-KR"/>
        </w:rPr>
        <w:t>achieved via</w:t>
      </w:r>
      <w:r w:rsidR="00D668E2">
        <w:rPr>
          <w:rFonts w:ascii="Calibri" w:eastAsia="Malgun Gothic" w:hAnsi="Calibri" w:cs="Batang"/>
          <w:lang w:val="en-GB" w:eastAsia="ko-KR"/>
        </w:rPr>
        <w:t>, e</w:t>
      </w:r>
      <w:r w:rsidR="00DD2B16" w:rsidRPr="00DD2B16">
        <w:rPr>
          <w:rFonts w:ascii="Calibri" w:eastAsia="Malgun Gothic" w:hAnsi="Calibri" w:cs="Batang"/>
          <w:lang w:val="en-GB" w:eastAsia="ko-KR"/>
        </w:rPr>
        <w:t>.g., semi-static signalling</w:t>
      </w:r>
      <w:r w:rsidR="00D668E2">
        <w:rPr>
          <w:rFonts w:ascii="Calibri" w:eastAsia="Malgun Gothic" w:hAnsi="Calibri" w:cs="Batang"/>
          <w:lang w:val="en-GB" w:eastAsia="ko-KR"/>
        </w:rPr>
        <w:t>, RRC, etc.</w:t>
      </w:r>
      <w:r w:rsidR="00442A7E">
        <w:rPr>
          <w:rFonts w:ascii="Calibri" w:eastAsia="Malgun Gothic" w:hAnsi="Calibri" w:cs="Batang"/>
          <w:lang w:val="en-GB" w:eastAsia="ko-KR"/>
        </w:rPr>
        <w:t xml:space="preserve"> To that end, we</w:t>
      </w:r>
      <w:r w:rsidR="007B5972">
        <w:rPr>
          <w:rFonts w:ascii="Calibri" w:eastAsia="Malgun Gothic" w:hAnsi="Calibri" w:cs="Batang"/>
          <w:lang w:val="en-GB" w:eastAsia="ko-KR"/>
        </w:rPr>
        <w:t xml:space="preserve"> </w:t>
      </w:r>
      <w:r w:rsidR="005F0C5F">
        <w:rPr>
          <w:rFonts w:ascii="Calibri" w:eastAsia="Malgun Gothic" w:hAnsi="Calibri" w:cs="Batang"/>
          <w:lang w:val="en-GB" w:eastAsia="ko-KR"/>
        </w:rPr>
        <w:t xml:space="preserve">propose that </w:t>
      </w:r>
      <w:r w:rsidR="005F0C5F" w:rsidRPr="005F0C5F">
        <w:rPr>
          <w:rFonts w:ascii="Calibri" w:eastAsia="Malgun Gothic" w:hAnsi="Calibri" w:cs="Batang"/>
          <w:lang w:val="en-GB" w:eastAsia="ko-KR"/>
        </w:rPr>
        <w:t xml:space="preserve">power control </w:t>
      </w:r>
      <w:r w:rsidR="00042147">
        <w:rPr>
          <w:rFonts w:ascii="Calibri" w:eastAsia="Malgun Gothic" w:hAnsi="Calibri" w:cs="Batang"/>
          <w:lang w:val="en-GB" w:eastAsia="ko-KR"/>
        </w:rPr>
        <w:t>should</w:t>
      </w:r>
      <w:r w:rsidR="005F0C5F">
        <w:rPr>
          <w:rFonts w:ascii="Calibri" w:eastAsia="Malgun Gothic" w:hAnsi="Calibri" w:cs="Batang"/>
          <w:lang w:val="en-GB" w:eastAsia="ko-KR"/>
        </w:rPr>
        <w:t xml:space="preserve"> be </w:t>
      </w:r>
      <w:r w:rsidR="008609FF">
        <w:rPr>
          <w:rFonts w:ascii="Calibri" w:eastAsia="Malgun Gothic" w:hAnsi="Calibri" w:cs="Batang"/>
          <w:lang w:val="en-GB" w:eastAsia="ko-KR"/>
        </w:rPr>
        <w:t xml:space="preserve">discussed and considered </w:t>
      </w:r>
      <w:r w:rsidR="005F0C5F" w:rsidRPr="005F0C5F">
        <w:rPr>
          <w:rFonts w:ascii="Calibri" w:eastAsia="Malgun Gothic" w:hAnsi="Calibri" w:cs="Batang"/>
          <w:lang w:val="en-GB" w:eastAsia="ko-KR"/>
        </w:rPr>
        <w:t xml:space="preserve">as </w:t>
      </w:r>
      <w:r w:rsidR="00867470">
        <w:rPr>
          <w:rFonts w:ascii="Calibri" w:eastAsia="Malgun Gothic" w:hAnsi="Calibri" w:cs="Batang"/>
          <w:lang w:val="en-GB" w:eastAsia="ko-KR"/>
        </w:rPr>
        <w:t xml:space="preserve">part of </w:t>
      </w:r>
      <w:r w:rsidR="005F0C5F" w:rsidRPr="005F0C5F">
        <w:rPr>
          <w:rFonts w:ascii="Calibri" w:eastAsia="Malgun Gothic" w:hAnsi="Calibri" w:cs="Batang"/>
          <w:lang w:val="en-GB" w:eastAsia="ko-KR"/>
        </w:rPr>
        <w:t xml:space="preserve">side control information </w:t>
      </w:r>
      <w:r w:rsidR="00040C3C">
        <w:rPr>
          <w:rFonts w:ascii="Calibri" w:eastAsia="Malgun Gothic" w:hAnsi="Calibri" w:cs="Batang"/>
          <w:lang w:val="en-GB" w:eastAsia="ko-KR"/>
        </w:rPr>
        <w:t xml:space="preserve">following RAN#98-e </w:t>
      </w:r>
      <w:r w:rsidR="00696BAC">
        <w:rPr>
          <w:rFonts w:ascii="Calibri" w:eastAsia="Malgun Gothic" w:hAnsi="Calibri" w:cs="Batang"/>
          <w:lang w:val="en-GB" w:eastAsia="ko-KR"/>
        </w:rPr>
        <w:t xml:space="preserve">allowing companies to further investigate the </w:t>
      </w:r>
      <w:r w:rsidR="001B142C">
        <w:rPr>
          <w:rFonts w:ascii="Calibri" w:eastAsia="Malgun Gothic" w:hAnsi="Calibri" w:cs="Batang"/>
          <w:lang w:val="en-GB" w:eastAsia="ko-KR"/>
        </w:rPr>
        <w:t>benefits</w:t>
      </w:r>
      <w:r w:rsidR="00A94CFA">
        <w:rPr>
          <w:rFonts w:ascii="Calibri" w:eastAsia="Malgun Gothic" w:hAnsi="Calibri" w:cs="Batang"/>
          <w:lang w:val="en-GB" w:eastAsia="ko-KR"/>
        </w:rPr>
        <w:t>, necessity</w:t>
      </w:r>
      <w:r w:rsidR="002F2B0D">
        <w:rPr>
          <w:rFonts w:ascii="Calibri" w:eastAsia="Malgun Gothic" w:hAnsi="Calibri" w:cs="Batang"/>
          <w:lang w:val="en-GB" w:eastAsia="ko-KR"/>
        </w:rPr>
        <w:t>,</w:t>
      </w:r>
      <w:r w:rsidR="001B142C">
        <w:rPr>
          <w:rFonts w:ascii="Calibri" w:eastAsia="Malgun Gothic" w:hAnsi="Calibri" w:cs="Batang"/>
          <w:lang w:val="en-GB" w:eastAsia="ko-KR"/>
        </w:rPr>
        <w:t xml:space="preserve"> </w:t>
      </w:r>
      <w:r w:rsidR="00A94CFA">
        <w:rPr>
          <w:rFonts w:ascii="Calibri" w:eastAsia="Malgun Gothic" w:hAnsi="Calibri" w:cs="Batang"/>
          <w:lang w:val="en-GB" w:eastAsia="ko-KR"/>
        </w:rPr>
        <w:t xml:space="preserve">and details </w:t>
      </w:r>
      <w:r w:rsidR="001B142C">
        <w:rPr>
          <w:rFonts w:ascii="Calibri" w:eastAsia="Malgun Gothic" w:hAnsi="Calibri" w:cs="Batang"/>
          <w:lang w:val="en-GB" w:eastAsia="ko-KR"/>
        </w:rPr>
        <w:t xml:space="preserve">of potential power control </w:t>
      </w:r>
      <w:r w:rsidR="005D5D4C">
        <w:rPr>
          <w:rFonts w:ascii="Calibri" w:eastAsia="Malgun Gothic" w:hAnsi="Calibri" w:cs="Batang"/>
          <w:lang w:val="en-GB" w:eastAsia="ko-KR"/>
        </w:rPr>
        <w:t>information as part of side control.</w:t>
      </w:r>
    </w:p>
    <w:p w14:paraId="307637D9" w14:textId="03EFA4DE" w:rsidR="00A94CFA" w:rsidRDefault="00A94CFA" w:rsidP="00A94CFA">
      <w:pPr>
        <w:rPr>
          <w:rFonts w:ascii="Calibri" w:eastAsia="Malgun Gothic" w:hAnsi="Calibri" w:cs="Batang"/>
          <w:b/>
          <w:bCs/>
          <w:lang w:val="en-GB" w:eastAsia="ko-KR"/>
        </w:rPr>
      </w:pPr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Proposal </w:t>
      </w:r>
      <w:r>
        <w:rPr>
          <w:rFonts w:ascii="Calibri" w:eastAsia="Malgun Gothic" w:hAnsi="Calibri" w:cs="Batang"/>
          <w:b/>
          <w:bCs/>
          <w:lang w:val="en-GB" w:eastAsia="ko-KR"/>
        </w:rPr>
        <w:t>4</w:t>
      </w:r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: </w:t>
      </w:r>
      <w:r>
        <w:rPr>
          <w:rFonts w:ascii="Calibri" w:eastAsia="Malgun Gothic" w:hAnsi="Calibri" w:cs="Batang"/>
          <w:b/>
          <w:bCs/>
          <w:lang w:val="en-GB" w:eastAsia="ko-KR"/>
        </w:rPr>
        <w:t xml:space="preserve">Although we see </w:t>
      </w:r>
      <w:r w:rsidR="00D421B7">
        <w:rPr>
          <w:rFonts w:ascii="Calibri" w:eastAsia="Malgun Gothic" w:hAnsi="Calibri" w:cs="Batang"/>
          <w:b/>
          <w:bCs/>
          <w:lang w:val="en-GB" w:eastAsia="ko-KR"/>
        </w:rPr>
        <w:t xml:space="preserve">the </w:t>
      </w:r>
      <w:r>
        <w:rPr>
          <w:rFonts w:ascii="Calibri" w:eastAsia="Malgun Gothic" w:hAnsi="Calibri" w:cs="Batang"/>
          <w:b/>
          <w:bCs/>
          <w:lang w:val="en-GB" w:eastAsia="ko-KR"/>
        </w:rPr>
        <w:t xml:space="preserve">benefits </w:t>
      </w:r>
      <w:r w:rsidR="00D421B7">
        <w:rPr>
          <w:rFonts w:ascii="Calibri" w:eastAsia="Malgun Gothic" w:hAnsi="Calibri" w:cs="Batang"/>
          <w:b/>
          <w:bCs/>
          <w:lang w:val="en-GB" w:eastAsia="ko-KR"/>
        </w:rPr>
        <w:t>in</w:t>
      </w:r>
      <w:r>
        <w:rPr>
          <w:rFonts w:ascii="Calibri" w:eastAsia="Malgun Gothic" w:hAnsi="Calibri" w:cs="Batang"/>
          <w:b/>
          <w:bCs/>
          <w:lang w:val="en-GB" w:eastAsia="ko-KR"/>
        </w:rPr>
        <w:t xml:space="preserve"> specifying </w:t>
      </w:r>
      <w:r w:rsidR="000E61EB">
        <w:rPr>
          <w:rFonts w:ascii="Calibri" w:eastAsia="Malgun Gothic" w:hAnsi="Calibri" w:cs="Batang"/>
          <w:b/>
          <w:bCs/>
          <w:lang w:val="en-GB" w:eastAsia="ko-KR"/>
        </w:rPr>
        <w:t>semi-static power control information as part of side control</w:t>
      </w:r>
      <w:r w:rsidR="002F2B0D">
        <w:rPr>
          <w:rFonts w:ascii="Calibri" w:eastAsia="Malgun Gothic" w:hAnsi="Calibri" w:cs="Batang"/>
          <w:b/>
          <w:bCs/>
          <w:lang w:val="en-GB" w:eastAsia="ko-KR"/>
        </w:rPr>
        <w:t xml:space="preserve"> </w:t>
      </w:r>
      <w:r w:rsidR="00D43996">
        <w:rPr>
          <w:rFonts w:ascii="Calibri" w:eastAsia="Malgun Gothic" w:hAnsi="Calibri" w:cs="Batang"/>
          <w:b/>
          <w:bCs/>
          <w:lang w:val="en-GB" w:eastAsia="ko-KR"/>
        </w:rPr>
        <w:t xml:space="preserve">such as </w:t>
      </w:r>
      <w:r w:rsidR="002F2B0D" w:rsidRPr="002F2B0D">
        <w:rPr>
          <w:rFonts w:ascii="Calibri" w:eastAsia="Malgun Gothic" w:hAnsi="Calibri" w:cs="Batang"/>
          <w:b/>
          <w:bCs/>
          <w:lang w:val="en-GB" w:eastAsia="ko-KR"/>
        </w:rPr>
        <w:t>efficient interference management and improved energy efficiency</w:t>
      </w:r>
      <w:r w:rsidR="000E61EB">
        <w:rPr>
          <w:rFonts w:ascii="Calibri" w:eastAsia="Malgun Gothic" w:hAnsi="Calibri" w:cs="Batang"/>
          <w:b/>
          <w:bCs/>
          <w:lang w:val="en-GB" w:eastAsia="ko-KR"/>
        </w:rPr>
        <w:t xml:space="preserve">, we propose companies continue to evaluate </w:t>
      </w:r>
      <w:r w:rsidR="003345C7">
        <w:rPr>
          <w:rFonts w:ascii="Calibri" w:eastAsia="Malgun Gothic" w:hAnsi="Calibri" w:cs="Batang"/>
          <w:b/>
          <w:bCs/>
          <w:lang w:val="en-GB" w:eastAsia="ko-KR"/>
        </w:rPr>
        <w:t xml:space="preserve">NCR power control aspects and address </w:t>
      </w:r>
      <w:r w:rsidR="0076700A">
        <w:rPr>
          <w:rFonts w:ascii="Calibri" w:eastAsia="Malgun Gothic" w:hAnsi="Calibri" w:cs="Batang"/>
          <w:b/>
          <w:bCs/>
          <w:lang w:val="en-GB" w:eastAsia="ko-KR"/>
        </w:rPr>
        <w:t>this</w:t>
      </w:r>
      <w:r w:rsidR="003345C7">
        <w:rPr>
          <w:rFonts w:ascii="Calibri" w:eastAsia="Malgun Gothic" w:hAnsi="Calibri" w:cs="Batang"/>
          <w:b/>
          <w:bCs/>
          <w:lang w:val="en-GB" w:eastAsia="ko-KR"/>
        </w:rPr>
        <w:t xml:space="preserve"> following RAN#98.</w:t>
      </w:r>
    </w:p>
    <w:p w14:paraId="2945AA74" w14:textId="77777777" w:rsidR="00A94CFA" w:rsidRPr="00B64A6F" w:rsidRDefault="00A94CFA" w:rsidP="00C75652">
      <w:pPr>
        <w:rPr>
          <w:rFonts w:eastAsia="Malgun Gothic"/>
          <w:lang w:val="en-GB" w:eastAsia="ko-KR"/>
        </w:rPr>
      </w:pPr>
    </w:p>
    <w:bookmarkEnd w:id="21"/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20F1F7C4" w14:textId="4A6B78C3" w:rsidR="00F00551" w:rsidRPr="00B17FD9" w:rsidRDefault="0045180D" w:rsidP="00B17FD9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 xml:space="preserve">contribution, we discussed </w:t>
      </w:r>
      <w:r w:rsidR="00B17FD9">
        <w:rPr>
          <w:rFonts w:ascii="Calibri" w:eastAsia="Malgun Gothic" w:hAnsi="Calibri" w:cs="Batang"/>
          <w:lang w:val="en-GB" w:eastAsia="ko-KR"/>
        </w:rPr>
        <w:t xml:space="preserve">requirements for L1/L2 side </w:t>
      </w:r>
      <w:r w:rsidR="00874BF5">
        <w:rPr>
          <w:rFonts w:ascii="Calibri" w:eastAsia="Malgun Gothic" w:hAnsi="Calibri" w:cs="Batang"/>
          <w:lang w:val="en-GB" w:eastAsia="ko-KR"/>
        </w:rPr>
        <w:t xml:space="preserve">control </w:t>
      </w:r>
      <w:r w:rsidR="00B17FD9">
        <w:rPr>
          <w:rFonts w:ascii="Calibri" w:eastAsia="Malgun Gothic" w:hAnsi="Calibri" w:cs="Batang"/>
          <w:lang w:val="en-GB" w:eastAsia="ko-KR"/>
        </w:rPr>
        <w:t>information and signaling framework for NR network-controlled repeaters</w:t>
      </w:r>
      <w:r w:rsidR="000F6423">
        <w:rPr>
          <w:rFonts w:ascii="Calibri" w:hAnsi="Calibri"/>
        </w:rPr>
        <w:t xml:space="preserve">. We made the following </w:t>
      </w:r>
      <w:r w:rsidR="00D53279">
        <w:rPr>
          <w:rFonts w:ascii="Calibri" w:hAnsi="Calibri"/>
        </w:rPr>
        <w:t>proposals:</w:t>
      </w:r>
    </w:p>
    <w:p w14:paraId="608DAB06" w14:textId="4EE31072" w:rsidR="000F6423" w:rsidRDefault="000F6423" w:rsidP="00172743">
      <w:pPr>
        <w:spacing w:before="0" w:after="0"/>
        <w:rPr>
          <w:rFonts w:ascii="Calibri" w:hAnsi="Calibri"/>
        </w:rPr>
      </w:pPr>
    </w:p>
    <w:p w14:paraId="7B376BD8" w14:textId="77777777" w:rsidR="007353F4" w:rsidRPr="00513BBD" w:rsidRDefault="007353F4" w:rsidP="007353F4">
      <w:pPr>
        <w:rPr>
          <w:rFonts w:ascii="Calibri" w:eastAsia="Malgun Gothic" w:hAnsi="Calibri" w:cs="Batang"/>
          <w:b/>
          <w:bCs/>
          <w:lang w:val="en-GB" w:eastAsia="ko-KR"/>
        </w:rPr>
      </w:pPr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Proposal </w:t>
      </w:r>
      <w:r>
        <w:rPr>
          <w:rFonts w:ascii="Calibri" w:eastAsia="Malgun Gothic" w:hAnsi="Calibri" w:cs="Batang"/>
          <w:b/>
          <w:bCs/>
          <w:lang w:val="en-GB" w:eastAsia="ko-KR"/>
        </w:rPr>
        <w:t>1</w:t>
      </w:r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: </w:t>
      </w:r>
      <w:r>
        <w:rPr>
          <w:rFonts w:ascii="Calibri" w:eastAsia="Malgun Gothic" w:hAnsi="Calibri" w:cs="Batang"/>
          <w:b/>
          <w:bCs/>
          <w:lang w:val="en-GB" w:eastAsia="ko-KR"/>
        </w:rPr>
        <w:t>The gNB should be provided with a beam layout by the NCR-MT via NCR capability signaling which indicates the following information to characterize the spatial relationship between different beams of the NCR-Fwd for the access link:</w:t>
      </w:r>
    </w:p>
    <w:p w14:paraId="183147F0" w14:textId="77777777" w:rsidR="007353F4" w:rsidRPr="007353F4" w:rsidRDefault="007353F4" w:rsidP="007353F4">
      <w:pPr>
        <w:pStyle w:val="ListParagraph"/>
        <w:numPr>
          <w:ilvl w:val="0"/>
          <w:numId w:val="27"/>
        </w:numPr>
        <w:rPr>
          <w:rFonts w:ascii="Calibri" w:eastAsia="Malgun Gothic" w:hAnsi="Calibri" w:cs="Batang"/>
          <w:b/>
          <w:bCs/>
          <w:lang w:val="en-GB" w:eastAsia="ko-KR"/>
        </w:rPr>
      </w:pPr>
      <w:r w:rsidRPr="007353F4">
        <w:rPr>
          <w:rFonts w:ascii="Calibri" w:eastAsia="Malgun Gothic" w:hAnsi="Calibri" w:cs="Batang"/>
          <w:b/>
          <w:bCs/>
          <w:lang w:val="en-GB" w:eastAsia="ko-KR"/>
        </w:rPr>
        <w:t>Beam type (if multiple types are supported)</w:t>
      </w:r>
    </w:p>
    <w:p w14:paraId="35A18F71" w14:textId="77777777" w:rsidR="007353F4" w:rsidRPr="007353F4" w:rsidRDefault="007353F4" w:rsidP="007353F4">
      <w:pPr>
        <w:pStyle w:val="ListParagraph"/>
        <w:numPr>
          <w:ilvl w:val="0"/>
          <w:numId w:val="27"/>
        </w:numPr>
        <w:rPr>
          <w:rFonts w:ascii="Calibri" w:eastAsia="Malgun Gothic" w:hAnsi="Calibri" w:cs="Batang"/>
          <w:b/>
          <w:bCs/>
          <w:lang w:val="en-GB" w:eastAsia="ko-KR"/>
        </w:rPr>
      </w:pPr>
      <w:r w:rsidRPr="007353F4">
        <w:rPr>
          <w:rFonts w:ascii="Calibri" w:eastAsia="Malgun Gothic" w:hAnsi="Calibri" w:cs="Batang"/>
          <w:b/>
          <w:bCs/>
          <w:lang w:val="en-GB" w:eastAsia="ko-KR"/>
        </w:rPr>
        <w:t>Half-power beam width</w:t>
      </w:r>
    </w:p>
    <w:p w14:paraId="12089FF2" w14:textId="77777777" w:rsidR="007353F4" w:rsidRPr="007353F4" w:rsidRDefault="007353F4" w:rsidP="007353F4">
      <w:pPr>
        <w:pStyle w:val="ListParagraph"/>
        <w:numPr>
          <w:ilvl w:val="0"/>
          <w:numId w:val="27"/>
        </w:numPr>
        <w:rPr>
          <w:rFonts w:ascii="Calibri" w:eastAsia="Malgun Gothic" w:hAnsi="Calibri" w:cs="Batang"/>
          <w:b/>
          <w:bCs/>
          <w:lang w:val="en-GB" w:eastAsia="ko-KR"/>
        </w:rPr>
      </w:pPr>
      <w:r w:rsidRPr="007353F4">
        <w:rPr>
          <w:rFonts w:ascii="Calibri" w:eastAsia="Malgun Gothic" w:hAnsi="Calibri" w:cs="Batang"/>
          <w:b/>
          <w:bCs/>
          <w:lang w:val="en-GB" w:eastAsia="ko-KR"/>
        </w:rPr>
        <w:t>Beam direction defined by the boresight of the beam</w:t>
      </w:r>
    </w:p>
    <w:p w14:paraId="6FECBBBC" w14:textId="77777777" w:rsidR="007353F4" w:rsidRPr="007353F4" w:rsidRDefault="007353F4" w:rsidP="007353F4">
      <w:pPr>
        <w:pStyle w:val="ListParagraph"/>
        <w:numPr>
          <w:ilvl w:val="0"/>
          <w:numId w:val="27"/>
        </w:numPr>
        <w:rPr>
          <w:rFonts w:ascii="Calibri" w:eastAsia="Malgun Gothic" w:hAnsi="Calibri" w:cs="Batang"/>
          <w:b/>
          <w:bCs/>
          <w:lang w:val="en-GB" w:eastAsia="ko-KR"/>
        </w:rPr>
      </w:pPr>
      <w:r w:rsidRPr="007353F4">
        <w:rPr>
          <w:rFonts w:ascii="Calibri" w:eastAsia="Malgun Gothic" w:hAnsi="Calibri" w:cs="Batang"/>
          <w:b/>
          <w:bCs/>
          <w:lang w:val="en-GB" w:eastAsia="ko-KR"/>
        </w:rPr>
        <w:t xml:space="preserve">Explicit mapping to a set of beam indices </w:t>
      </w:r>
    </w:p>
    <w:p w14:paraId="1E1F1EC7" w14:textId="77777777" w:rsidR="00CB5312" w:rsidRPr="00CB5312" w:rsidRDefault="00CB5312" w:rsidP="00CB5312">
      <w:pPr>
        <w:rPr>
          <w:rFonts w:ascii="Calibri" w:eastAsia="Malgun Gothic" w:hAnsi="Calibri" w:cs="Batang"/>
          <w:b/>
          <w:bCs/>
          <w:lang w:val="en-GB" w:eastAsia="ko-KR"/>
        </w:rPr>
      </w:pPr>
      <w:r w:rsidRPr="00CB5312">
        <w:rPr>
          <w:rFonts w:ascii="Calibri" w:eastAsia="Malgun Gothic" w:hAnsi="Calibri" w:cs="Batang"/>
          <w:b/>
          <w:bCs/>
          <w:lang w:val="en-GB" w:eastAsia="ko-KR"/>
        </w:rPr>
        <w:t>Proposal 2: If dynamic DL/UL operation is supported by the NCR-MT and/or NCR-Fwd and flexible symbol(s) are configured by the gNB, the NCR-Fwd is expected to be ON during the corresponding DL transmission(s) and/or UL reception(s) if provided with an explicit or implicit ON indication over the same time duration as the flexible symbol(s), otherwise the NCR-Fwd is expected to be OFF or not forwarding over the flexible symbol(s).</w:t>
      </w:r>
    </w:p>
    <w:p w14:paraId="2BA98EE1" w14:textId="77777777" w:rsidR="00B75292" w:rsidRDefault="00B75292" w:rsidP="00B75292">
      <w:pPr>
        <w:rPr>
          <w:rFonts w:ascii="Calibri" w:eastAsia="Malgun Gothic" w:hAnsi="Calibri" w:cs="Batang"/>
          <w:b/>
          <w:bCs/>
          <w:lang w:val="en-GB" w:eastAsia="ko-KR"/>
        </w:rPr>
      </w:pPr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Proposal </w:t>
      </w:r>
      <w:r>
        <w:rPr>
          <w:rFonts w:ascii="Calibri" w:eastAsia="Malgun Gothic" w:hAnsi="Calibri" w:cs="Batang"/>
          <w:b/>
          <w:bCs/>
          <w:lang w:val="en-GB" w:eastAsia="ko-KR"/>
        </w:rPr>
        <w:t>3</w:t>
      </w:r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: </w:t>
      </w:r>
      <w:r>
        <w:rPr>
          <w:rFonts w:ascii="Calibri" w:eastAsia="Malgun Gothic" w:hAnsi="Calibri" w:cs="Batang"/>
          <w:b/>
          <w:bCs/>
          <w:lang w:val="en-GB" w:eastAsia="ko-KR"/>
        </w:rPr>
        <w:t>T</w:t>
      </w:r>
      <w:r w:rsidRPr="00D353AD">
        <w:rPr>
          <w:rFonts w:ascii="Calibri" w:eastAsia="Malgun Gothic" w:hAnsi="Calibri" w:cs="Batang"/>
          <w:b/>
          <w:bCs/>
          <w:lang w:val="en-GB" w:eastAsia="ko-KR"/>
        </w:rPr>
        <w:t>o indicate the ON-OFF information from gNB to NCR for controlling the behaviour of NCR-Fwd</w:t>
      </w:r>
      <w:r>
        <w:rPr>
          <w:rFonts w:ascii="Calibri" w:eastAsia="Malgun Gothic" w:hAnsi="Calibri" w:cs="Batang"/>
          <w:b/>
          <w:bCs/>
          <w:lang w:val="en-GB" w:eastAsia="ko-KR"/>
        </w:rPr>
        <w:t xml:space="preserve"> the following is supported:</w:t>
      </w:r>
    </w:p>
    <w:p w14:paraId="22DB1B71" w14:textId="77777777" w:rsidR="00B75292" w:rsidRDefault="00B75292" w:rsidP="00B75292">
      <w:pPr>
        <w:ind w:left="432"/>
        <w:rPr>
          <w:rFonts w:ascii="Calibri" w:eastAsia="Malgun Gothic" w:hAnsi="Calibri" w:cs="Batang"/>
          <w:b/>
          <w:bCs/>
          <w:lang w:eastAsia="ko-KR"/>
        </w:rPr>
      </w:pPr>
      <w:r w:rsidRPr="00B64A6F">
        <w:rPr>
          <w:rFonts w:ascii="Calibri" w:eastAsia="Malgun Gothic" w:hAnsi="Calibri" w:cs="Batang"/>
          <w:b/>
          <w:bCs/>
          <w:lang w:eastAsia="ko-KR"/>
        </w:rPr>
        <w:t>Indication via the time domain resource indication (i.e., the NCR is assumed to be ON over the indicated time domain resource)</w:t>
      </w:r>
      <w:r>
        <w:rPr>
          <w:rFonts w:ascii="Calibri" w:eastAsia="Malgun Gothic" w:hAnsi="Calibri" w:cs="Batang"/>
          <w:b/>
          <w:bCs/>
          <w:lang w:eastAsia="ko-KR"/>
        </w:rPr>
        <w:t xml:space="preserve"> with an additional explicit dynamic indication with a dedicated field to indicate ON/OFF state which overrides and default behavior or semi-static indications. </w:t>
      </w:r>
    </w:p>
    <w:p w14:paraId="1D5DE803" w14:textId="2B8A0D84" w:rsidR="0076700A" w:rsidRDefault="0076700A" w:rsidP="0076700A">
      <w:pPr>
        <w:rPr>
          <w:rFonts w:ascii="Calibri" w:eastAsia="Malgun Gothic" w:hAnsi="Calibri" w:cs="Batang"/>
          <w:b/>
          <w:bCs/>
          <w:lang w:val="en-GB" w:eastAsia="ko-KR"/>
        </w:rPr>
      </w:pPr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Proposal </w:t>
      </w:r>
      <w:r>
        <w:rPr>
          <w:rFonts w:ascii="Calibri" w:eastAsia="Malgun Gothic" w:hAnsi="Calibri" w:cs="Batang"/>
          <w:b/>
          <w:bCs/>
          <w:lang w:val="en-GB" w:eastAsia="ko-KR"/>
        </w:rPr>
        <w:t>4</w:t>
      </w:r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: </w:t>
      </w:r>
      <w:r>
        <w:rPr>
          <w:rFonts w:ascii="Calibri" w:eastAsia="Malgun Gothic" w:hAnsi="Calibri" w:cs="Batang"/>
          <w:b/>
          <w:bCs/>
          <w:lang w:val="en-GB" w:eastAsia="ko-KR"/>
        </w:rPr>
        <w:t>Although we see the benefits in specifying semi-static power control information as part of side control</w:t>
      </w:r>
      <w:r w:rsidR="000E505E">
        <w:rPr>
          <w:rFonts w:ascii="Calibri" w:eastAsia="Malgun Gothic" w:hAnsi="Calibri" w:cs="Batang"/>
          <w:b/>
          <w:bCs/>
          <w:lang w:val="en-GB" w:eastAsia="ko-KR"/>
        </w:rPr>
        <w:t xml:space="preserve"> such as </w:t>
      </w:r>
      <w:r w:rsidR="000E505E" w:rsidRPr="000E505E">
        <w:rPr>
          <w:rFonts w:ascii="Calibri" w:eastAsia="Malgun Gothic" w:hAnsi="Calibri" w:cs="Batang"/>
          <w:b/>
          <w:bCs/>
          <w:lang w:val="en-GB" w:eastAsia="ko-KR"/>
        </w:rPr>
        <w:t>efficient interference management and improved energy efficiency</w:t>
      </w:r>
      <w:r>
        <w:rPr>
          <w:rFonts w:ascii="Calibri" w:eastAsia="Malgun Gothic" w:hAnsi="Calibri" w:cs="Batang"/>
          <w:b/>
          <w:bCs/>
          <w:lang w:val="en-GB" w:eastAsia="ko-KR"/>
        </w:rPr>
        <w:t>, we propose companies continue to evaluate NCR power control aspects and address this following RAN#98.</w:t>
      </w:r>
    </w:p>
    <w:p w14:paraId="42F6A97E" w14:textId="77777777" w:rsidR="00D5391C" w:rsidRDefault="00D5391C" w:rsidP="00172743">
      <w:pPr>
        <w:spacing w:before="0" w:after="0"/>
        <w:rPr>
          <w:rFonts w:ascii="Calibri" w:hAnsi="Calibri"/>
        </w:rPr>
      </w:pPr>
    </w:p>
    <w:p w14:paraId="0BD12FC0" w14:textId="7C0BF040" w:rsidR="00FE6C15" w:rsidRPr="0076067D" w:rsidRDefault="00FE6C15" w:rsidP="0076067D">
      <w:pPr>
        <w:pStyle w:val="Heading1"/>
      </w:pPr>
      <w:r>
        <w:t>Reference</w:t>
      </w:r>
      <w:r w:rsidR="004F2282">
        <w:t>s</w:t>
      </w:r>
    </w:p>
    <w:p w14:paraId="189E7A4E" w14:textId="32269423" w:rsidR="006F74BB" w:rsidRDefault="006F74BB" w:rsidP="006F74BB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bookmarkStart w:id="22" w:name="OLE_LINK51"/>
      <w:r>
        <w:rPr>
          <w:rFonts w:cs="Times New Roman"/>
          <w:lang w:eastAsia="ko-KR"/>
        </w:rPr>
        <w:t>[1] RP-222673</w:t>
      </w:r>
      <w:r w:rsidR="008D27FF">
        <w:rPr>
          <w:rFonts w:cs="Times New Roman"/>
          <w:lang w:eastAsia="ko-KR"/>
        </w:rPr>
        <w:t>,</w:t>
      </w:r>
      <w:r>
        <w:rPr>
          <w:rFonts w:cs="Times New Roman"/>
          <w:lang w:eastAsia="ko-KR"/>
        </w:rPr>
        <w:t xml:space="preserve"> </w:t>
      </w:r>
      <w:r w:rsidR="004415AF">
        <w:rPr>
          <w:rFonts w:cs="Times New Roman"/>
          <w:lang w:eastAsia="ko-KR"/>
        </w:rPr>
        <w:t>“</w:t>
      </w:r>
      <w:r w:rsidRPr="0078157E">
        <w:rPr>
          <w:rFonts w:cs="Times New Roman"/>
          <w:lang w:eastAsia="ko-KR"/>
        </w:rPr>
        <w:t>New WID on NR network-controlled repeaters</w:t>
      </w:r>
      <w:r w:rsidR="001A3246">
        <w:rPr>
          <w:rFonts w:cs="Times New Roman"/>
          <w:lang w:eastAsia="ko-KR"/>
        </w:rPr>
        <w:t>,</w:t>
      </w:r>
      <w:r w:rsidR="004415AF">
        <w:rPr>
          <w:rFonts w:cs="Times New Roman"/>
          <w:lang w:eastAsia="ko-KR"/>
        </w:rPr>
        <w:t>”</w:t>
      </w:r>
      <w:r w:rsidR="001A3246">
        <w:rPr>
          <w:rFonts w:cs="Times New Roman"/>
          <w:lang w:eastAsia="ko-KR"/>
        </w:rPr>
        <w:t xml:space="preserve"> </w:t>
      </w:r>
      <w:r w:rsidR="001A3246">
        <w:t xml:space="preserve">ZTE, Sanechips, </w:t>
      </w:r>
      <w:r w:rsidR="001A3246" w:rsidRPr="0003358F">
        <w:t>3GPP TSG RAN Meeting #97-e.</w:t>
      </w:r>
    </w:p>
    <w:p w14:paraId="12C6CDCB" w14:textId="45332018" w:rsidR="006F74BB" w:rsidRPr="0098270C" w:rsidRDefault="006F74BB" w:rsidP="006F74BB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[2] </w:t>
      </w:r>
      <w:r w:rsidR="001A252A">
        <w:rPr>
          <w:rFonts w:cs="Times New Roman"/>
          <w:lang w:eastAsia="ko-KR"/>
        </w:rPr>
        <w:t xml:space="preserve">3GPP </w:t>
      </w:r>
      <w:r>
        <w:rPr>
          <w:rFonts w:cs="Times New Roman"/>
          <w:lang w:eastAsia="ko-KR"/>
        </w:rPr>
        <w:t>TR 38.867</w:t>
      </w:r>
      <w:r w:rsidR="00AF1FC6">
        <w:rPr>
          <w:rFonts w:cs="Times New Roman"/>
          <w:lang w:eastAsia="ko-KR"/>
        </w:rPr>
        <w:t>,</w:t>
      </w:r>
      <w:r>
        <w:rPr>
          <w:rFonts w:cs="Times New Roman"/>
          <w:lang w:eastAsia="ko-KR"/>
        </w:rPr>
        <w:t xml:space="preserve"> </w:t>
      </w:r>
      <w:r w:rsidR="00AF1FC6">
        <w:rPr>
          <w:rFonts w:cs="Times New Roman"/>
          <w:lang w:eastAsia="ko-KR"/>
        </w:rPr>
        <w:t>“</w:t>
      </w:r>
      <w:r w:rsidRPr="00762AE5">
        <w:rPr>
          <w:rFonts w:cs="Times New Roman"/>
          <w:lang w:eastAsia="ko-KR"/>
        </w:rPr>
        <w:t>Study on NR network-controlled repeate</w:t>
      </w:r>
      <w:r>
        <w:rPr>
          <w:rFonts w:cs="Times New Roman"/>
          <w:lang w:eastAsia="ko-KR"/>
        </w:rPr>
        <w:t>rs</w:t>
      </w:r>
      <w:bookmarkEnd w:id="22"/>
      <w:r w:rsidR="00B16B4E">
        <w:rPr>
          <w:rFonts w:cs="Times New Roman"/>
          <w:lang w:eastAsia="ko-KR"/>
        </w:rPr>
        <w:t>,</w:t>
      </w:r>
      <w:r w:rsidR="00AF1FC6">
        <w:rPr>
          <w:rFonts w:cs="Times New Roman"/>
          <w:lang w:eastAsia="ko-KR"/>
        </w:rPr>
        <w:t>”</w:t>
      </w:r>
      <w:r w:rsidR="00B16B4E">
        <w:rPr>
          <w:rFonts w:cs="Times New Roman"/>
          <w:lang w:eastAsia="ko-KR"/>
        </w:rPr>
        <w:t xml:space="preserve"> v18.0.0.</w:t>
      </w:r>
    </w:p>
    <w:p w14:paraId="6BCD9F0E" w14:textId="77B93E78" w:rsidR="00FE6C15" w:rsidRPr="0098270C" w:rsidRDefault="00FE6C15" w:rsidP="006F74BB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sectPr w:rsidR="00FE6C15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FC1E21" w14:textId="77777777" w:rsidR="00BE2D88" w:rsidRDefault="00BE2D88" w:rsidP="00424124">
      <w:pPr>
        <w:spacing w:before="0" w:after="0"/>
      </w:pPr>
      <w:r>
        <w:separator/>
      </w:r>
    </w:p>
  </w:endnote>
  <w:endnote w:type="continuationSeparator" w:id="0">
    <w:p w14:paraId="1B859C30" w14:textId="77777777" w:rsidR="00BE2D88" w:rsidRDefault="00BE2D88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5B227E" w14:textId="77777777" w:rsidR="00BE2D88" w:rsidRDefault="00BE2D88" w:rsidP="00424124">
      <w:pPr>
        <w:spacing w:before="0" w:after="0"/>
      </w:pPr>
      <w:r>
        <w:separator/>
      </w:r>
    </w:p>
  </w:footnote>
  <w:footnote w:type="continuationSeparator" w:id="0">
    <w:p w14:paraId="55A6B9A3" w14:textId="77777777" w:rsidR="00BE2D88" w:rsidRDefault="00BE2D88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CB76D76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6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4E5337"/>
    <w:multiLevelType w:val="hybridMultilevel"/>
    <w:tmpl w:val="56FEC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1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4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7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1330A"/>
    <w:multiLevelType w:val="hybridMultilevel"/>
    <w:tmpl w:val="AB8A6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21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2"/>
  </w:num>
  <w:num w:numId="8">
    <w:abstractNumId w:val="10"/>
  </w:num>
  <w:num w:numId="9">
    <w:abstractNumId w:val="23"/>
  </w:num>
  <w:num w:numId="10">
    <w:abstractNumId w:val="4"/>
  </w:num>
  <w:num w:numId="11">
    <w:abstractNumId w:val="13"/>
  </w:num>
  <w:num w:numId="12">
    <w:abstractNumId w:val="5"/>
  </w:num>
  <w:num w:numId="13">
    <w:abstractNumId w:val="24"/>
  </w:num>
  <w:num w:numId="14">
    <w:abstractNumId w:val="16"/>
  </w:num>
  <w:num w:numId="15">
    <w:abstractNumId w:val="18"/>
  </w:num>
  <w:num w:numId="16">
    <w:abstractNumId w:val="9"/>
  </w:num>
  <w:num w:numId="17">
    <w:abstractNumId w:val="17"/>
  </w:num>
  <w:num w:numId="18">
    <w:abstractNumId w:val="25"/>
  </w:num>
  <w:num w:numId="19">
    <w:abstractNumId w:val="7"/>
  </w:num>
  <w:num w:numId="20">
    <w:abstractNumId w:val="11"/>
  </w:num>
  <w:num w:numId="21">
    <w:abstractNumId w:val="19"/>
  </w:num>
  <w:num w:numId="22">
    <w:abstractNumId w:val="22"/>
  </w:num>
  <w:num w:numId="23">
    <w:abstractNumId w:val="26"/>
  </w:num>
  <w:num w:numId="24">
    <w:abstractNumId w:val="3"/>
  </w:num>
  <w:num w:numId="25">
    <w:abstractNumId w:val="2"/>
  </w:num>
  <w:num w:numId="26">
    <w:abstractNumId w:val="20"/>
  </w:num>
  <w:num w:numId="2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485D"/>
    <w:rsid w:val="000149EC"/>
    <w:rsid w:val="000208A6"/>
    <w:rsid w:val="00020F1A"/>
    <w:rsid w:val="00025F1E"/>
    <w:rsid w:val="0003103A"/>
    <w:rsid w:val="00032D47"/>
    <w:rsid w:val="00034E1E"/>
    <w:rsid w:val="00035EAF"/>
    <w:rsid w:val="000361A5"/>
    <w:rsid w:val="00040C3C"/>
    <w:rsid w:val="00042147"/>
    <w:rsid w:val="00043F30"/>
    <w:rsid w:val="00045AED"/>
    <w:rsid w:val="000463E4"/>
    <w:rsid w:val="0004664E"/>
    <w:rsid w:val="00051B4B"/>
    <w:rsid w:val="00051EBB"/>
    <w:rsid w:val="000550BC"/>
    <w:rsid w:val="00057E9B"/>
    <w:rsid w:val="000643FA"/>
    <w:rsid w:val="00071942"/>
    <w:rsid w:val="000724AF"/>
    <w:rsid w:val="000730C9"/>
    <w:rsid w:val="0007575F"/>
    <w:rsid w:val="00075B2C"/>
    <w:rsid w:val="00075FD1"/>
    <w:rsid w:val="00076D90"/>
    <w:rsid w:val="00077712"/>
    <w:rsid w:val="00085800"/>
    <w:rsid w:val="000865E3"/>
    <w:rsid w:val="0008716F"/>
    <w:rsid w:val="00087E5C"/>
    <w:rsid w:val="00090197"/>
    <w:rsid w:val="000917C5"/>
    <w:rsid w:val="00095E02"/>
    <w:rsid w:val="00097DC6"/>
    <w:rsid w:val="000A093A"/>
    <w:rsid w:val="000A36A9"/>
    <w:rsid w:val="000B0720"/>
    <w:rsid w:val="000B58AF"/>
    <w:rsid w:val="000B6D99"/>
    <w:rsid w:val="000B7D32"/>
    <w:rsid w:val="000C1344"/>
    <w:rsid w:val="000C21D0"/>
    <w:rsid w:val="000C42E2"/>
    <w:rsid w:val="000C57B9"/>
    <w:rsid w:val="000D38DC"/>
    <w:rsid w:val="000E0929"/>
    <w:rsid w:val="000E29D8"/>
    <w:rsid w:val="000E505E"/>
    <w:rsid w:val="000E61EB"/>
    <w:rsid w:val="000F6423"/>
    <w:rsid w:val="0010303E"/>
    <w:rsid w:val="00103BB0"/>
    <w:rsid w:val="001116B0"/>
    <w:rsid w:val="0011327D"/>
    <w:rsid w:val="00115E2D"/>
    <w:rsid w:val="00116DA6"/>
    <w:rsid w:val="00126BEC"/>
    <w:rsid w:val="001306D1"/>
    <w:rsid w:val="00133F21"/>
    <w:rsid w:val="00137E15"/>
    <w:rsid w:val="001417A8"/>
    <w:rsid w:val="00145540"/>
    <w:rsid w:val="00153793"/>
    <w:rsid w:val="001547B6"/>
    <w:rsid w:val="00155C3C"/>
    <w:rsid w:val="001629BD"/>
    <w:rsid w:val="00163E5F"/>
    <w:rsid w:val="0016445D"/>
    <w:rsid w:val="00164BF6"/>
    <w:rsid w:val="001677A3"/>
    <w:rsid w:val="00170598"/>
    <w:rsid w:val="00172743"/>
    <w:rsid w:val="00175301"/>
    <w:rsid w:val="00176A86"/>
    <w:rsid w:val="0019217D"/>
    <w:rsid w:val="001A12F1"/>
    <w:rsid w:val="001A252A"/>
    <w:rsid w:val="001A3246"/>
    <w:rsid w:val="001A5A68"/>
    <w:rsid w:val="001A6212"/>
    <w:rsid w:val="001A75E0"/>
    <w:rsid w:val="001B142C"/>
    <w:rsid w:val="001B3739"/>
    <w:rsid w:val="001B731B"/>
    <w:rsid w:val="001C22A7"/>
    <w:rsid w:val="001C2DBE"/>
    <w:rsid w:val="001C4ACE"/>
    <w:rsid w:val="001C699C"/>
    <w:rsid w:val="001D09F6"/>
    <w:rsid w:val="001D1016"/>
    <w:rsid w:val="001E0CE1"/>
    <w:rsid w:val="001E58CC"/>
    <w:rsid w:val="001F2A01"/>
    <w:rsid w:val="001F59ED"/>
    <w:rsid w:val="002111DF"/>
    <w:rsid w:val="00211D37"/>
    <w:rsid w:val="00212204"/>
    <w:rsid w:val="002123A2"/>
    <w:rsid w:val="002141A4"/>
    <w:rsid w:val="00216763"/>
    <w:rsid w:val="00222269"/>
    <w:rsid w:val="00222811"/>
    <w:rsid w:val="00225464"/>
    <w:rsid w:val="00227E55"/>
    <w:rsid w:val="00233D70"/>
    <w:rsid w:val="00235373"/>
    <w:rsid w:val="002416BD"/>
    <w:rsid w:val="00242080"/>
    <w:rsid w:val="00246D61"/>
    <w:rsid w:val="0024786A"/>
    <w:rsid w:val="0025058B"/>
    <w:rsid w:val="00252F50"/>
    <w:rsid w:val="00254292"/>
    <w:rsid w:val="0025565D"/>
    <w:rsid w:val="002608AC"/>
    <w:rsid w:val="00260D45"/>
    <w:rsid w:val="00262116"/>
    <w:rsid w:val="002641FE"/>
    <w:rsid w:val="00264826"/>
    <w:rsid w:val="00265254"/>
    <w:rsid w:val="00267362"/>
    <w:rsid w:val="00271019"/>
    <w:rsid w:val="002725E8"/>
    <w:rsid w:val="00272EC2"/>
    <w:rsid w:val="00273B2A"/>
    <w:rsid w:val="00274677"/>
    <w:rsid w:val="00276785"/>
    <w:rsid w:val="0029147A"/>
    <w:rsid w:val="00297225"/>
    <w:rsid w:val="002A005E"/>
    <w:rsid w:val="002A0270"/>
    <w:rsid w:val="002A189A"/>
    <w:rsid w:val="002A19AF"/>
    <w:rsid w:val="002A50E9"/>
    <w:rsid w:val="002A66E2"/>
    <w:rsid w:val="002B7AEB"/>
    <w:rsid w:val="002C0488"/>
    <w:rsid w:val="002C4097"/>
    <w:rsid w:val="002C594E"/>
    <w:rsid w:val="002C73B7"/>
    <w:rsid w:val="002D3D42"/>
    <w:rsid w:val="002D479B"/>
    <w:rsid w:val="002D4DDC"/>
    <w:rsid w:val="002D6EC9"/>
    <w:rsid w:val="002D787B"/>
    <w:rsid w:val="002E04E4"/>
    <w:rsid w:val="002E188B"/>
    <w:rsid w:val="002E5135"/>
    <w:rsid w:val="002F2B0D"/>
    <w:rsid w:val="002F692C"/>
    <w:rsid w:val="00300BA5"/>
    <w:rsid w:val="00305A7C"/>
    <w:rsid w:val="00315DC4"/>
    <w:rsid w:val="00317020"/>
    <w:rsid w:val="00317054"/>
    <w:rsid w:val="00320A3F"/>
    <w:rsid w:val="00320B4D"/>
    <w:rsid w:val="00326FF6"/>
    <w:rsid w:val="00327A22"/>
    <w:rsid w:val="00332BB8"/>
    <w:rsid w:val="003345C7"/>
    <w:rsid w:val="00334E13"/>
    <w:rsid w:val="0033513A"/>
    <w:rsid w:val="00342130"/>
    <w:rsid w:val="00343561"/>
    <w:rsid w:val="00346605"/>
    <w:rsid w:val="0035318F"/>
    <w:rsid w:val="00354C01"/>
    <w:rsid w:val="00355FF9"/>
    <w:rsid w:val="00361C2F"/>
    <w:rsid w:val="0036306A"/>
    <w:rsid w:val="0037233B"/>
    <w:rsid w:val="003727DB"/>
    <w:rsid w:val="00386642"/>
    <w:rsid w:val="0039078B"/>
    <w:rsid w:val="00390912"/>
    <w:rsid w:val="00390BF8"/>
    <w:rsid w:val="00392176"/>
    <w:rsid w:val="003921D6"/>
    <w:rsid w:val="003A298A"/>
    <w:rsid w:val="003A553B"/>
    <w:rsid w:val="003A566A"/>
    <w:rsid w:val="003B1EC9"/>
    <w:rsid w:val="003B2DFA"/>
    <w:rsid w:val="003B32A7"/>
    <w:rsid w:val="003B4548"/>
    <w:rsid w:val="003C2392"/>
    <w:rsid w:val="003C2E75"/>
    <w:rsid w:val="003D3004"/>
    <w:rsid w:val="003D523C"/>
    <w:rsid w:val="003E1304"/>
    <w:rsid w:val="003E35D4"/>
    <w:rsid w:val="003E3DEA"/>
    <w:rsid w:val="003E4685"/>
    <w:rsid w:val="003E7121"/>
    <w:rsid w:val="003F0396"/>
    <w:rsid w:val="003F0731"/>
    <w:rsid w:val="003F33B4"/>
    <w:rsid w:val="003F36B0"/>
    <w:rsid w:val="003F5CAC"/>
    <w:rsid w:val="0040372C"/>
    <w:rsid w:val="004047F5"/>
    <w:rsid w:val="00405F6D"/>
    <w:rsid w:val="004079C3"/>
    <w:rsid w:val="00414F00"/>
    <w:rsid w:val="00423191"/>
    <w:rsid w:val="00424124"/>
    <w:rsid w:val="00434212"/>
    <w:rsid w:val="0043652D"/>
    <w:rsid w:val="00440F6E"/>
    <w:rsid w:val="004415AF"/>
    <w:rsid w:val="00442A7E"/>
    <w:rsid w:val="00443645"/>
    <w:rsid w:val="00443CD6"/>
    <w:rsid w:val="00445BCF"/>
    <w:rsid w:val="0045180D"/>
    <w:rsid w:val="004552C9"/>
    <w:rsid w:val="004607AC"/>
    <w:rsid w:val="0046127E"/>
    <w:rsid w:val="004627EF"/>
    <w:rsid w:val="00466E46"/>
    <w:rsid w:val="004678E1"/>
    <w:rsid w:val="004729B6"/>
    <w:rsid w:val="00473281"/>
    <w:rsid w:val="00473B68"/>
    <w:rsid w:val="004776CE"/>
    <w:rsid w:val="0047793F"/>
    <w:rsid w:val="00480799"/>
    <w:rsid w:val="00480BBD"/>
    <w:rsid w:val="00481601"/>
    <w:rsid w:val="0048301B"/>
    <w:rsid w:val="004866E3"/>
    <w:rsid w:val="00492168"/>
    <w:rsid w:val="004A20EA"/>
    <w:rsid w:val="004A4FB4"/>
    <w:rsid w:val="004A5ABE"/>
    <w:rsid w:val="004A6424"/>
    <w:rsid w:val="004A69D0"/>
    <w:rsid w:val="004A6A82"/>
    <w:rsid w:val="004B185B"/>
    <w:rsid w:val="004B22E2"/>
    <w:rsid w:val="004B2D38"/>
    <w:rsid w:val="004B6AA8"/>
    <w:rsid w:val="004B6E00"/>
    <w:rsid w:val="004C130E"/>
    <w:rsid w:val="004C186B"/>
    <w:rsid w:val="004C38DD"/>
    <w:rsid w:val="004C3F2E"/>
    <w:rsid w:val="004C4856"/>
    <w:rsid w:val="004C6DC3"/>
    <w:rsid w:val="004C7784"/>
    <w:rsid w:val="004D1CAD"/>
    <w:rsid w:val="004D3C4B"/>
    <w:rsid w:val="004D453B"/>
    <w:rsid w:val="004D780D"/>
    <w:rsid w:val="004D7CF8"/>
    <w:rsid w:val="004E4188"/>
    <w:rsid w:val="004E6BC0"/>
    <w:rsid w:val="004E6D3B"/>
    <w:rsid w:val="004F2282"/>
    <w:rsid w:val="004F3417"/>
    <w:rsid w:val="004F39D2"/>
    <w:rsid w:val="004F46BC"/>
    <w:rsid w:val="004F47DC"/>
    <w:rsid w:val="004F5864"/>
    <w:rsid w:val="005007E9"/>
    <w:rsid w:val="00504C05"/>
    <w:rsid w:val="00504E5F"/>
    <w:rsid w:val="00504E73"/>
    <w:rsid w:val="005055A6"/>
    <w:rsid w:val="00507060"/>
    <w:rsid w:val="0051179B"/>
    <w:rsid w:val="0051361F"/>
    <w:rsid w:val="00513BBD"/>
    <w:rsid w:val="0051424F"/>
    <w:rsid w:val="005174AE"/>
    <w:rsid w:val="00523623"/>
    <w:rsid w:val="005300F0"/>
    <w:rsid w:val="00534DE7"/>
    <w:rsid w:val="005358F1"/>
    <w:rsid w:val="005363F5"/>
    <w:rsid w:val="00544843"/>
    <w:rsid w:val="0054560C"/>
    <w:rsid w:val="00545FD3"/>
    <w:rsid w:val="0055464C"/>
    <w:rsid w:val="00561FB7"/>
    <w:rsid w:val="0056238B"/>
    <w:rsid w:val="00563129"/>
    <w:rsid w:val="00565117"/>
    <w:rsid w:val="00565BDB"/>
    <w:rsid w:val="005666A4"/>
    <w:rsid w:val="0057145F"/>
    <w:rsid w:val="0057434C"/>
    <w:rsid w:val="005758E7"/>
    <w:rsid w:val="005778C8"/>
    <w:rsid w:val="0058120D"/>
    <w:rsid w:val="00586C5F"/>
    <w:rsid w:val="00591529"/>
    <w:rsid w:val="005A0E71"/>
    <w:rsid w:val="005A1A97"/>
    <w:rsid w:val="005A1F9F"/>
    <w:rsid w:val="005B31EF"/>
    <w:rsid w:val="005B47BD"/>
    <w:rsid w:val="005B619B"/>
    <w:rsid w:val="005B6FA6"/>
    <w:rsid w:val="005C0F4C"/>
    <w:rsid w:val="005D2999"/>
    <w:rsid w:val="005D2C51"/>
    <w:rsid w:val="005D5D4C"/>
    <w:rsid w:val="005F0C5F"/>
    <w:rsid w:val="005F1619"/>
    <w:rsid w:val="005F21BF"/>
    <w:rsid w:val="005F613D"/>
    <w:rsid w:val="005F7630"/>
    <w:rsid w:val="005F7F36"/>
    <w:rsid w:val="006010E0"/>
    <w:rsid w:val="00603015"/>
    <w:rsid w:val="0060603E"/>
    <w:rsid w:val="00616A59"/>
    <w:rsid w:val="00620C27"/>
    <w:rsid w:val="0062375C"/>
    <w:rsid w:val="00623B38"/>
    <w:rsid w:val="0063087B"/>
    <w:rsid w:val="00632789"/>
    <w:rsid w:val="00634707"/>
    <w:rsid w:val="00635D05"/>
    <w:rsid w:val="00637EB8"/>
    <w:rsid w:val="00641062"/>
    <w:rsid w:val="006439F2"/>
    <w:rsid w:val="00644034"/>
    <w:rsid w:val="006477B7"/>
    <w:rsid w:val="00652AC8"/>
    <w:rsid w:val="006533C2"/>
    <w:rsid w:val="00655FEB"/>
    <w:rsid w:val="0066157D"/>
    <w:rsid w:val="0067125A"/>
    <w:rsid w:val="00671E30"/>
    <w:rsid w:val="006756FB"/>
    <w:rsid w:val="00676923"/>
    <w:rsid w:val="00677BD0"/>
    <w:rsid w:val="006843E1"/>
    <w:rsid w:val="00685B82"/>
    <w:rsid w:val="00685E11"/>
    <w:rsid w:val="00696BAC"/>
    <w:rsid w:val="0069705B"/>
    <w:rsid w:val="006A0EDC"/>
    <w:rsid w:val="006A18DB"/>
    <w:rsid w:val="006A2D2E"/>
    <w:rsid w:val="006A583A"/>
    <w:rsid w:val="006A7498"/>
    <w:rsid w:val="006B16C1"/>
    <w:rsid w:val="006C1C85"/>
    <w:rsid w:val="006C452E"/>
    <w:rsid w:val="006C48AC"/>
    <w:rsid w:val="006D3115"/>
    <w:rsid w:val="006D6ABC"/>
    <w:rsid w:val="006E1CF4"/>
    <w:rsid w:val="006E3B03"/>
    <w:rsid w:val="006E790B"/>
    <w:rsid w:val="006F055C"/>
    <w:rsid w:val="006F5485"/>
    <w:rsid w:val="006F74BB"/>
    <w:rsid w:val="00702C40"/>
    <w:rsid w:val="00705851"/>
    <w:rsid w:val="00707D20"/>
    <w:rsid w:val="00710F58"/>
    <w:rsid w:val="00714B77"/>
    <w:rsid w:val="00716F18"/>
    <w:rsid w:val="0072146E"/>
    <w:rsid w:val="00721AD7"/>
    <w:rsid w:val="007225EF"/>
    <w:rsid w:val="00722BA6"/>
    <w:rsid w:val="00723DC5"/>
    <w:rsid w:val="00727952"/>
    <w:rsid w:val="007338D6"/>
    <w:rsid w:val="00734839"/>
    <w:rsid w:val="007353F4"/>
    <w:rsid w:val="00737F2A"/>
    <w:rsid w:val="00740B36"/>
    <w:rsid w:val="00741B79"/>
    <w:rsid w:val="00747A6F"/>
    <w:rsid w:val="00751076"/>
    <w:rsid w:val="00752F40"/>
    <w:rsid w:val="007531BC"/>
    <w:rsid w:val="00755E5E"/>
    <w:rsid w:val="0075622F"/>
    <w:rsid w:val="0075696D"/>
    <w:rsid w:val="0076067D"/>
    <w:rsid w:val="0076700A"/>
    <w:rsid w:val="007677CC"/>
    <w:rsid w:val="007704B9"/>
    <w:rsid w:val="00775387"/>
    <w:rsid w:val="00776EF2"/>
    <w:rsid w:val="00782CDC"/>
    <w:rsid w:val="007839F9"/>
    <w:rsid w:val="00784132"/>
    <w:rsid w:val="00786229"/>
    <w:rsid w:val="00791D57"/>
    <w:rsid w:val="00792642"/>
    <w:rsid w:val="00793226"/>
    <w:rsid w:val="00795A55"/>
    <w:rsid w:val="007A2765"/>
    <w:rsid w:val="007B13E5"/>
    <w:rsid w:val="007B2F6B"/>
    <w:rsid w:val="007B473A"/>
    <w:rsid w:val="007B4C06"/>
    <w:rsid w:val="007B5972"/>
    <w:rsid w:val="007D0BA4"/>
    <w:rsid w:val="007D0BB2"/>
    <w:rsid w:val="007D2C48"/>
    <w:rsid w:val="007D672A"/>
    <w:rsid w:val="007E546F"/>
    <w:rsid w:val="007F0AF3"/>
    <w:rsid w:val="007F1928"/>
    <w:rsid w:val="007F3600"/>
    <w:rsid w:val="007F392E"/>
    <w:rsid w:val="00801CD2"/>
    <w:rsid w:val="00807435"/>
    <w:rsid w:val="00811A1B"/>
    <w:rsid w:val="00813DEF"/>
    <w:rsid w:val="00814815"/>
    <w:rsid w:val="00814F68"/>
    <w:rsid w:val="00822C1C"/>
    <w:rsid w:val="00824C74"/>
    <w:rsid w:val="00824DED"/>
    <w:rsid w:val="00826E5A"/>
    <w:rsid w:val="00830875"/>
    <w:rsid w:val="0083513D"/>
    <w:rsid w:val="0083713D"/>
    <w:rsid w:val="008437B2"/>
    <w:rsid w:val="00843F1C"/>
    <w:rsid w:val="00844420"/>
    <w:rsid w:val="00850DCE"/>
    <w:rsid w:val="00853591"/>
    <w:rsid w:val="00853E6F"/>
    <w:rsid w:val="00854FBB"/>
    <w:rsid w:val="008566DA"/>
    <w:rsid w:val="008609FF"/>
    <w:rsid w:val="00861EBA"/>
    <w:rsid w:val="0086373E"/>
    <w:rsid w:val="008661BA"/>
    <w:rsid w:val="008671A6"/>
    <w:rsid w:val="00867470"/>
    <w:rsid w:val="00871CA8"/>
    <w:rsid w:val="00872E80"/>
    <w:rsid w:val="00874586"/>
    <w:rsid w:val="00874BF5"/>
    <w:rsid w:val="00885004"/>
    <w:rsid w:val="00886B7B"/>
    <w:rsid w:val="00887AB4"/>
    <w:rsid w:val="008901F4"/>
    <w:rsid w:val="00894290"/>
    <w:rsid w:val="008A03FB"/>
    <w:rsid w:val="008A25A1"/>
    <w:rsid w:val="008A5D14"/>
    <w:rsid w:val="008B39B6"/>
    <w:rsid w:val="008B4455"/>
    <w:rsid w:val="008C1AFD"/>
    <w:rsid w:val="008C4B67"/>
    <w:rsid w:val="008D1AEF"/>
    <w:rsid w:val="008D27FF"/>
    <w:rsid w:val="008D5DB8"/>
    <w:rsid w:val="008D76F1"/>
    <w:rsid w:val="008E48C2"/>
    <w:rsid w:val="008E526C"/>
    <w:rsid w:val="008F1CFE"/>
    <w:rsid w:val="008F2160"/>
    <w:rsid w:val="00905E86"/>
    <w:rsid w:val="009124E4"/>
    <w:rsid w:val="00917D0F"/>
    <w:rsid w:val="00921CC4"/>
    <w:rsid w:val="00924EA9"/>
    <w:rsid w:val="00925FA2"/>
    <w:rsid w:val="009268AE"/>
    <w:rsid w:val="00926A9C"/>
    <w:rsid w:val="00927803"/>
    <w:rsid w:val="0093139A"/>
    <w:rsid w:val="00944B01"/>
    <w:rsid w:val="009453B3"/>
    <w:rsid w:val="00957CD1"/>
    <w:rsid w:val="00960F96"/>
    <w:rsid w:val="00961DB2"/>
    <w:rsid w:val="00962456"/>
    <w:rsid w:val="009626B8"/>
    <w:rsid w:val="0097292F"/>
    <w:rsid w:val="009741D9"/>
    <w:rsid w:val="0098270C"/>
    <w:rsid w:val="00982CA4"/>
    <w:rsid w:val="00984235"/>
    <w:rsid w:val="00992357"/>
    <w:rsid w:val="00993D92"/>
    <w:rsid w:val="00996BC6"/>
    <w:rsid w:val="009A2180"/>
    <w:rsid w:val="009A4D63"/>
    <w:rsid w:val="009A54FC"/>
    <w:rsid w:val="009A74D1"/>
    <w:rsid w:val="009B08C5"/>
    <w:rsid w:val="009B52C0"/>
    <w:rsid w:val="009B59E7"/>
    <w:rsid w:val="009B5E4F"/>
    <w:rsid w:val="009B5F13"/>
    <w:rsid w:val="009C2167"/>
    <w:rsid w:val="009C3A43"/>
    <w:rsid w:val="009C4915"/>
    <w:rsid w:val="009C7547"/>
    <w:rsid w:val="009D46C1"/>
    <w:rsid w:val="009E0D02"/>
    <w:rsid w:val="009E4418"/>
    <w:rsid w:val="009E5838"/>
    <w:rsid w:val="00A0235E"/>
    <w:rsid w:val="00A024AB"/>
    <w:rsid w:val="00A04526"/>
    <w:rsid w:val="00A049CC"/>
    <w:rsid w:val="00A07EAB"/>
    <w:rsid w:val="00A11704"/>
    <w:rsid w:val="00A11840"/>
    <w:rsid w:val="00A127C5"/>
    <w:rsid w:val="00A12874"/>
    <w:rsid w:val="00A13AA6"/>
    <w:rsid w:val="00A14E1F"/>
    <w:rsid w:val="00A22671"/>
    <w:rsid w:val="00A22C61"/>
    <w:rsid w:val="00A262E4"/>
    <w:rsid w:val="00A26EC3"/>
    <w:rsid w:val="00A300E0"/>
    <w:rsid w:val="00A307FF"/>
    <w:rsid w:val="00A359C7"/>
    <w:rsid w:val="00A35DBF"/>
    <w:rsid w:val="00A41CF3"/>
    <w:rsid w:val="00A4200A"/>
    <w:rsid w:val="00A4674D"/>
    <w:rsid w:val="00A547CE"/>
    <w:rsid w:val="00A55FF3"/>
    <w:rsid w:val="00A603CE"/>
    <w:rsid w:val="00A61DD2"/>
    <w:rsid w:val="00A64CF7"/>
    <w:rsid w:val="00A65FD7"/>
    <w:rsid w:val="00A7535D"/>
    <w:rsid w:val="00A7677A"/>
    <w:rsid w:val="00A80FA1"/>
    <w:rsid w:val="00A81AFF"/>
    <w:rsid w:val="00A821EA"/>
    <w:rsid w:val="00A8721E"/>
    <w:rsid w:val="00A92495"/>
    <w:rsid w:val="00A94CFA"/>
    <w:rsid w:val="00A97411"/>
    <w:rsid w:val="00AA3D02"/>
    <w:rsid w:val="00AA5160"/>
    <w:rsid w:val="00AA5899"/>
    <w:rsid w:val="00AA6DEA"/>
    <w:rsid w:val="00AB38F0"/>
    <w:rsid w:val="00AB75A3"/>
    <w:rsid w:val="00AB7FC6"/>
    <w:rsid w:val="00AC05AE"/>
    <w:rsid w:val="00AC16C1"/>
    <w:rsid w:val="00AD115D"/>
    <w:rsid w:val="00AD16AE"/>
    <w:rsid w:val="00AD6C53"/>
    <w:rsid w:val="00AE72F4"/>
    <w:rsid w:val="00AF0A4B"/>
    <w:rsid w:val="00AF1FC6"/>
    <w:rsid w:val="00AF4BBC"/>
    <w:rsid w:val="00AF637C"/>
    <w:rsid w:val="00AF65DE"/>
    <w:rsid w:val="00B011EA"/>
    <w:rsid w:val="00B013B1"/>
    <w:rsid w:val="00B04278"/>
    <w:rsid w:val="00B07458"/>
    <w:rsid w:val="00B1162C"/>
    <w:rsid w:val="00B12672"/>
    <w:rsid w:val="00B14ADC"/>
    <w:rsid w:val="00B15E6A"/>
    <w:rsid w:val="00B16B4E"/>
    <w:rsid w:val="00B17FD9"/>
    <w:rsid w:val="00B2434D"/>
    <w:rsid w:val="00B24D29"/>
    <w:rsid w:val="00B34716"/>
    <w:rsid w:val="00B3707E"/>
    <w:rsid w:val="00B468FE"/>
    <w:rsid w:val="00B50950"/>
    <w:rsid w:val="00B61A13"/>
    <w:rsid w:val="00B62196"/>
    <w:rsid w:val="00B6232D"/>
    <w:rsid w:val="00B648CA"/>
    <w:rsid w:val="00B64A6F"/>
    <w:rsid w:val="00B66CC1"/>
    <w:rsid w:val="00B7173E"/>
    <w:rsid w:val="00B747E3"/>
    <w:rsid w:val="00B74894"/>
    <w:rsid w:val="00B749FB"/>
    <w:rsid w:val="00B75029"/>
    <w:rsid w:val="00B75292"/>
    <w:rsid w:val="00B75800"/>
    <w:rsid w:val="00B75FF7"/>
    <w:rsid w:val="00B77AA2"/>
    <w:rsid w:val="00B82B83"/>
    <w:rsid w:val="00B8611D"/>
    <w:rsid w:val="00B86A23"/>
    <w:rsid w:val="00B909F7"/>
    <w:rsid w:val="00B96A24"/>
    <w:rsid w:val="00B97E9B"/>
    <w:rsid w:val="00BA677D"/>
    <w:rsid w:val="00BA6FDB"/>
    <w:rsid w:val="00BB02ED"/>
    <w:rsid w:val="00BB0B45"/>
    <w:rsid w:val="00BB3CBF"/>
    <w:rsid w:val="00BB5132"/>
    <w:rsid w:val="00BB606C"/>
    <w:rsid w:val="00BB65B4"/>
    <w:rsid w:val="00BC31F9"/>
    <w:rsid w:val="00BC6F83"/>
    <w:rsid w:val="00BC704C"/>
    <w:rsid w:val="00BD34B4"/>
    <w:rsid w:val="00BD4EE7"/>
    <w:rsid w:val="00BD70CD"/>
    <w:rsid w:val="00BE2D88"/>
    <w:rsid w:val="00BF0E9C"/>
    <w:rsid w:val="00BF1232"/>
    <w:rsid w:val="00BF1F91"/>
    <w:rsid w:val="00BF2C5D"/>
    <w:rsid w:val="00BF31E3"/>
    <w:rsid w:val="00BF5F1C"/>
    <w:rsid w:val="00C0471E"/>
    <w:rsid w:val="00C068A7"/>
    <w:rsid w:val="00C07731"/>
    <w:rsid w:val="00C12C0C"/>
    <w:rsid w:val="00C1623D"/>
    <w:rsid w:val="00C17339"/>
    <w:rsid w:val="00C17E83"/>
    <w:rsid w:val="00C218A9"/>
    <w:rsid w:val="00C2430C"/>
    <w:rsid w:val="00C40BE6"/>
    <w:rsid w:val="00C47EE0"/>
    <w:rsid w:val="00C517CE"/>
    <w:rsid w:val="00C55337"/>
    <w:rsid w:val="00C55AFA"/>
    <w:rsid w:val="00C60B0F"/>
    <w:rsid w:val="00C60F90"/>
    <w:rsid w:val="00C617E4"/>
    <w:rsid w:val="00C61EB9"/>
    <w:rsid w:val="00C63006"/>
    <w:rsid w:val="00C6412E"/>
    <w:rsid w:val="00C6623E"/>
    <w:rsid w:val="00C668AC"/>
    <w:rsid w:val="00C67568"/>
    <w:rsid w:val="00C67B33"/>
    <w:rsid w:val="00C7007B"/>
    <w:rsid w:val="00C71871"/>
    <w:rsid w:val="00C724F1"/>
    <w:rsid w:val="00C735F1"/>
    <w:rsid w:val="00C75652"/>
    <w:rsid w:val="00C913B6"/>
    <w:rsid w:val="00C91C5E"/>
    <w:rsid w:val="00C92E44"/>
    <w:rsid w:val="00CA495D"/>
    <w:rsid w:val="00CA6EA3"/>
    <w:rsid w:val="00CA79DF"/>
    <w:rsid w:val="00CB15A7"/>
    <w:rsid w:val="00CB3398"/>
    <w:rsid w:val="00CB367A"/>
    <w:rsid w:val="00CB37E9"/>
    <w:rsid w:val="00CB424D"/>
    <w:rsid w:val="00CB5312"/>
    <w:rsid w:val="00CB6D97"/>
    <w:rsid w:val="00CC09CE"/>
    <w:rsid w:val="00CC13A4"/>
    <w:rsid w:val="00CC18CA"/>
    <w:rsid w:val="00CC2B1A"/>
    <w:rsid w:val="00CC6426"/>
    <w:rsid w:val="00CD32A6"/>
    <w:rsid w:val="00CD451E"/>
    <w:rsid w:val="00CD7021"/>
    <w:rsid w:val="00CE0C9D"/>
    <w:rsid w:val="00CF29C8"/>
    <w:rsid w:val="00D03510"/>
    <w:rsid w:val="00D11258"/>
    <w:rsid w:val="00D12496"/>
    <w:rsid w:val="00D134C5"/>
    <w:rsid w:val="00D20E5E"/>
    <w:rsid w:val="00D23CDC"/>
    <w:rsid w:val="00D2587F"/>
    <w:rsid w:val="00D26593"/>
    <w:rsid w:val="00D268EB"/>
    <w:rsid w:val="00D26CFF"/>
    <w:rsid w:val="00D274C6"/>
    <w:rsid w:val="00D353AD"/>
    <w:rsid w:val="00D36ABF"/>
    <w:rsid w:val="00D421B7"/>
    <w:rsid w:val="00D43996"/>
    <w:rsid w:val="00D446F1"/>
    <w:rsid w:val="00D4500C"/>
    <w:rsid w:val="00D456D8"/>
    <w:rsid w:val="00D45A0E"/>
    <w:rsid w:val="00D4758C"/>
    <w:rsid w:val="00D50169"/>
    <w:rsid w:val="00D506AA"/>
    <w:rsid w:val="00D522CC"/>
    <w:rsid w:val="00D53279"/>
    <w:rsid w:val="00D5391C"/>
    <w:rsid w:val="00D55FAB"/>
    <w:rsid w:val="00D56444"/>
    <w:rsid w:val="00D56786"/>
    <w:rsid w:val="00D61EAB"/>
    <w:rsid w:val="00D645A9"/>
    <w:rsid w:val="00D668E2"/>
    <w:rsid w:val="00D701D3"/>
    <w:rsid w:val="00D7445F"/>
    <w:rsid w:val="00D9137B"/>
    <w:rsid w:val="00D91E8D"/>
    <w:rsid w:val="00D92B1D"/>
    <w:rsid w:val="00D952E1"/>
    <w:rsid w:val="00DA4D4A"/>
    <w:rsid w:val="00DA749C"/>
    <w:rsid w:val="00DA75DC"/>
    <w:rsid w:val="00DB0323"/>
    <w:rsid w:val="00DB1FA7"/>
    <w:rsid w:val="00DB3BFC"/>
    <w:rsid w:val="00DB5910"/>
    <w:rsid w:val="00DB6F61"/>
    <w:rsid w:val="00DC0E31"/>
    <w:rsid w:val="00DC3C53"/>
    <w:rsid w:val="00DC70D0"/>
    <w:rsid w:val="00DC7DD6"/>
    <w:rsid w:val="00DD2B16"/>
    <w:rsid w:val="00DD3971"/>
    <w:rsid w:val="00DD527A"/>
    <w:rsid w:val="00DE277A"/>
    <w:rsid w:val="00DE2A3F"/>
    <w:rsid w:val="00DF5F45"/>
    <w:rsid w:val="00E03E65"/>
    <w:rsid w:val="00E0456E"/>
    <w:rsid w:val="00E13146"/>
    <w:rsid w:val="00E174FC"/>
    <w:rsid w:val="00E20070"/>
    <w:rsid w:val="00E20994"/>
    <w:rsid w:val="00E22124"/>
    <w:rsid w:val="00E261AD"/>
    <w:rsid w:val="00E324C0"/>
    <w:rsid w:val="00E36399"/>
    <w:rsid w:val="00E40344"/>
    <w:rsid w:val="00E4551C"/>
    <w:rsid w:val="00E56C7E"/>
    <w:rsid w:val="00E576BD"/>
    <w:rsid w:val="00E57BE9"/>
    <w:rsid w:val="00E604D6"/>
    <w:rsid w:val="00E625D9"/>
    <w:rsid w:val="00E67086"/>
    <w:rsid w:val="00E67A6E"/>
    <w:rsid w:val="00E857E4"/>
    <w:rsid w:val="00E85B05"/>
    <w:rsid w:val="00E9139D"/>
    <w:rsid w:val="00E92487"/>
    <w:rsid w:val="00E93590"/>
    <w:rsid w:val="00E94123"/>
    <w:rsid w:val="00E96414"/>
    <w:rsid w:val="00EA219F"/>
    <w:rsid w:val="00EA26E5"/>
    <w:rsid w:val="00EA3B02"/>
    <w:rsid w:val="00EA5A59"/>
    <w:rsid w:val="00EA6213"/>
    <w:rsid w:val="00EB0C39"/>
    <w:rsid w:val="00EB3301"/>
    <w:rsid w:val="00EB7F64"/>
    <w:rsid w:val="00EC030D"/>
    <w:rsid w:val="00EC66AA"/>
    <w:rsid w:val="00EE013E"/>
    <w:rsid w:val="00EE2068"/>
    <w:rsid w:val="00EE4A18"/>
    <w:rsid w:val="00EF1F69"/>
    <w:rsid w:val="00EF2787"/>
    <w:rsid w:val="00EF2B92"/>
    <w:rsid w:val="00EF61D1"/>
    <w:rsid w:val="00F00551"/>
    <w:rsid w:val="00F01D00"/>
    <w:rsid w:val="00F05333"/>
    <w:rsid w:val="00F154D0"/>
    <w:rsid w:val="00F173D1"/>
    <w:rsid w:val="00F24880"/>
    <w:rsid w:val="00F261D6"/>
    <w:rsid w:val="00F26D45"/>
    <w:rsid w:val="00F30C84"/>
    <w:rsid w:val="00F35704"/>
    <w:rsid w:val="00F35911"/>
    <w:rsid w:val="00F35DD7"/>
    <w:rsid w:val="00F37513"/>
    <w:rsid w:val="00F42D43"/>
    <w:rsid w:val="00F44535"/>
    <w:rsid w:val="00F465CD"/>
    <w:rsid w:val="00F57965"/>
    <w:rsid w:val="00F60351"/>
    <w:rsid w:val="00F60640"/>
    <w:rsid w:val="00F6398D"/>
    <w:rsid w:val="00F66A95"/>
    <w:rsid w:val="00F70A83"/>
    <w:rsid w:val="00F70F29"/>
    <w:rsid w:val="00F71810"/>
    <w:rsid w:val="00F72ABE"/>
    <w:rsid w:val="00F72B1B"/>
    <w:rsid w:val="00F75873"/>
    <w:rsid w:val="00F7596C"/>
    <w:rsid w:val="00F765DB"/>
    <w:rsid w:val="00F77BAA"/>
    <w:rsid w:val="00F77E12"/>
    <w:rsid w:val="00F80CBC"/>
    <w:rsid w:val="00F814DE"/>
    <w:rsid w:val="00F81C09"/>
    <w:rsid w:val="00F90045"/>
    <w:rsid w:val="00F925FE"/>
    <w:rsid w:val="00F94461"/>
    <w:rsid w:val="00F94CBC"/>
    <w:rsid w:val="00FA0472"/>
    <w:rsid w:val="00FA28D1"/>
    <w:rsid w:val="00FA41E9"/>
    <w:rsid w:val="00FA6558"/>
    <w:rsid w:val="00FB2665"/>
    <w:rsid w:val="00FC46AF"/>
    <w:rsid w:val="00FC5C45"/>
    <w:rsid w:val="00FD489B"/>
    <w:rsid w:val="00FD530D"/>
    <w:rsid w:val="00FD791D"/>
    <w:rsid w:val="00FE0217"/>
    <w:rsid w:val="00FE4824"/>
    <w:rsid w:val="00FE6C15"/>
    <w:rsid w:val="00FF02B6"/>
    <w:rsid w:val="00FF0F79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312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unhideWhenUsed/>
    <w:qFormat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B1">
    <w:name w:val="B1"/>
    <w:basedOn w:val="Normal"/>
    <w:link w:val="B10"/>
    <w:qFormat/>
    <w:rsid w:val="00861EBA"/>
    <w:pPr>
      <w:spacing w:before="0" w:after="180"/>
      <w:ind w:left="568" w:hanging="284"/>
      <w:jc w:val="left"/>
    </w:pPr>
    <w:rPr>
      <w:rFonts w:ascii="Times New Roman" w:eastAsia="DengXian" w:hAnsi="Times New Roman"/>
      <w:lang w:val="en-GB"/>
    </w:rPr>
  </w:style>
  <w:style w:type="character" w:customStyle="1" w:styleId="B10">
    <w:name w:val="B1 (文字)"/>
    <w:link w:val="B1"/>
    <w:qFormat/>
    <w:rsid w:val="00861EBA"/>
    <w:rPr>
      <w:rFonts w:ascii="Times New Roman" w:eastAsia="DengXian" w:hAnsi="Times New Roman"/>
      <w:lang w:val="en-GB"/>
    </w:rPr>
  </w:style>
  <w:style w:type="character" w:customStyle="1" w:styleId="apple-converted-space">
    <w:name w:val="apple-converted-space"/>
    <w:qFormat/>
    <w:rsid w:val="00861EBA"/>
  </w:style>
  <w:style w:type="character" w:styleId="Strong">
    <w:name w:val="Strong"/>
    <w:uiPriority w:val="22"/>
    <w:qFormat/>
    <w:rsid w:val="00D564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1703</Words>
  <Characters>9709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11390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NOVLAN, THOMAS D</cp:lastModifiedBy>
  <cp:revision>3</cp:revision>
  <cp:lastPrinted>2016-02-23T14:51:00Z</cp:lastPrinted>
  <dcterms:created xsi:type="dcterms:W3CDTF">2022-11-04T16:51:00Z</dcterms:created>
  <dcterms:modified xsi:type="dcterms:W3CDTF">2022-11-04T16:52:00Z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