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777B5388"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1F1C0D">
        <w:rPr>
          <w:rFonts w:eastAsia="SimSun"/>
          <w:sz w:val="22"/>
          <w:lang w:eastAsia="zh-CN"/>
        </w:rPr>
        <w:t>111</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800CED">
        <w:rPr>
          <w:rFonts w:eastAsia="SimSun"/>
          <w:sz w:val="22"/>
          <w:lang w:eastAsia="zh-CN"/>
        </w:rPr>
        <w:t>114</w:t>
      </w:r>
      <w:r w:rsidR="00A22C64">
        <w:rPr>
          <w:rFonts w:eastAsia="SimSun"/>
          <w:sz w:val="22"/>
          <w:lang w:eastAsia="zh-CN"/>
        </w:rPr>
        <w:t>40</w:t>
      </w:r>
    </w:p>
    <w:p w14:paraId="6ED628F2" w14:textId="30BE8423" w:rsidR="003D3369" w:rsidRDefault="001F1C0D" w:rsidP="003D3369">
      <w:pPr>
        <w:pStyle w:val="Header"/>
        <w:tabs>
          <w:tab w:val="left" w:pos="1800"/>
        </w:tabs>
        <w:ind w:left="1800" w:hanging="1800"/>
        <w:rPr>
          <w:rFonts w:eastAsia="SimSun"/>
          <w:sz w:val="22"/>
          <w:lang w:eastAsia="zh-CN"/>
        </w:rPr>
      </w:pPr>
      <w:r>
        <w:rPr>
          <w:rFonts w:eastAsia="SimSun"/>
          <w:sz w:val="22"/>
          <w:lang w:eastAsia="zh-CN"/>
        </w:rPr>
        <w:t>Toulouse</w:t>
      </w:r>
      <w:r w:rsidR="001128F2">
        <w:rPr>
          <w:rFonts w:eastAsia="SimSun"/>
          <w:sz w:val="22"/>
          <w:lang w:eastAsia="zh-CN"/>
        </w:rPr>
        <w:t xml:space="preserve">, </w:t>
      </w:r>
      <w:r>
        <w:rPr>
          <w:rFonts w:eastAsia="SimSun"/>
          <w:sz w:val="22"/>
          <w:lang w:eastAsia="zh-CN"/>
        </w:rPr>
        <w:t>November</w:t>
      </w:r>
      <w:r w:rsidR="00EF129F">
        <w:rPr>
          <w:rFonts w:eastAsia="SimSun"/>
          <w:sz w:val="22"/>
          <w:lang w:eastAsia="zh-CN"/>
        </w:rPr>
        <w:t xml:space="preserve"> </w:t>
      </w:r>
      <w:r w:rsidR="004E232F">
        <w:rPr>
          <w:rFonts w:eastAsia="SimSun"/>
          <w:sz w:val="22"/>
          <w:lang w:eastAsia="zh-CN"/>
        </w:rPr>
        <w:t>1</w:t>
      </w:r>
      <w:r>
        <w:rPr>
          <w:rFonts w:eastAsia="SimSun"/>
          <w:sz w:val="22"/>
          <w:lang w:eastAsia="zh-CN"/>
        </w:rPr>
        <w:t>4</w:t>
      </w:r>
      <w:r w:rsidR="004E232F" w:rsidRPr="004E232F">
        <w:rPr>
          <w:rFonts w:eastAsia="SimSun"/>
          <w:sz w:val="22"/>
          <w:vertAlign w:val="superscript"/>
          <w:lang w:eastAsia="zh-CN"/>
        </w:rPr>
        <w:t>th</w:t>
      </w:r>
      <w:r w:rsidR="004E232F">
        <w:rPr>
          <w:rFonts w:eastAsia="SimSun"/>
          <w:sz w:val="22"/>
          <w:lang w:eastAsia="zh-CN"/>
        </w:rPr>
        <w:t xml:space="preserve"> </w:t>
      </w:r>
      <w:r w:rsidR="003D3369" w:rsidRPr="00240590">
        <w:rPr>
          <w:rFonts w:eastAsia="SimSun"/>
          <w:sz w:val="22"/>
          <w:lang w:eastAsia="zh-CN"/>
        </w:rPr>
        <w:t xml:space="preserve">– </w:t>
      </w:r>
      <w:r w:rsidR="004E232F">
        <w:rPr>
          <w:rFonts w:eastAsia="SimSun"/>
          <w:sz w:val="22"/>
          <w:lang w:eastAsia="zh-CN"/>
        </w:rPr>
        <w:t>1</w:t>
      </w:r>
      <w:r>
        <w:rPr>
          <w:rFonts w:eastAsia="SimSun"/>
          <w:sz w:val="22"/>
          <w:lang w:eastAsia="zh-CN"/>
        </w:rPr>
        <w:t>8</w:t>
      </w:r>
      <w:r w:rsidR="00C20C44" w:rsidRPr="00C20C44">
        <w:rPr>
          <w:rFonts w:eastAsia="SimSun"/>
          <w:sz w:val="22"/>
          <w:vertAlign w:val="superscript"/>
          <w:lang w:eastAsia="zh-CN"/>
        </w:rPr>
        <w:t>th</w:t>
      </w:r>
      <w:r w:rsidR="003D3369" w:rsidRPr="00240590">
        <w:rPr>
          <w:rFonts w:eastAsia="SimSun"/>
          <w:sz w:val="22"/>
          <w:lang w:eastAsia="zh-CN"/>
        </w:rPr>
        <w:t>, 20</w:t>
      </w:r>
      <w:r w:rsidR="003D3369">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04A56A02"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sidRPr="00E64225">
        <w:rPr>
          <w:rFonts w:cs="Arial"/>
          <w:sz w:val="22"/>
        </w:rPr>
        <w:t>Discussions</w:t>
      </w:r>
      <w:r w:rsidR="002360B6" w:rsidRPr="00E64225">
        <w:rPr>
          <w:rFonts w:cs="Arial"/>
          <w:sz w:val="22"/>
        </w:rPr>
        <w:t xml:space="preserve"> </w:t>
      </w:r>
      <w:r w:rsidR="00C20C44" w:rsidRPr="00E64225">
        <w:rPr>
          <w:rFonts w:cs="Arial"/>
          <w:sz w:val="22"/>
        </w:rPr>
        <w:t xml:space="preserve">on </w:t>
      </w:r>
      <w:r w:rsidR="00E64225" w:rsidRPr="00E64225">
        <w:rPr>
          <w:rFonts w:eastAsiaTheme="minorEastAsia" w:cs="Arial"/>
          <w:sz w:val="22"/>
          <w:lang w:eastAsia="zh-CN"/>
        </w:rPr>
        <w:t>Inter-cell beam management enhancement</w:t>
      </w:r>
    </w:p>
    <w:p w14:paraId="4D626EB5" w14:textId="2748E7FA"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E64225">
        <w:rPr>
          <w:rFonts w:eastAsia="SimSun"/>
          <w:sz w:val="22"/>
          <w:lang w:eastAsia="zh-CN"/>
        </w:rPr>
        <w:t>1</w:t>
      </w:r>
      <w:r w:rsidR="00016230">
        <w:rPr>
          <w:rFonts w:eastAsia="SimSun"/>
          <w:sz w:val="22"/>
          <w:lang w:eastAsia="zh-CN"/>
        </w:rPr>
        <w:t>2</w:t>
      </w:r>
      <w:r w:rsidR="00165271">
        <w:rPr>
          <w:rFonts w:eastAsia="SimSun"/>
          <w:sz w:val="22"/>
          <w:lang w:eastAsia="zh-CN"/>
        </w:rPr>
        <w:t>.</w:t>
      </w:r>
      <w:r w:rsidR="00B225C0">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91D385D" w14:textId="724200F1" w:rsidR="009976A6" w:rsidRDefault="009976A6" w:rsidP="009976A6">
      <w:pPr>
        <w:pStyle w:val="00Text"/>
      </w:pPr>
      <w:bookmarkStart w:id="0" w:name="_Hlk30969022"/>
      <w:r>
        <w:t xml:space="preserve">The Rel-18 WID on further NR mobility enhancement </w:t>
      </w:r>
      <w:r>
        <w:rPr>
          <w:rFonts w:hint="eastAsia"/>
        </w:rPr>
        <w:t>[</w:t>
      </w:r>
      <w:r>
        <w:t>1] includ</w:t>
      </w:r>
      <w:r w:rsidR="00067B06">
        <w:t>es</w:t>
      </w:r>
      <w:r>
        <w:t xml:space="preserve"> the following RAN1-centric objectives</w:t>
      </w:r>
      <w:bookmarkEnd w:id="0"/>
      <w:r>
        <w:t>:</w:t>
      </w:r>
    </w:p>
    <w:tbl>
      <w:tblPr>
        <w:tblStyle w:val="TableGrid"/>
        <w:tblW w:w="0" w:type="auto"/>
        <w:tblLook w:val="04A0" w:firstRow="1" w:lastRow="0" w:firstColumn="1" w:lastColumn="0" w:noHBand="0" w:noVBand="1"/>
      </w:tblPr>
      <w:tblGrid>
        <w:gridCol w:w="9288"/>
      </w:tblGrid>
      <w:tr w:rsidR="009976A6" w14:paraId="4A0B8773" w14:textId="77777777" w:rsidTr="003C3093">
        <w:tc>
          <w:tcPr>
            <w:tcW w:w="9288" w:type="dxa"/>
          </w:tcPr>
          <w:p w14:paraId="51083AA6" w14:textId="77777777" w:rsidR="009976A6" w:rsidRDefault="009976A6">
            <w:pPr>
              <w:numPr>
                <w:ilvl w:val="0"/>
                <w:numId w:val="5"/>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43BEDD9A" w14:textId="77777777" w:rsidR="009976A6" w:rsidRPr="00F736B4" w:rsidRDefault="009976A6">
            <w:pPr>
              <w:numPr>
                <w:ilvl w:val="1"/>
                <w:numId w:val="5"/>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C483AFC" w14:textId="77777777" w:rsidR="009976A6" w:rsidRDefault="009976A6">
            <w:pPr>
              <w:numPr>
                <w:ilvl w:val="0"/>
                <w:numId w:val="5"/>
              </w:numPr>
              <w:overflowPunct w:val="0"/>
              <w:autoSpaceDE w:val="0"/>
              <w:autoSpaceDN w:val="0"/>
              <w:adjustRightInd w:val="0"/>
              <w:jc w:val="both"/>
              <w:textAlignment w:val="baseline"/>
            </w:pPr>
            <w:r w:rsidRPr="00651822">
              <w:rPr>
                <w:bCs/>
              </w:rPr>
              <w:t>Timing Advance management [RAN1, RAN2]</w:t>
            </w:r>
          </w:p>
        </w:tc>
      </w:tr>
    </w:tbl>
    <w:p w14:paraId="544A9901" w14:textId="0A3A6DD4" w:rsidR="0024376A" w:rsidRDefault="007F5A04" w:rsidP="00497AFF">
      <w:pPr>
        <w:pStyle w:val="00Text"/>
      </w:pPr>
      <w:r>
        <w:t>In this contribution, we will discuss the potential enhancements of beam measurement/reporting and beam indication that are necessary for supporting L1/L2-based inter-cell mobility.</w:t>
      </w:r>
    </w:p>
    <w:p w14:paraId="624F367C" w14:textId="02687B20" w:rsidR="00856939" w:rsidRDefault="00FC446B" w:rsidP="00413219">
      <w:pPr>
        <w:pStyle w:val="01"/>
        <w:numPr>
          <w:ilvl w:val="0"/>
          <w:numId w:val="1"/>
        </w:numPr>
        <w:ind w:left="562" w:hanging="562"/>
      </w:pPr>
      <w:r>
        <w:t>Enhancements</w:t>
      </w:r>
      <w:r w:rsidR="00082F92">
        <w:t xml:space="preserve"> on Beam Measurement/Reporting</w:t>
      </w:r>
    </w:p>
    <w:p w14:paraId="3B0E9F44" w14:textId="44D70154" w:rsidR="00227760" w:rsidRDefault="00227760" w:rsidP="007D4E67">
      <w:pPr>
        <w:pStyle w:val="00Text"/>
      </w:pPr>
      <w:r>
        <w:t>Regarding the beam measurement and reporting for L1/L2 mobility, the following pertinent agreements were made:</w:t>
      </w:r>
    </w:p>
    <w:tbl>
      <w:tblPr>
        <w:tblStyle w:val="TableGrid"/>
        <w:tblW w:w="0" w:type="auto"/>
        <w:tblLook w:val="04A0" w:firstRow="1" w:lastRow="0" w:firstColumn="1" w:lastColumn="0" w:noHBand="0" w:noVBand="1"/>
      </w:tblPr>
      <w:tblGrid>
        <w:gridCol w:w="9288"/>
      </w:tblGrid>
      <w:tr w:rsidR="00227760" w14:paraId="4B31CE2E" w14:textId="77777777" w:rsidTr="00227760">
        <w:tc>
          <w:tcPr>
            <w:tcW w:w="9288" w:type="dxa"/>
          </w:tcPr>
          <w:p w14:paraId="63EDA14D" w14:textId="77777777" w:rsidR="00227760" w:rsidRPr="00C22702" w:rsidRDefault="00227760" w:rsidP="00227760">
            <w:pPr>
              <w:rPr>
                <w:highlight w:val="green"/>
                <w:lang w:eastAsia="x-none"/>
              </w:rPr>
            </w:pPr>
            <w:r w:rsidRPr="00C22702">
              <w:rPr>
                <w:highlight w:val="green"/>
                <w:lang w:eastAsia="x-none"/>
              </w:rPr>
              <w:t>Agreement</w:t>
            </w:r>
          </w:p>
          <w:p w14:paraId="2E51E742" w14:textId="77777777" w:rsidR="00227760" w:rsidRPr="00ED7625" w:rsidRDefault="00227760">
            <w:pPr>
              <w:pStyle w:val="ListParagraph"/>
              <w:numPr>
                <w:ilvl w:val="0"/>
                <w:numId w:val="9"/>
              </w:numPr>
              <w:snapToGrid w:val="0"/>
              <w:spacing w:after="100" w:afterAutospacing="1"/>
              <w:contextualSpacing w:val="0"/>
              <w:jc w:val="both"/>
            </w:pPr>
            <w:r w:rsidRPr="00ED7625">
              <w:rPr>
                <w:rFonts w:hint="eastAsia"/>
              </w:rPr>
              <w:t>F</w:t>
            </w:r>
            <w:r w:rsidRPr="00ED7625">
              <w:t>or Rel-18 L1/L2 mobility, L1 intra-frequency measurement for candidate cell is supported</w:t>
            </w:r>
          </w:p>
          <w:p w14:paraId="1721921D" w14:textId="77777777" w:rsidR="00227760" w:rsidRPr="00ED7625" w:rsidRDefault="00227760">
            <w:pPr>
              <w:pStyle w:val="ListParagraph"/>
              <w:numPr>
                <w:ilvl w:val="1"/>
                <w:numId w:val="9"/>
              </w:numPr>
              <w:snapToGrid w:val="0"/>
              <w:spacing w:after="100" w:afterAutospacing="1"/>
              <w:contextualSpacing w:val="0"/>
              <w:jc w:val="both"/>
            </w:pPr>
            <w:r w:rsidRPr="00ED7625">
              <w:t>At least the following aspects are for RAN1 further study:</w:t>
            </w:r>
          </w:p>
          <w:p w14:paraId="7DEF32C8" w14:textId="77777777" w:rsidR="00227760" w:rsidRPr="00193499" w:rsidRDefault="00227760">
            <w:pPr>
              <w:pStyle w:val="ListParagraph"/>
              <w:numPr>
                <w:ilvl w:val="2"/>
                <w:numId w:val="9"/>
              </w:numPr>
              <w:snapToGrid w:val="0"/>
              <w:spacing w:after="100" w:afterAutospacing="1"/>
              <w:contextualSpacing w:val="0"/>
              <w:jc w:val="both"/>
              <w:rPr>
                <w:b/>
                <w:bCs/>
              </w:rPr>
            </w:pPr>
            <w:r w:rsidRPr="00193499">
              <w:t xml:space="preserve">RAN1 assumes </w:t>
            </w:r>
            <w:r>
              <w:t xml:space="preserve">Rel-17 </w:t>
            </w:r>
            <w:r w:rsidRPr="00835795">
              <w:t>ICBM CSI</w:t>
            </w:r>
            <w:r w:rsidRPr="00193499">
              <w:t xml:space="preserve"> </w:t>
            </w:r>
            <w:r>
              <w:t>measurement as starting point</w:t>
            </w:r>
            <w:r w:rsidRPr="00193499">
              <w:t>.</w:t>
            </w:r>
          </w:p>
          <w:p w14:paraId="5C7C1119" w14:textId="77777777" w:rsidR="00227760" w:rsidRPr="00193499" w:rsidRDefault="00227760">
            <w:pPr>
              <w:pStyle w:val="ListParagraph"/>
              <w:numPr>
                <w:ilvl w:val="2"/>
                <w:numId w:val="9"/>
              </w:numPr>
              <w:snapToGrid w:val="0"/>
              <w:spacing w:after="100" w:afterAutospacing="1"/>
              <w:contextualSpacing w:val="0"/>
              <w:jc w:val="both"/>
              <w:rPr>
                <w:strike/>
              </w:rPr>
            </w:pPr>
            <w:r w:rsidRPr="00ED7625">
              <w:t>Whether and how to apply relaxation for the restrictions imposed on the Rel-17 intra-frequency L1 non-serving cell measurement defined in 9.13.2 of TS38.133, where RAN4 impact is foreseen, e.g.</w:t>
            </w:r>
          </w:p>
          <w:p w14:paraId="1EA8E265" w14:textId="77777777" w:rsidR="00227760" w:rsidRPr="00ED7625" w:rsidRDefault="00227760">
            <w:pPr>
              <w:pStyle w:val="ListParagraph"/>
              <w:numPr>
                <w:ilvl w:val="3"/>
                <w:numId w:val="9"/>
              </w:numPr>
              <w:snapToGrid w:val="0"/>
              <w:spacing w:after="100" w:afterAutospacing="1"/>
              <w:contextualSpacing w:val="0"/>
              <w:jc w:val="both"/>
            </w:pPr>
            <w:r w:rsidRPr="00ED7625">
              <w:t>SFN offset alignment compared with serving cell</w:t>
            </w:r>
          </w:p>
          <w:p w14:paraId="50020F43" w14:textId="77777777" w:rsidR="00227760" w:rsidRPr="00ED7625" w:rsidRDefault="00227760">
            <w:pPr>
              <w:pStyle w:val="ListParagraph"/>
              <w:numPr>
                <w:ilvl w:val="3"/>
                <w:numId w:val="9"/>
              </w:numPr>
              <w:snapToGrid w:val="0"/>
              <w:spacing w:after="100" w:afterAutospacing="1"/>
              <w:contextualSpacing w:val="0"/>
              <w:jc w:val="both"/>
            </w:pPr>
            <w:r w:rsidRPr="00ED7625">
              <w:rPr>
                <w:rFonts w:hint="eastAsia"/>
              </w:rPr>
              <w:t>B</w:t>
            </w:r>
            <w:r w:rsidRPr="00ED7625">
              <w:t xml:space="preserve">WP setting, </w:t>
            </w:r>
            <w:proofErr w:type="gramStart"/>
            <w:r w:rsidRPr="00ED7625">
              <w:t>i.e.</w:t>
            </w:r>
            <w:proofErr w:type="gramEnd"/>
            <w:r w:rsidRPr="00ED7625">
              <w:t xml:space="preserve"> non-serving cell SSB should be covered by serving cell active BWP</w:t>
            </w:r>
          </w:p>
          <w:p w14:paraId="7A105D9F" w14:textId="77777777" w:rsidR="00227760" w:rsidRPr="00193499" w:rsidRDefault="00227760">
            <w:pPr>
              <w:pStyle w:val="ListParagraph"/>
              <w:numPr>
                <w:ilvl w:val="3"/>
                <w:numId w:val="9"/>
              </w:numPr>
              <w:snapToGrid w:val="0"/>
              <w:spacing w:after="100" w:afterAutospacing="1"/>
              <w:contextualSpacing w:val="0"/>
              <w:jc w:val="both"/>
            </w:pPr>
            <w:r w:rsidRPr="00193499">
              <w:t>Introduction of symbol level gap or SMTC for larger Rx timing difference (</w:t>
            </w:r>
            <w:proofErr w:type="gramStart"/>
            <w:r w:rsidRPr="00193499">
              <w:t>i.e.</w:t>
            </w:r>
            <w:proofErr w:type="gramEnd"/>
            <w:r w:rsidRPr="00193499">
              <w:t xml:space="preserve"> larger than CP length) </w:t>
            </w:r>
          </w:p>
          <w:p w14:paraId="60E48642" w14:textId="77777777" w:rsidR="00227760" w:rsidRPr="00193499" w:rsidRDefault="00227760">
            <w:pPr>
              <w:pStyle w:val="ListParagraph"/>
              <w:numPr>
                <w:ilvl w:val="2"/>
                <w:numId w:val="9"/>
              </w:numPr>
              <w:snapToGrid w:val="0"/>
              <w:spacing w:after="100" w:afterAutospacing="1"/>
              <w:contextualSpacing w:val="0"/>
              <w:jc w:val="both"/>
            </w:pPr>
            <w:r w:rsidRPr="00193499">
              <w:rPr>
                <w:rFonts w:hint="eastAsia"/>
              </w:rPr>
              <w:t>C</w:t>
            </w:r>
            <w:r w:rsidRPr="00193499">
              <w:t>ommonality with intra-frequency L3 measurement</w:t>
            </w:r>
          </w:p>
          <w:p w14:paraId="39FF8897" w14:textId="77777777" w:rsidR="00227760" w:rsidRPr="003024D8" w:rsidRDefault="00227760">
            <w:pPr>
              <w:pStyle w:val="ListParagraph"/>
              <w:numPr>
                <w:ilvl w:val="2"/>
                <w:numId w:val="9"/>
              </w:numPr>
              <w:snapToGrid w:val="0"/>
              <w:spacing w:after="100" w:afterAutospacing="1"/>
              <w:contextualSpacing w:val="0"/>
              <w:jc w:val="both"/>
            </w:pPr>
            <w:r w:rsidRPr="00ED7625">
              <w:t>Commonality with L1 inter-frequency measurement for measurement configuration</w:t>
            </w:r>
          </w:p>
          <w:p w14:paraId="1B27D0F0" w14:textId="77777777" w:rsidR="00227760" w:rsidRPr="00ED7625" w:rsidRDefault="00227760">
            <w:pPr>
              <w:pStyle w:val="ListParagraph"/>
              <w:numPr>
                <w:ilvl w:val="0"/>
                <w:numId w:val="9"/>
              </w:numPr>
              <w:snapToGrid w:val="0"/>
              <w:spacing w:after="100" w:afterAutospacing="1"/>
              <w:contextualSpacing w:val="0"/>
              <w:jc w:val="both"/>
              <w:rPr>
                <w:b/>
                <w:bCs/>
              </w:rPr>
            </w:pPr>
            <w:r w:rsidRPr="00ED7625">
              <w:rPr>
                <w:rFonts w:hint="eastAsia"/>
              </w:rPr>
              <w:t>S</w:t>
            </w:r>
            <w:r w:rsidRPr="00ED7625">
              <w:t xml:space="preserve">end an LS to RAN4 (CC RAN2) </w:t>
            </w:r>
          </w:p>
          <w:p w14:paraId="618756FC" w14:textId="77777777" w:rsidR="00227760" w:rsidRPr="009B1FEF" w:rsidRDefault="00227760">
            <w:pPr>
              <w:pStyle w:val="ListParagraph"/>
              <w:numPr>
                <w:ilvl w:val="1"/>
                <w:numId w:val="9"/>
              </w:numPr>
              <w:snapToGrid w:val="0"/>
              <w:spacing w:after="100" w:afterAutospacing="1"/>
              <w:contextualSpacing w:val="0"/>
              <w:jc w:val="both"/>
              <w:rPr>
                <w:b/>
                <w:bCs/>
              </w:rPr>
            </w:pPr>
            <w:r w:rsidRPr="00ED7625">
              <w:rPr>
                <w:rFonts w:hint="eastAsia"/>
              </w:rPr>
              <w:t>R</w:t>
            </w:r>
            <w:r w:rsidRPr="00ED7625">
              <w:t xml:space="preserve">AN1 to ask RAN4 if the restriction on </w:t>
            </w:r>
            <w:r>
              <w:t xml:space="preserve">e.g., </w:t>
            </w:r>
            <w:r w:rsidRPr="001E11E3">
              <w:t xml:space="preserve">SFN offset alignment, BWP setting and Rx timing difference, etc, </w:t>
            </w:r>
            <w:r w:rsidRPr="00ED7625">
              <w:t xml:space="preserve">described in 9.13.2 of TS38.133 for intra-frequency L1 non-serving measurement can be relaxed or not. </w:t>
            </w:r>
          </w:p>
          <w:p w14:paraId="2020EC8C" w14:textId="77777777" w:rsidR="00227760" w:rsidRPr="00193499" w:rsidRDefault="00227760">
            <w:pPr>
              <w:pStyle w:val="ListParagraph"/>
              <w:numPr>
                <w:ilvl w:val="1"/>
                <w:numId w:val="9"/>
              </w:numPr>
              <w:snapToGrid w:val="0"/>
              <w:spacing w:after="100" w:afterAutospacing="1"/>
              <w:contextualSpacing w:val="0"/>
              <w:jc w:val="both"/>
              <w:rPr>
                <w:b/>
                <w:bCs/>
              </w:rPr>
            </w:pPr>
            <w:r w:rsidRPr="00193499">
              <w:t xml:space="preserve">RAN1 assumes </w:t>
            </w:r>
            <w:r>
              <w:t xml:space="preserve">Rel-17 </w:t>
            </w:r>
            <w:r w:rsidRPr="00835795">
              <w:t>ICBM CSI</w:t>
            </w:r>
            <w:r w:rsidRPr="00193499">
              <w:t xml:space="preserve"> </w:t>
            </w:r>
            <w:r>
              <w:t>measurement as starting point</w:t>
            </w:r>
            <w:r w:rsidRPr="00193499">
              <w:t>.</w:t>
            </w:r>
          </w:p>
          <w:p w14:paraId="2A1F7906" w14:textId="77777777" w:rsidR="00227760" w:rsidRPr="003141C2" w:rsidRDefault="00227760" w:rsidP="00227760">
            <w:pPr>
              <w:rPr>
                <w:highlight w:val="green"/>
              </w:rPr>
            </w:pPr>
            <w:r w:rsidRPr="003141C2">
              <w:rPr>
                <w:highlight w:val="green"/>
                <w:lang w:eastAsia="x-none"/>
              </w:rPr>
              <w:t>Agreement</w:t>
            </w:r>
          </w:p>
          <w:p w14:paraId="14729D92" w14:textId="77777777" w:rsidR="00227760" w:rsidRDefault="00227760">
            <w:pPr>
              <w:pStyle w:val="ListParagraph"/>
              <w:numPr>
                <w:ilvl w:val="0"/>
                <w:numId w:val="10"/>
              </w:numPr>
              <w:snapToGrid w:val="0"/>
              <w:spacing w:after="100" w:afterAutospacing="1"/>
              <w:contextualSpacing w:val="0"/>
              <w:jc w:val="both"/>
            </w:pPr>
            <w:r w:rsidRPr="00757DCF">
              <w:t>For Rel-18 L1/L2 mobility</w:t>
            </w:r>
            <w:r>
              <w:t>,</w:t>
            </w:r>
          </w:p>
          <w:p w14:paraId="0C139AF9" w14:textId="77777777" w:rsidR="00227760" w:rsidRDefault="00227760">
            <w:pPr>
              <w:pStyle w:val="ListParagraph"/>
              <w:numPr>
                <w:ilvl w:val="1"/>
                <w:numId w:val="10"/>
              </w:numPr>
              <w:snapToGrid w:val="0"/>
              <w:spacing w:after="100" w:afterAutospacing="1"/>
              <w:contextualSpacing w:val="0"/>
              <w:jc w:val="both"/>
            </w:pPr>
            <w:r w:rsidRPr="00757DCF">
              <w:t>SSB is supported for</w:t>
            </w:r>
            <w:r>
              <w:t xml:space="preserve"> L1</w:t>
            </w:r>
            <w:r w:rsidRPr="00757DCF">
              <w:t xml:space="preserve"> intra-frequency</w:t>
            </w:r>
            <w:r w:rsidRPr="004328B4">
              <w:rPr>
                <w:color w:val="FF0000"/>
              </w:rPr>
              <w:t xml:space="preserve"> </w:t>
            </w:r>
            <w:r w:rsidRPr="00757DCF">
              <w:t>measurement</w:t>
            </w:r>
          </w:p>
          <w:p w14:paraId="672CE705" w14:textId="77777777" w:rsidR="00227760" w:rsidRPr="00FD34F9" w:rsidRDefault="00227760">
            <w:pPr>
              <w:pStyle w:val="ListParagraph"/>
              <w:numPr>
                <w:ilvl w:val="1"/>
                <w:numId w:val="10"/>
              </w:numPr>
              <w:snapToGrid w:val="0"/>
              <w:spacing w:after="100" w:afterAutospacing="1"/>
              <w:contextualSpacing w:val="0"/>
              <w:jc w:val="both"/>
            </w:pPr>
            <w:r w:rsidRPr="00FD34F9">
              <w:t>SSB is supported for L1 inter-frequency measurement if inter-frequency L1 measurements are supported</w:t>
            </w:r>
          </w:p>
          <w:p w14:paraId="40A79D3B" w14:textId="77777777" w:rsidR="00227760" w:rsidRPr="00FD34F9" w:rsidRDefault="00227760">
            <w:pPr>
              <w:pStyle w:val="ListParagraph"/>
              <w:numPr>
                <w:ilvl w:val="0"/>
                <w:numId w:val="10"/>
              </w:numPr>
              <w:snapToGrid w:val="0"/>
              <w:spacing w:after="100" w:afterAutospacing="1"/>
              <w:contextualSpacing w:val="0"/>
              <w:jc w:val="both"/>
            </w:pPr>
            <w:r w:rsidRPr="00FD34F9">
              <w:t>Further study the following L1 measurement RS for candidate cell</w:t>
            </w:r>
          </w:p>
          <w:p w14:paraId="7947C848" w14:textId="77777777" w:rsidR="00227760" w:rsidRDefault="00227760">
            <w:pPr>
              <w:pStyle w:val="ListParagraph"/>
              <w:numPr>
                <w:ilvl w:val="1"/>
                <w:numId w:val="10"/>
              </w:numPr>
              <w:snapToGrid w:val="0"/>
              <w:spacing w:after="100" w:afterAutospacing="1"/>
              <w:contextualSpacing w:val="0"/>
              <w:jc w:val="both"/>
              <w:rPr>
                <w:color w:val="000000"/>
              </w:rPr>
            </w:pPr>
            <w:r>
              <w:rPr>
                <w:rFonts w:hint="eastAsia"/>
                <w:color w:val="000000"/>
              </w:rPr>
              <w:t>C</w:t>
            </w:r>
            <w:r>
              <w:rPr>
                <w:color w:val="000000"/>
              </w:rPr>
              <w:t xml:space="preserve">SI-RS for tracking, beam management, CSI and mobility, CSI-IM, which is for L1 intra-frequency and L1 inter-frequency (if supported) </w:t>
            </w:r>
          </w:p>
          <w:p w14:paraId="51DB68EB" w14:textId="77777777" w:rsidR="00227760" w:rsidRDefault="00227760" w:rsidP="00227760">
            <w:pPr>
              <w:rPr>
                <w:rFonts w:eastAsia="DengXian"/>
                <w:lang w:eastAsia="zh-CN"/>
              </w:rPr>
            </w:pPr>
          </w:p>
          <w:p w14:paraId="6954D576" w14:textId="77777777" w:rsidR="00227760" w:rsidRPr="00413469" w:rsidRDefault="00227760" w:rsidP="00227760">
            <w:pPr>
              <w:rPr>
                <w:highlight w:val="green"/>
                <w:lang w:eastAsia="x-none"/>
              </w:rPr>
            </w:pPr>
            <w:r w:rsidRPr="00413469">
              <w:rPr>
                <w:highlight w:val="green"/>
                <w:lang w:eastAsia="x-none"/>
              </w:rPr>
              <w:t>Agreement</w:t>
            </w:r>
          </w:p>
          <w:p w14:paraId="768E04C1" w14:textId="77777777" w:rsidR="00227760" w:rsidRPr="009A2B8C" w:rsidRDefault="00227760">
            <w:pPr>
              <w:pStyle w:val="ListParagraph"/>
              <w:numPr>
                <w:ilvl w:val="0"/>
                <w:numId w:val="10"/>
              </w:numPr>
              <w:snapToGrid w:val="0"/>
              <w:spacing w:after="100" w:afterAutospacing="1"/>
              <w:contextualSpacing w:val="0"/>
              <w:jc w:val="both"/>
            </w:pPr>
            <w:r w:rsidRPr="009A2B8C">
              <w:t xml:space="preserve">For candidate cell measurement for Rel-18 L1/L2 mobility, </w:t>
            </w:r>
          </w:p>
          <w:p w14:paraId="415947BD" w14:textId="77777777" w:rsidR="00227760" w:rsidRDefault="00227760">
            <w:pPr>
              <w:pStyle w:val="ListParagraph"/>
              <w:numPr>
                <w:ilvl w:val="1"/>
                <w:numId w:val="10"/>
              </w:numPr>
              <w:snapToGrid w:val="0"/>
              <w:spacing w:after="100" w:afterAutospacing="1"/>
              <w:contextualSpacing w:val="0"/>
              <w:jc w:val="both"/>
            </w:pPr>
            <w:r w:rsidRPr="009A2B8C">
              <w:t>L1-RSRP is supported for</w:t>
            </w:r>
            <w:r>
              <w:t xml:space="preserve"> </w:t>
            </w:r>
            <w:r w:rsidRPr="009A2B8C">
              <w:t>intra-frequency candidate cell measurement.</w:t>
            </w:r>
          </w:p>
          <w:p w14:paraId="1921FF98" w14:textId="77777777" w:rsidR="00227760" w:rsidRPr="009A2B8C" w:rsidRDefault="00227760">
            <w:pPr>
              <w:pStyle w:val="ListParagraph"/>
              <w:numPr>
                <w:ilvl w:val="1"/>
                <w:numId w:val="10"/>
              </w:numPr>
              <w:snapToGrid w:val="0"/>
              <w:spacing w:after="100" w:afterAutospacing="1"/>
              <w:contextualSpacing w:val="0"/>
              <w:jc w:val="both"/>
            </w:pPr>
            <w:r w:rsidRPr="009A2B8C">
              <w:lastRenderedPageBreak/>
              <w:t>Further study the following measurement quantities for candidate cell measurement</w:t>
            </w:r>
          </w:p>
          <w:p w14:paraId="48572D34" w14:textId="77777777" w:rsidR="00227760" w:rsidRPr="00413469" w:rsidRDefault="00227760">
            <w:pPr>
              <w:pStyle w:val="ListParagraph"/>
              <w:numPr>
                <w:ilvl w:val="2"/>
                <w:numId w:val="10"/>
              </w:numPr>
              <w:snapToGrid w:val="0"/>
              <w:spacing w:after="100" w:afterAutospacing="1"/>
              <w:contextualSpacing w:val="0"/>
              <w:jc w:val="both"/>
            </w:pPr>
            <w:r w:rsidRPr="00413469">
              <w:t>L1-RSRP for inter-frequency (if supported)</w:t>
            </w:r>
          </w:p>
          <w:p w14:paraId="536E0C91" w14:textId="77777777" w:rsidR="00227760" w:rsidRPr="009A2B8C" w:rsidRDefault="00227760">
            <w:pPr>
              <w:pStyle w:val="ListParagraph"/>
              <w:numPr>
                <w:ilvl w:val="2"/>
                <w:numId w:val="10"/>
              </w:numPr>
              <w:snapToGrid w:val="0"/>
              <w:spacing w:after="100" w:afterAutospacing="1"/>
              <w:contextualSpacing w:val="0"/>
              <w:jc w:val="both"/>
            </w:pPr>
            <w:r w:rsidRPr="009A2B8C">
              <w:t>L1-SINR for intra-frequency and inter-frequency (if supported)</w:t>
            </w:r>
          </w:p>
          <w:p w14:paraId="3FE4E700" w14:textId="77777777" w:rsidR="00227760" w:rsidRDefault="00227760">
            <w:pPr>
              <w:pStyle w:val="ListParagraph"/>
              <w:numPr>
                <w:ilvl w:val="0"/>
                <w:numId w:val="10"/>
              </w:numPr>
              <w:snapToGrid w:val="0"/>
              <w:spacing w:after="100" w:afterAutospacing="1"/>
              <w:contextualSpacing w:val="0"/>
              <w:jc w:val="both"/>
              <w:rPr>
                <w:color w:val="000000"/>
              </w:rPr>
            </w:pPr>
            <w:r>
              <w:rPr>
                <w:color w:val="000000"/>
              </w:rPr>
              <w:t>FFS: to assess the use case and the benefit of UL measurement instead of/in addition to DL L1 measurement, which includes:</w:t>
            </w:r>
          </w:p>
          <w:p w14:paraId="4B7EBA0D" w14:textId="77777777" w:rsidR="00227760" w:rsidRDefault="00227760">
            <w:pPr>
              <w:pStyle w:val="ListParagraph"/>
              <w:numPr>
                <w:ilvl w:val="1"/>
                <w:numId w:val="10"/>
              </w:numPr>
              <w:snapToGrid w:val="0"/>
              <w:spacing w:after="100" w:afterAutospacing="1"/>
              <w:contextualSpacing w:val="0"/>
              <w:jc w:val="both"/>
              <w:rPr>
                <w:color w:val="000000"/>
              </w:rPr>
            </w:pPr>
            <w:r>
              <w:rPr>
                <w:rFonts w:hint="eastAsia"/>
                <w:color w:val="000000"/>
              </w:rPr>
              <w:t>H</w:t>
            </w:r>
            <w:r>
              <w:rPr>
                <w:color w:val="000000"/>
              </w:rPr>
              <w:t xml:space="preserve">ow the UL measurement result is used, </w:t>
            </w:r>
            <w:proofErr w:type="gramStart"/>
            <w:r>
              <w:rPr>
                <w:color w:val="000000"/>
              </w:rPr>
              <w:t>e.g.</w:t>
            </w:r>
            <w:proofErr w:type="gramEnd"/>
            <w:r>
              <w:rPr>
                <w:color w:val="000000"/>
              </w:rPr>
              <w:t xml:space="preserve"> handover decision</w:t>
            </w:r>
          </w:p>
          <w:p w14:paraId="57B45066" w14:textId="77777777" w:rsidR="00227760" w:rsidRDefault="00227760">
            <w:pPr>
              <w:pStyle w:val="ListParagraph"/>
              <w:numPr>
                <w:ilvl w:val="1"/>
                <w:numId w:val="10"/>
              </w:numPr>
              <w:snapToGrid w:val="0"/>
              <w:spacing w:after="100" w:afterAutospacing="1"/>
              <w:contextualSpacing w:val="0"/>
              <w:jc w:val="both"/>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3B7D446D" w14:textId="77777777" w:rsidR="00227760" w:rsidRDefault="00227760">
            <w:pPr>
              <w:pStyle w:val="ListParagraph"/>
              <w:numPr>
                <w:ilvl w:val="1"/>
                <w:numId w:val="10"/>
              </w:numPr>
              <w:snapToGrid w:val="0"/>
              <w:spacing w:after="100" w:afterAutospacing="1"/>
              <w:contextualSpacing w:val="0"/>
              <w:jc w:val="both"/>
              <w:rPr>
                <w:color w:val="000000"/>
              </w:rPr>
            </w:pPr>
            <w:r>
              <w:rPr>
                <w:color w:val="000000"/>
              </w:rPr>
              <w:t xml:space="preserve">Spec impact including other WGs, </w:t>
            </w:r>
            <w:proofErr w:type="gramStart"/>
            <w:r>
              <w:rPr>
                <w:color w:val="000000"/>
              </w:rPr>
              <w:t>e.g.</w:t>
            </w:r>
            <w:proofErr w:type="gramEnd"/>
            <w:r>
              <w:rPr>
                <w:color w:val="000000"/>
              </w:rPr>
              <w:t xml:space="preserve"> definition of gNB measurement, interface to transfer RS configuration or measurement results</w:t>
            </w:r>
          </w:p>
          <w:p w14:paraId="4FB6EE9A" w14:textId="77777777" w:rsidR="00227760" w:rsidRDefault="00227760">
            <w:pPr>
              <w:pStyle w:val="ListParagraph"/>
              <w:numPr>
                <w:ilvl w:val="1"/>
                <w:numId w:val="10"/>
              </w:numPr>
              <w:snapToGrid w:val="0"/>
              <w:spacing w:after="100" w:afterAutospacing="1"/>
              <w:contextualSpacing w:val="0"/>
              <w:jc w:val="both"/>
              <w:rPr>
                <w:color w:val="000000"/>
              </w:rPr>
            </w:pPr>
            <w:r>
              <w:rPr>
                <w:rFonts w:hint="eastAsia"/>
                <w:color w:val="000000"/>
              </w:rPr>
              <w:t>N</w:t>
            </w:r>
            <w:r>
              <w:rPr>
                <w:color w:val="000000"/>
              </w:rPr>
              <w:t>ote: The next discussion will take place based on companies’ contribution in future meeting.</w:t>
            </w:r>
          </w:p>
          <w:p w14:paraId="2257CBC2" w14:textId="77777777" w:rsidR="00227760" w:rsidRPr="001D213B" w:rsidRDefault="00227760" w:rsidP="00227760">
            <w:pPr>
              <w:rPr>
                <w:rFonts w:eastAsia="DengXian"/>
                <w:highlight w:val="green"/>
                <w:lang w:eastAsia="zh-CN"/>
              </w:rPr>
            </w:pPr>
            <w:r w:rsidRPr="001D213B">
              <w:rPr>
                <w:rFonts w:eastAsia="DengXian"/>
                <w:highlight w:val="green"/>
                <w:lang w:eastAsia="zh-CN"/>
              </w:rPr>
              <w:t>Agreement</w:t>
            </w:r>
          </w:p>
          <w:p w14:paraId="1D308D7F" w14:textId="77777777" w:rsidR="00227760" w:rsidRPr="003E0785" w:rsidRDefault="00227760">
            <w:pPr>
              <w:pStyle w:val="ListParagraph"/>
              <w:numPr>
                <w:ilvl w:val="0"/>
                <w:numId w:val="9"/>
              </w:numPr>
              <w:snapToGrid w:val="0"/>
              <w:spacing w:after="100" w:afterAutospacing="1"/>
              <w:contextualSpacing w:val="0"/>
              <w:jc w:val="both"/>
            </w:pPr>
            <w:r>
              <w:rPr>
                <w:rFonts w:hint="eastAsia"/>
              </w:rPr>
              <w:t xml:space="preserve">For Rel-18 L1/L2 mobility, further study the potential RAN1 spec impact of L1 inter-frequency measurement </w:t>
            </w:r>
          </w:p>
          <w:p w14:paraId="6AB10791" w14:textId="77777777" w:rsidR="00227760" w:rsidRPr="004D597C" w:rsidRDefault="00227760">
            <w:pPr>
              <w:pStyle w:val="ListParagraph"/>
              <w:numPr>
                <w:ilvl w:val="1"/>
                <w:numId w:val="9"/>
              </w:numPr>
              <w:snapToGrid w:val="0"/>
              <w:spacing w:after="100" w:afterAutospacing="1"/>
              <w:contextualSpacing w:val="0"/>
              <w:jc w:val="both"/>
            </w:pPr>
            <w:r>
              <w:rPr>
                <w:rFonts w:hint="eastAsia"/>
              </w:rPr>
              <w:t xml:space="preserve">The definition and scenarios of L1 inter-frequency measurement is determined by RAN4, and RAN1 assumes </w:t>
            </w:r>
            <w:r w:rsidRPr="001D213B">
              <w:t>at least</w:t>
            </w:r>
            <w:r>
              <w:t xml:space="preserve"> </w:t>
            </w:r>
            <w:r>
              <w:rPr>
                <w:rFonts w:hint="eastAsia"/>
              </w:rPr>
              <w:t>the following until receiving their confirmation</w:t>
            </w:r>
          </w:p>
          <w:p w14:paraId="247C3BFD" w14:textId="77777777" w:rsidR="00227760" w:rsidRPr="004D597C" w:rsidRDefault="00227760">
            <w:pPr>
              <w:pStyle w:val="ListParagraph"/>
              <w:numPr>
                <w:ilvl w:val="2"/>
                <w:numId w:val="9"/>
              </w:numPr>
              <w:snapToGrid w:val="0"/>
              <w:spacing w:after="100" w:afterAutospacing="1"/>
              <w:contextualSpacing w:val="0"/>
              <w:jc w:val="both"/>
            </w:pPr>
            <w:r>
              <w:t>T</w:t>
            </w:r>
            <w:r>
              <w:rPr>
                <w:rFonts w:hint="eastAsia"/>
                <w:lang w:eastAsia="zh-CN"/>
              </w:rPr>
              <w:t>he scenarios not included in intra-frequency are regarded as inter-frequency</w:t>
            </w:r>
            <w:r>
              <w:rPr>
                <w:rFonts w:hint="eastAsia"/>
              </w:rPr>
              <w:t>, which includes</w:t>
            </w:r>
            <w:r>
              <w:t xml:space="preserve"> </w:t>
            </w:r>
            <w:r w:rsidRPr="001F1E3E">
              <w:t>at least</w:t>
            </w:r>
            <w:r>
              <w:rPr>
                <w:rFonts w:hint="eastAsia"/>
              </w:rPr>
              <w:t xml:space="preserve"> the following scenarios:</w:t>
            </w:r>
          </w:p>
          <w:p w14:paraId="4D162B7B" w14:textId="77777777" w:rsidR="00227760" w:rsidRPr="004D597C" w:rsidRDefault="00227760">
            <w:pPr>
              <w:pStyle w:val="ListParagraph"/>
              <w:numPr>
                <w:ilvl w:val="3"/>
                <w:numId w:val="9"/>
              </w:numPr>
              <w:snapToGrid w:val="0"/>
              <w:spacing w:after="100" w:afterAutospacing="1"/>
              <w:contextualSpacing w:val="0"/>
              <w:jc w:val="both"/>
            </w:pPr>
            <w:r>
              <w:t>T</w:t>
            </w:r>
            <w:r>
              <w:rPr>
                <w:rFonts w:hint="eastAsia"/>
              </w:rPr>
              <w:t>he frequency of the measured RS not covered by any of the active BWPs of SpCell and Scells configured for a UE, but covered by some of the configured BWPs of SpCell and Scells configured for a UE.</w:t>
            </w:r>
          </w:p>
          <w:p w14:paraId="668EEDF7" w14:textId="77777777" w:rsidR="00227760" w:rsidRPr="004D597C" w:rsidRDefault="00227760">
            <w:pPr>
              <w:pStyle w:val="ListParagraph"/>
              <w:numPr>
                <w:ilvl w:val="3"/>
                <w:numId w:val="9"/>
              </w:numPr>
              <w:snapToGrid w:val="0"/>
              <w:spacing w:after="100" w:afterAutospacing="1"/>
              <w:contextualSpacing w:val="0"/>
              <w:jc w:val="both"/>
            </w:pPr>
            <w:r>
              <w:t>T</w:t>
            </w:r>
            <w:r>
              <w:rPr>
                <w:rFonts w:hint="eastAsia"/>
              </w:rPr>
              <w:t>he frequency of the measured RS not covered by any of the configured BWPs of SpCell and Scells configured for a UE</w:t>
            </w:r>
          </w:p>
          <w:p w14:paraId="144C063C" w14:textId="77777777" w:rsidR="00227760" w:rsidRPr="004D597C" w:rsidRDefault="00227760">
            <w:pPr>
              <w:pStyle w:val="ListParagraph"/>
              <w:numPr>
                <w:ilvl w:val="1"/>
                <w:numId w:val="9"/>
              </w:numPr>
              <w:snapToGrid w:val="0"/>
              <w:spacing w:after="100" w:afterAutospacing="1"/>
              <w:contextualSpacing w:val="0"/>
              <w:jc w:val="both"/>
            </w:pPr>
            <w:r>
              <w:rPr>
                <w:rFonts w:hint="eastAsia"/>
              </w:rPr>
              <w:t>At least the following aspect is studied:</w:t>
            </w:r>
          </w:p>
          <w:p w14:paraId="4397D5AF" w14:textId="77777777" w:rsidR="00227760" w:rsidRPr="004D597C" w:rsidRDefault="00227760">
            <w:pPr>
              <w:pStyle w:val="ListParagraph"/>
              <w:numPr>
                <w:ilvl w:val="2"/>
                <w:numId w:val="9"/>
              </w:numPr>
              <w:snapToGrid w:val="0"/>
              <w:spacing w:after="100" w:afterAutospacing="1"/>
              <w:contextualSpacing w:val="0"/>
              <w:jc w:val="both"/>
            </w:pPr>
            <w:r>
              <w:rPr>
                <w:rFonts w:hint="eastAsia"/>
              </w:rPr>
              <w:t>Commonality with L1 intra-frequency measurement for measurement configuration</w:t>
            </w:r>
          </w:p>
          <w:p w14:paraId="32ED62A8" w14:textId="77777777" w:rsidR="00227760" w:rsidRPr="004D597C" w:rsidRDefault="00227760">
            <w:pPr>
              <w:pStyle w:val="ListParagraph"/>
              <w:numPr>
                <w:ilvl w:val="0"/>
                <w:numId w:val="9"/>
              </w:numPr>
              <w:snapToGrid w:val="0"/>
              <w:spacing w:after="100" w:afterAutospacing="1"/>
              <w:contextualSpacing w:val="0"/>
              <w:jc w:val="both"/>
            </w:pPr>
            <w:r>
              <w:rPr>
                <w:rFonts w:hint="eastAsia"/>
              </w:rPr>
              <w:t xml:space="preserve">Send an LS to RAN4 (CC RAN2) </w:t>
            </w:r>
          </w:p>
          <w:p w14:paraId="57EE96D4" w14:textId="77777777" w:rsidR="00227760" w:rsidRPr="004D597C" w:rsidRDefault="00227760">
            <w:pPr>
              <w:pStyle w:val="ListParagraph"/>
              <w:numPr>
                <w:ilvl w:val="1"/>
                <w:numId w:val="9"/>
              </w:numPr>
              <w:snapToGrid w:val="0"/>
              <w:spacing w:after="100" w:afterAutospacing="1"/>
              <w:contextualSpacing w:val="0"/>
              <w:jc w:val="both"/>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771D2E03" w14:textId="77777777" w:rsidR="00227760" w:rsidRPr="000B76C0" w:rsidRDefault="00227760">
            <w:pPr>
              <w:pStyle w:val="ListParagraph"/>
              <w:numPr>
                <w:ilvl w:val="2"/>
                <w:numId w:val="9"/>
              </w:numPr>
              <w:snapToGrid w:val="0"/>
              <w:spacing w:after="100" w:afterAutospacing="1"/>
              <w:contextualSpacing w:val="0"/>
              <w:jc w:val="both"/>
            </w:pPr>
            <w:r>
              <w:rPr>
                <w:lang w:eastAsia="zh-CN"/>
              </w:rPr>
              <w:t>T</w:t>
            </w:r>
            <w:r>
              <w:rPr>
                <w:rFonts w:hint="eastAsia"/>
                <w:lang w:eastAsia="zh-CN"/>
              </w:rPr>
              <w:t>he frequency of the measured RS not covered by any of the active BWPs of SpCell and Scells configured for a UE, but covered by some of the configured BWPs of SpCell and Scells configured for a UE.</w:t>
            </w:r>
          </w:p>
          <w:p w14:paraId="357B119E" w14:textId="77777777" w:rsidR="00227760" w:rsidRPr="000B76C0" w:rsidRDefault="00227760">
            <w:pPr>
              <w:pStyle w:val="ListParagraph"/>
              <w:numPr>
                <w:ilvl w:val="2"/>
                <w:numId w:val="9"/>
              </w:numPr>
              <w:snapToGrid w:val="0"/>
              <w:spacing w:after="100" w:afterAutospacing="1"/>
              <w:contextualSpacing w:val="0"/>
              <w:jc w:val="both"/>
            </w:pPr>
            <w:r>
              <w:rPr>
                <w:lang w:eastAsia="zh-CN"/>
              </w:rPr>
              <w:t>T</w:t>
            </w:r>
            <w:r>
              <w:rPr>
                <w:rFonts w:hint="eastAsia"/>
                <w:lang w:eastAsia="zh-CN"/>
              </w:rPr>
              <w:t xml:space="preserve">he frequency of the measured RS not covered by any of the configured BWPs of SpCell and Scells configured for a UE </w:t>
            </w:r>
          </w:p>
          <w:p w14:paraId="4D5F9CDC" w14:textId="77777777" w:rsidR="00227760" w:rsidRPr="000B76C0" w:rsidRDefault="00227760">
            <w:pPr>
              <w:pStyle w:val="ListParagraph"/>
              <w:numPr>
                <w:ilvl w:val="1"/>
                <w:numId w:val="9"/>
              </w:numPr>
              <w:snapToGrid w:val="0"/>
              <w:spacing w:after="100" w:afterAutospacing="1"/>
              <w:contextualSpacing w:val="0"/>
              <w:jc w:val="both"/>
            </w:pPr>
            <w:r>
              <w:rPr>
                <w:rFonts w:hint="eastAsia"/>
              </w:rPr>
              <w:t>It is RAN1 understanding that the introduction of measurement gap and SMTC for L1 inter-frequency measurement, if any, is expected to be a RAN4 issue</w:t>
            </w:r>
          </w:p>
          <w:p w14:paraId="6811822E" w14:textId="77777777" w:rsidR="00227760" w:rsidRPr="000B76C0" w:rsidRDefault="00227760">
            <w:pPr>
              <w:pStyle w:val="ListParagraph"/>
              <w:numPr>
                <w:ilvl w:val="1"/>
                <w:numId w:val="9"/>
              </w:numPr>
              <w:snapToGrid w:val="0"/>
              <w:spacing w:after="100" w:afterAutospacing="1"/>
              <w:contextualSpacing w:val="0"/>
              <w:jc w:val="both"/>
            </w:pPr>
            <w:r>
              <w:rPr>
                <w:rFonts w:hint="eastAsia"/>
              </w:rPr>
              <w:t>Note: this content is included in the LS agreed for intra-frequency L1 measurement</w:t>
            </w:r>
          </w:p>
          <w:p w14:paraId="02BC0BE3" w14:textId="77777777" w:rsidR="00227760" w:rsidRPr="00940785" w:rsidRDefault="00227760" w:rsidP="00227760">
            <w:pPr>
              <w:rPr>
                <w:rFonts w:eastAsia="DengXian"/>
                <w:highlight w:val="green"/>
                <w:lang w:eastAsia="zh-CN"/>
              </w:rPr>
            </w:pPr>
            <w:r w:rsidRPr="00940785">
              <w:rPr>
                <w:rFonts w:eastAsia="DengXian"/>
                <w:highlight w:val="green"/>
                <w:lang w:eastAsia="zh-CN"/>
              </w:rPr>
              <w:t>Agreement</w:t>
            </w:r>
          </w:p>
          <w:p w14:paraId="0320A988" w14:textId="77777777" w:rsidR="00227760" w:rsidRPr="00CF3E25" w:rsidRDefault="00227760">
            <w:pPr>
              <w:pStyle w:val="ListParagraph"/>
              <w:numPr>
                <w:ilvl w:val="0"/>
                <w:numId w:val="9"/>
              </w:numPr>
              <w:snapToGrid w:val="0"/>
              <w:spacing w:after="100" w:afterAutospacing="1"/>
              <w:contextualSpacing w:val="0"/>
              <w:jc w:val="both"/>
            </w:pPr>
            <w:r>
              <w:rPr>
                <w:rFonts w:hint="eastAsia"/>
              </w:rPr>
              <w:t>For L1 measurement report for Rel-18 L1/L2 mobility, further study the following mechanisms:</w:t>
            </w:r>
          </w:p>
          <w:p w14:paraId="17148461" w14:textId="77777777" w:rsidR="00227760" w:rsidRPr="00CF3E25" w:rsidRDefault="00227760">
            <w:pPr>
              <w:pStyle w:val="ListParagraph"/>
              <w:numPr>
                <w:ilvl w:val="1"/>
                <w:numId w:val="9"/>
              </w:numPr>
              <w:snapToGrid w:val="0"/>
              <w:spacing w:after="100" w:afterAutospacing="1"/>
              <w:contextualSpacing w:val="0"/>
              <w:jc w:val="both"/>
            </w:pPr>
            <w:r w:rsidRPr="00CF3E25">
              <w:rPr>
                <w:sz w:val="14"/>
                <w:szCs w:val="14"/>
              </w:rPr>
              <w:t xml:space="preserve"> </w:t>
            </w:r>
            <w:r>
              <w:rPr>
                <w:rFonts w:hint="eastAsia"/>
              </w:rPr>
              <w:t>Report as UCI on PUCCH or PUSCH</w:t>
            </w:r>
          </w:p>
          <w:p w14:paraId="092729AB" w14:textId="77777777" w:rsidR="00227760" w:rsidRPr="00CF3E25" w:rsidRDefault="00227760">
            <w:pPr>
              <w:pStyle w:val="ListParagraph"/>
              <w:numPr>
                <w:ilvl w:val="2"/>
                <w:numId w:val="9"/>
              </w:numPr>
              <w:snapToGrid w:val="0"/>
              <w:spacing w:after="100" w:afterAutospacing="1"/>
              <w:contextualSpacing w:val="0"/>
              <w:jc w:val="both"/>
            </w:pPr>
            <w:r>
              <w:rPr>
                <w:rFonts w:hint="eastAsia"/>
              </w:rPr>
              <w:t>Periodic report on PUCCH, semi-persistent report on PUCCH/PUSCH, and aperiodic report on PUSCH</w:t>
            </w:r>
          </w:p>
          <w:p w14:paraId="3E764C52" w14:textId="77777777" w:rsidR="00227760" w:rsidRPr="007E4F1B" w:rsidRDefault="00227760">
            <w:pPr>
              <w:pStyle w:val="ListParagraph"/>
              <w:numPr>
                <w:ilvl w:val="2"/>
                <w:numId w:val="9"/>
              </w:numPr>
              <w:snapToGrid w:val="0"/>
              <w:spacing w:after="100" w:afterAutospacing="1"/>
              <w:contextualSpacing w:val="0"/>
              <w:jc w:val="both"/>
            </w:pPr>
            <w:r>
              <w:t>P</w:t>
            </w:r>
            <w:r>
              <w:rPr>
                <w:rFonts w:hint="eastAsia"/>
              </w:rPr>
              <w:t>otential enhancements to Rel-17 ICBM report format to accommodate Rel-18 scenarios, e.g.</w:t>
            </w:r>
          </w:p>
          <w:p w14:paraId="5B5ACD35" w14:textId="77777777" w:rsidR="00227760" w:rsidRPr="007E4F1B" w:rsidRDefault="00227760">
            <w:pPr>
              <w:pStyle w:val="ListParagraph"/>
              <w:numPr>
                <w:ilvl w:val="3"/>
                <w:numId w:val="9"/>
              </w:numPr>
              <w:snapToGrid w:val="0"/>
              <w:spacing w:after="100" w:afterAutospacing="1"/>
              <w:contextualSpacing w:val="0"/>
              <w:jc w:val="both"/>
            </w:pPr>
            <w:r>
              <w:rPr>
                <w:rFonts w:hint="eastAsia"/>
              </w:rPr>
              <w:t>Inter-frequency measurement, if supported</w:t>
            </w:r>
          </w:p>
          <w:p w14:paraId="457F55B3" w14:textId="77777777" w:rsidR="00227760" w:rsidRPr="007E4F1B" w:rsidRDefault="00227760">
            <w:pPr>
              <w:pStyle w:val="ListParagraph"/>
              <w:numPr>
                <w:ilvl w:val="3"/>
                <w:numId w:val="9"/>
              </w:numPr>
              <w:snapToGrid w:val="0"/>
              <w:spacing w:after="100" w:afterAutospacing="1"/>
              <w:contextualSpacing w:val="0"/>
              <w:jc w:val="both"/>
            </w:pPr>
            <w:r>
              <w:rPr>
                <w:rFonts w:hint="eastAsia"/>
              </w:rPr>
              <w:t>Increasing the maximum number of reported beams, which is 4 for Rel-17 ICBM</w:t>
            </w:r>
          </w:p>
          <w:p w14:paraId="4107A000" w14:textId="77777777" w:rsidR="00227760" w:rsidRPr="00940785" w:rsidRDefault="00227760">
            <w:pPr>
              <w:pStyle w:val="ListParagraph"/>
              <w:numPr>
                <w:ilvl w:val="3"/>
                <w:numId w:val="9"/>
              </w:numPr>
              <w:snapToGrid w:val="0"/>
              <w:spacing w:after="100" w:afterAutospacing="1"/>
              <w:contextualSpacing w:val="0"/>
              <w:jc w:val="both"/>
            </w:pPr>
            <w:r w:rsidRPr="00940785">
              <w:t>F</w:t>
            </w:r>
            <w:r w:rsidRPr="00940785">
              <w:rPr>
                <w:rFonts w:hint="eastAsia"/>
              </w:rPr>
              <w:t>lexible size beam report, e.g.</w:t>
            </w:r>
            <w:r w:rsidRPr="00940785">
              <w:t>,</w:t>
            </w:r>
            <w:r w:rsidRPr="00940785">
              <w:rPr>
                <w:rFonts w:hint="eastAsia"/>
              </w:rPr>
              <w:t xml:space="preserve"> two-part UCI (e.g., the 1st part contains the best beam/cell and the number (e.g., N) of reported beams/cells, the 2nd part contains the rest (N-1) beams/cells</w:t>
            </w:r>
          </w:p>
          <w:p w14:paraId="5C91F006" w14:textId="77777777" w:rsidR="00227760" w:rsidRPr="00F52E72" w:rsidRDefault="00227760">
            <w:pPr>
              <w:pStyle w:val="ListParagraph"/>
              <w:numPr>
                <w:ilvl w:val="3"/>
                <w:numId w:val="9"/>
              </w:numPr>
              <w:snapToGrid w:val="0"/>
              <w:spacing w:after="100" w:afterAutospacing="1"/>
              <w:contextualSpacing w:val="0"/>
              <w:jc w:val="both"/>
            </w:pPr>
            <w:r>
              <w:rPr>
                <w:rFonts w:hint="eastAsia"/>
              </w:rPr>
              <w:t xml:space="preserve">Reducing the reporting overhead by </w:t>
            </w:r>
            <w:proofErr w:type="gramStart"/>
            <w:r>
              <w:rPr>
                <w:rFonts w:hint="eastAsia"/>
              </w:rPr>
              <w:t>e.g.</w:t>
            </w:r>
            <w:proofErr w:type="gramEnd"/>
            <w:r>
              <w:rPr>
                <w:rFonts w:hint="eastAsia"/>
              </w:rPr>
              <w:t xml:space="preserve"> choosing beams/cells per frequency or across frequencies to report (FFS how)</w:t>
            </w:r>
          </w:p>
          <w:p w14:paraId="65B1EFB8" w14:textId="77777777" w:rsidR="00227760" w:rsidRPr="00F52E72" w:rsidRDefault="00227760">
            <w:pPr>
              <w:pStyle w:val="ListParagraph"/>
              <w:numPr>
                <w:ilvl w:val="1"/>
                <w:numId w:val="9"/>
              </w:numPr>
              <w:snapToGrid w:val="0"/>
              <w:spacing w:after="100" w:afterAutospacing="1"/>
              <w:contextualSpacing w:val="0"/>
              <w:jc w:val="both"/>
            </w:pPr>
            <w:r>
              <w:rPr>
                <w:rFonts w:hint="eastAsia"/>
              </w:rPr>
              <w:t xml:space="preserve">Report on MAC CE </w:t>
            </w:r>
          </w:p>
          <w:p w14:paraId="27FDB5BD" w14:textId="2EC146DB" w:rsidR="00227760" w:rsidRDefault="00227760">
            <w:pPr>
              <w:pStyle w:val="ListParagraph"/>
              <w:numPr>
                <w:ilvl w:val="2"/>
                <w:numId w:val="9"/>
              </w:numPr>
              <w:snapToGrid w:val="0"/>
              <w:spacing w:after="100" w:afterAutospacing="1"/>
              <w:contextualSpacing w:val="0"/>
              <w:jc w:val="both"/>
            </w:pPr>
            <w:r>
              <w:rPr>
                <w:rFonts w:hint="eastAsia"/>
              </w:rPr>
              <w:t>Both gNB scheduled and/or UE initiated (if supported) report are studied</w:t>
            </w:r>
          </w:p>
        </w:tc>
      </w:tr>
    </w:tbl>
    <w:p w14:paraId="075ACF88" w14:textId="77777777" w:rsidR="00227760" w:rsidRDefault="00227760" w:rsidP="007D4E67">
      <w:pPr>
        <w:pStyle w:val="00Text"/>
      </w:pPr>
    </w:p>
    <w:p w14:paraId="5B1290D2" w14:textId="7121DC55" w:rsidR="00E21B7A" w:rsidRDefault="006E0C13" w:rsidP="007D4E67">
      <w:pPr>
        <w:pStyle w:val="00Text"/>
      </w:pPr>
      <w:r>
        <w:t>To support inter-cell mobility, the system needs the measurement of neighbor cells. In Rel-17, the CSI framework introduce L1-RSRP measurement and reporting on SSBs associated with non-serving cell PCI</w:t>
      </w:r>
      <w:r w:rsidR="00E21B7A">
        <w:t xml:space="preserve">, which can be used for L1 measurement of neighbor cell for L1/L2-based inter-cell mobility. In addition to SSB for </w:t>
      </w:r>
      <w:r w:rsidR="00E21B7A">
        <w:lastRenderedPageBreak/>
        <w:t>inter-cell mobility, the CSI-RS for mobility of neighbor cell shall also be included in L1 measurement for inter-cell mobility.</w:t>
      </w:r>
    </w:p>
    <w:p w14:paraId="5465B9EE" w14:textId="040C5597" w:rsidR="005D6A40" w:rsidRDefault="00E21B7A" w:rsidP="00E21B7A">
      <w:pPr>
        <w:pStyle w:val="000proposal"/>
      </w:pPr>
      <w:bookmarkStart w:id="1" w:name="_Hlk118404645"/>
      <w:r>
        <w:t>Proposal 1: In the CSI framework, support L1-RSRP measurement and reporting on CSI-RS for mobility of neighbor cell</w:t>
      </w:r>
      <w:r w:rsidR="002611A1">
        <w:t>s</w:t>
      </w:r>
      <w:r>
        <w:t xml:space="preserve">. </w:t>
      </w:r>
    </w:p>
    <w:bookmarkEnd w:id="1"/>
    <w:p w14:paraId="2D7FDF62" w14:textId="3106529E" w:rsidR="00A41113" w:rsidRDefault="00F93AD5" w:rsidP="007D4E67">
      <w:pPr>
        <w:pStyle w:val="00Text"/>
      </w:pPr>
      <w:r>
        <w:t xml:space="preserve">In current specification, the L1-RSRP measurement is not filtered. Such measurement could be feasible for beam management, but not suitable for inter-cell mobility. The large variation in one-shot L1-RSRP measurement could cause ping-pong </w:t>
      </w:r>
      <w:r w:rsidR="002E58C9">
        <w:t>problem to cell selection in L1/L2-based inter-cell mobility. To avoid that, some filtering shall be applied on the L1-RSRP measurement for inter-cell mobility.</w:t>
      </w:r>
    </w:p>
    <w:p w14:paraId="5A9C4D31" w14:textId="3BFEAC33" w:rsidR="002E58C9" w:rsidRDefault="002E58C9" w:rsidP="002E58C9">
      <w:pPr>
        <w:pStyle w:val="000proposal"/>
      </w:pPr>
      <w:bookmarkStart w:id="2" w:name="_Hlk118404649"/>
      <w:r>
        <w:t xml:space="preserve">Proposal 2: The L1-RSRP measurement for </w:t>
      </w:r>
      <w:r w:rsidR="00800CED">
        <w:t xml:space="preserve">L1/L2 </w:t>
      </w:r>
      <w:r>
        <w:t>inter-cell mobility shall be filtered.</w:t>
      </w:r>
    </w:p>
    <w:bookmarkEnd w:id="2"/>
    <w:p w14:paraId="7C449C10" w14:textId="61B544D4" w:rsidR="002E58C9" w:rsidRDefault="00E02307" w:rsidP="007D4E67">
      <w:pPr>
        <w:pStyle w:val="00Text"/>
      </w:pPr>
      <w:r>
        <w:t xml:space="preserve">As stated in the WI [2], the procedure of L1/L2 based inter-cell mobility are applicable to both intra-frequency and inter-frequency scenario, and source and target cells may be synchronized or non-synchronized. </w:t>
      </w:r>
      <w:r w:rsidR="004D0AF8">
        <w:t xml:space="preserve">For measuring the SSB or CSI-RS for mobility of a neighbor cell, SMTC and Measurement gap for L1 mobility measurement shall be considered. </w:t>
      </w:r>
      <w:r w:rsidR="0036257D">
        <w:t xml:space="preserve"> SMTC for measuring SSB of neighbor cell shall be introduced for L1 measurement, for the same reason of SMTC being introduced for L3 mobility measurement. Measurement gap shall be introduced for measuring SSB or CSI-RS for mobility of neighbor cell for instance for the scenarios of inter-frequency or different numerologies.</w:t>
      </w:r>
    </w:p>
    <w:p w14:paraId="021E5B67" w14:textId="246E0BFB" w:rsidR="0036257D" w:rsidRDefault="003A0A54" w:rsidP="003A0A54">
      <w:pPr>
        <w:pStyle w:val="000proposal"/>
      </w:pPr>
      <w:bookmarkStart w:id="3" w:name="_Hlk118404666"/>
      <w:r>
        <w:t>Proposal 3: Support SMTC and measurement gap for L1</w:t>
      </w:r>
      <w:r w:rsidR="00800CED">
        <w:t>-RSRP</w:t>
      </w:r>
      <w:r>
        <w:t xml:space="preserve"> measurement for </w:t>
      </w:r>
      <w:r w:rsidR="00800CED">
        <w:t xml:space="preserve">L1/L2 </w:t>
      </w:r>
      <w:r>
        <w:t>mobility.</w:t>
      </w:r>
    </w:p>
    <w:bookmarkEnd w:id="3"/>
    <w:p w14:paraId="0CDC7875" w14:textId="27145D04" w:rsidR="00A41113" w:rsidRDefault="0021377E" w:rsidP="007D4E67">
      <w:pPr>
        <w:pStyle w:val="00Text"/>
      </w:pPr>
      <w:r>
        <w:t xml:space="preserve">In current design, the measurement gap for mobility measurement is requested and configured through RRC signaling. That has large overhead and latency so that it is not proper for L1 mobility measurement. </w:t>
      </w:r>
      <w:r w:rsidR="004507AF">
        <w:rPr>
          <w:rFonts w:hint="eastAsia"/>
        </w:rPr>
        <w:t>To</w:t>
      </w:r>
      <w:r w:rsidR="004507AF">
        <w:t xml:space="preserve"> resolve the issue, L1/L2-based measurement gap configuration is needed. </w:t>
      </w:r>
    </w:p>
    <w:p w14:paraId="534125E3" w14:textId="0F097A17" w:rsidR="004507AF" w:rsidRDefault="004507AF" w:rsidP="004507AF">
      <w:pPr>
        <w:pStyle w:val="000proposal"/>
      </w:pPr>
      <w:bookmarkStart w:id="4" w:name="_Hlk118404825"/>
      <w:r>
        <w:t>Proposal 4: Support L1/L2-based measurement gap activation for L1 measurement for mobility.</w:t>
      </w:r>
    </w:p>
    <w:bookmarkEnd w:id="4"/>
    <w:p w14:paraId="2CA6ED89" w14:textId="12D03B19" w:rsidR="00034291" w:rsidRDefault="00034291" w:rsidP="004507AF">
      <w:pPr>
        <w:pStyle w:val="00Text"/>
      </w:pPr>
      <w:r>
        <w:t>It was agreed to study the reporting mechanism for measurement reports of Rel-18 L1/L2 mobility. There exist two alternatives: the first one is reusing the current CSI reporting framework and like the CSI reporting, the measurement reports of L1/L2 mobility are reported as UCI in PUCCH or PUSCH. Another alternative is using MAC CE. In our view, reporting mobility measurement in UCI is not a proper design. The reasons are:</w:t>
      </w:r>
    </w:p>
    <w:p w14:paraId="23C618B7" w14:textId="77777777" w:rsidR="00A50C19" w:rsidRDefault="00034291">
      <w:pPr>
        <w:pStyle w:val="00Text"/>
        <w:numPr>
          <w:ilvl w:val="0"/>
          <w:numId w:val="12"/>
        </w:numPr>
      </w:pPr>
      <w:r>
        <w:t xml:space="preserve">CSI reporting in UCI is designed for intra-cell CSI reporting. But the intra-cell CSI reporting is quite different from the mobility measurement </w:t>
      </w:r>
      <w:r w:rsidR="00A50C19">
        <w:t xml:space="preserve">in terms of characteristics. For </w:t>
      </w:r>
      <w:proofErr w:type="gramStart"/>
      <w:r w:rsidR="00A50C19">
        <w:t>a</w:t>
      </w:r>
      <w:proofErr w:type="gramEnd"/>
      <w:r w:rsidR="00A50C19">
        <w:t xml:space="preserve"> intra-cell CSI report, what the gNB wants to know is the current channel condition, no matter whether the channel condition is good or bad. Thus, the UE only needs to report whatever the measurement results as configured. In contrast, the UE reports the mobility measurement results only when the measurement results of candidate cells meet some conditions, for example, when the channel condition of some candidate cell satisfies the condition for handover. In other word, the UE does not need to report the mobility measurement periodically. Therefore, using UCI mechanism to report mobility measurement would cause large waste the uplink PUCCH resource.</w:t>
      </w:r>
    </w:p>
    <w:p w14:paraId="5977F4E3" w14:textId="41725FA4" w:rsidR="00034291" w:rsidRDefault="00A17C12">
      <w:pPr>
        <w:pStyle w:val="00Text"/>
        <w:numPr>
          <w:ilvl w:val="0"/>
          <w:numId w:val="12"/>
        </w:numPr>
      </w:pPr>
      <w:r>
        <w:t>The reporting payload of measurement of L1/L2 mobility could be general large. Reporting in UCI could cause reliability issue. On the other hand, large payload of measurement results would cause more waste in PUCCH resource allocation if the mechanism of UCI is used.</w:t>
      </w:r>
      <w:r w:rsidR="00A50C19">
        <w:t xml:space="preserve"> </w:t>
      </w:r>
    </w:p>
    <w:p w14:paraId="793A4A61" w14:textId="77777777" w:rsidR="00A17C12" w:rsidRDefault="00A17C12" w:rsidP="00A17C12">
      <w:pPr>
        <w:pStyle w:val="000proposal"/>
      </w:pPr>
    </w:p>
    <w:p w14:paraId="7B056BBC" w14:textId="2BE2E021" w:rsidR="00A17C12" w:rsidRDefault="00A17C12" w:rsidP="00A17C12">
      <w:pPr>
        <w:pStyle w:val="000proposal"/>
      </w:pPr>
      <w:bookmarkStart w:id="5" w:name="_Hlk118404846"/>
      <w:r>
        <w:t>Proposal 5: Support to report L1 measurement for L1/L2 mobility through MAC CE.</w:t>
      </w:r>
    </w:p>
    <w:bookmarkEnd w:id="5"/>
    <w:p w14:paraId="57A63C61" w14:textId="4D135DE1" w:rsidR="00DF720E" w:rsidRDefault="00DF720E" w:rsidP="004507AF">
      <w:pPr>
        <w:pStyle w:val="00Text"/>
      </w:pPr>
      <w:r>
        <w:t xml:space="preserve">For both beam management and L1/L2 based inter-cell mobility, the L1 beam measurement seem to be same. But there actually exist substantial difference. For beam management, all the measurement result are useful. The UE always report the L1-RSRP (or L1-SINR) of the best K beams, no matter what the absolute beam quality is. In contrast, for inter-cell mobility, only the measurement results of some neighbor cell that satisfy particular condition are useful to the gNB. For example, if the beam quality of all candidate neighbor cells </w:t>
      </w:r>
      <w:r w:rsidR="00C66DF9">
        <w:t>is</w:t>
      </w:r>
      <w:r>
        <w:t xml:space="preserve"> not good enough to trigger the handover, the UE does not need to report such measurement results to the gNB.  </w:t>
      </w:r>
    </w:p>
    <w:p w14:paraId="57D0437A" w14:textId="5A6470A3" w:rsidR="004D7833" w:rsidRDefault="00C66DF9" w:rsidP="00C66DF9">
      <w:pPr>
        <w:pStyle w:val="000proposal"/>
      </w:pPr>
      <w:bookmarkStart w:id="6" w:name="_Hlk118404866"/>
      <w:r>
        <w:t xml:space="preserve">Proposal </w:t>
      </w:r>
      <w:r w:rsidR="00A17C12">
        <w:t>6</w:t>
      </w:r>
      <w:r>
        <w:t xml:space="preserve">: Support UE-initiated reporting of L1 measurement for </w:t>
      </w:r>
      <w:r w:rsidR="00800CED">
        <w:t xml:space="preserve">L1/L2 </w:t>
      </w:r>
      <w:r>
        <w:t>mobility.</w:t>
      </w:r>
    </w:p>
    <w:bookmarkEnd w:id="6"/>
    <w:p w14:paraId="06672F80" w14:textId="2EFD9A1A" w:rsidR="00082F92" w:rsidRDefault="00082F92" w:rsidP="00082F92">
      <w:pPr>
        <w:pStyle w:val="01"/>
        <w:numPr>
          <w:ilvl w:val="0"/>
          <w:numId w:val="1"/>
        </w:numPr>
        <w:ind w:left="562" w:hanging="562"/>
      </w:pPr>
      <w:r>
        <w:lastRenderedPageBreak/>
        <w:t>Enhancements on Beam Indication</w:t>
      </w:r>
    </w:p>
    <w:p w14:paraId="01AA4663" w14:textId="771461F2" w:rsidR="00422F7E" w:rsidRDefault="00422F7E" w:rsidP="002E2C84">
      <w:pPr>
        <w:pStyle w:val="00Text"/>
      </w:pPr>
      <w:r>
        <w:t>Regarding the beam indication, the following pertinent agreements were made:</w:t>
      </w:r>
    </w:p>
    <w:tbl>
      <w:tblPr>
        <w:tblStyle w:val="TableGrid"/>
        <w:tblW w:w="0" w:type="auto"/>
        <w:tblLook w:val="04A0" w:firstRow="1" w:lastRow="0" w:firstColumn="1" w:lastColumn="0" w:noHBand="0" w:noVBand="1"/>
      </w:tblPr>
      <w:tblGrid>
        <w:gridCol w:w="9288"/>
      </w:tblGrid>
      <w:tr w:rsidR="00422F7E" w14:paraId="1C7C7173" w14:textId="77777777" w:rsidTr="00422F7E">
        <w:tc>
          <w:tcPr>
            <w:tcW w:w="9288" w:type="dxa"/>
          </w:tcPr>
          <w:p w14:paraId="110F8C35" w14:textId="77777777" w:rsidR="00422F7E" w:rsidRPr="00FB5D71" w:rsidRDefault="00422F7E" w:rsidP="00422F7E">
            <w:pPr>
              <w:rPr>
                <w:rFonts w:eastAsia="DengXian"/>
                <w:highlight w:val="green"/>
                <w:lang w:eastAsia="zh-CN"/>
              </w:rPr>
            </w:pPr>
            <w:r w:rsidRPr="00FB5D71">
              <w:rPr>
                <w:rFonts w:eastAsia="DengXian"/>
                <w:highlight w:val="green"/>
                <w:lang w:eastAsia="zh-CN"/>
              </w:rPr>
              <w:t>Agreement</w:t>
            </w:r>
          </w:p>
          <w:p w14:paraId="1C828A3F" w14:textId="77777777" w:rsidR="00422F7E" w:rsidRDefault="00422F7E">
            <w:pPr>
              <w:pStyle w:val="ListParagraph"/>
              <w:numPr>
                <w:ilvl w:val="0"/>
                <w:numId w:val="9"/>
              </w:numPr>
              <w:snapToGrid w:val="0"/>
              <w:spacing w:after="100" w:afterAutospacing="1"/>
              <w:contextualSpacing w:val="0"/>
              <w:jc w:val="both"/>
            </w:pPr>
            <w:r>
              <w:rPr>
                <w:rFonts w:hint="eastAsia"/>
              </w:rPr>
              <w:t xml:space="preserve">RAN1 to further study if the beam indication of candidate cell(s) L1/L2 mobility should be designed for a specific TCI framework below, and their potential RAN1 spec impact. </w:t>
            </w:r>
          </w:p>
          <w:p w14:paraId="56FE672E" w14:textId="77777777" w:rsidR="00422F7E" w:rsidRDefault="00422F7E">
            <w:pPr>
              <w:pStyle w:val="ListParagraph"/>
              <w:numPr>
                <w:ilvl w:val="1"/>
                <w:numId w:val="9"/>
              </w:numPr>
              <w:snapToGrid w:val="0"/>
              <w:spacing w:after="100" w:afterAutospacing="1"/>
              <w:contextualSpacing w:val="0"/>
              <w:jc w:val="both"/>
            </w:pPr>
            <w:r w:rsidRPr="000E725B">
              <w:rPr>
                <w:rFonts w:hint="eastAsia"/>
                <w:b/>
                <w:bCs/>
              </w:rPr>
              <w:t>Option A:</w:t>
            </w:r>
            <w:r>
              <w:rPr>
                <w:rFonts w:hint="eastAsia"/>
              </w:rPr>
              <w:t>  Beam indication for Rel-18 L1/L2 mobility is designed based on Rel-17 TCI framework mechanism</w:t>
            </w:r>
          </w:p>
          <w:p w14:paraId="78C936CF" w14:textId="77777777" w:rsidR="00422F7E" w:rsidRDefault="00422F7E">
            <w:pPr>
              <w:pStyle w:val="ListParagraph"/>
              <w:numPr>
                <w:ilvl w:val="1"/>
                <w:numId w:val="9"/>
              </w:numPr>
              <w:snapToGrid w:val="0"/>
              <w:spacing w:after="100" w:afterAutospacing="1"/>
              <w:contextualSpacing w:val="0"/>
              <w:jc w:val="both"/>
            </w:pPr>
            <w:r w:rsidRPr="000E725B">
              <w:rPr>
                <w:rFonts w:hint="eastAsia"/>
                <w:b/>
                <w:bCs/>
              </w:rPr>
              <w:t xml:space="preserve">Option B: </w:t>
            </w:r>
            <w:r>
              <w:rPr>
                <w:rFonts w:hint="eastAsia"/>
              </w:rPr>
              <w:t xml:space="preserve">Beam indication for Rel-18 L1/L2 mobility is designed based on Rel-15 TCI framework mechanism </w:t>
            </w:r>
          </w:p>
          <w:p w14:paraId="0B67B7A5" w14:textId="77777777" w:rsidR="00422F7E" w:rsidRDefault="00422F7E">
            <w:pPr>
              <w:pStyle w:val="ListParagraph"/>
              <w:numPr>
                <w:ilvl w:val="1"/>
                <w:numId w:val="9"/>
              </w:numPr>
              <w:snapToGrid w:val="0"/>
              <w:spacing w:after="100" w:afterAutospacing="1"/>
              <w:contextualSpacing w:val="0"/>
              <w:jc w:val="both"/>
            </w:pPr>
            <w:r w:rsidRPr="000E725B">
              <w:rPr>
                <w:rFonts w:hint="eastAsia"/>
                <w:b/>
                <w:bCs/>
              </w:rPr>
              <w:t xml:space="preserve">Option C: </w:t>
            </w:r>
            <w:r>
              <w:rPr>
                <w:rFonts w:hint="eastAsia"/>
              </w:rPr>
              <w:t xml:space="preserve">Beam indication for Rel-18 L1/L2 mobility is designed based on both Rel-15 and Rel-17 TCI framework mechanisms </w:t>
            </w:r>
          </w:p>
          <w:p w14:paraId="24FCD96F" w14:textId="77777777" w:rsidR="00422F7E" w:rsidRPr="00D82DD1" w:rsidRDefault="00422F7E" w:rsidP="00422F7E">
            <w:pPr>
              <w:pStyle w:val="ListParagraph"/>
              <w:shd w:val="clear" w:color="auto" w:fill="FFFFFF"/>
              <w:spacing w:line="360" w:lineRule="auto"/>
              <w:ind w:left="0"/>
              <w:jc w:val="both"/>
              <w:rPr>
                <w:rFonts w:eastAsia="Microsoft YaHei UI"/>
                <w:color w:val="000000"/>
                <w:sz w:val="21"/>
                <w:szCs w:val="21"/>
                <w:highlight w:val="green"/>
              </w:rPr>
            </w:pPr>
            <w:r w:rsidRPr="00D82DD1">
              <w:rPr>
                <w:rFonts w:eastAsia="Microsoft YaHei UI"/>
                <w:color w:val="000000"/>
                <w:sz w:val="21"/>
                <w:szCs w:val="21"/>
                <w:highlight w:val="green"/>
              </w:rPr>
              <w:t>Agreement</w:t>
            </w:r>
          </w:p>
          <w:p w14:paraId="132E3C69" w14:textId="77777777" w:rsidR="00422F7E" w:rsidRPr="00D82DD1" w:rsidRDefault="00422F7E" w:rsidP="00422F7E">
            <w:pPr>
              <w:pStyle w:val="ListParagraph"/>
              <w:shd w:val="clear" w:color="auto" w:fill="FFFFFF"/>
              <w:spacing w:line="360" w:lineRule="auto"/>
              <w:ind w:left="424" w:hangingChars="202" w:hanging="424"/>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From RAN1 perspective, the following scenarios can be considered for Rel-18 L1/L2 mobility for beam indication timing. This will be updated depending on further RAN1 assessment and RAN2 decision on the time chart</w:t>
            </w:r>
          </w:p>
          <w:p w14:paraId="6FD04DC0" w14:textId="77777777" w:rsidR="00422F7E" w:rsidRPr="00D82DD1" w:rsidRDefault="00422F7E" w:rsidP="00422F7E">
            <w:pPr>
              <w:pStyle w:val="ListParagraph"/>
              <w:shd w:val="clear" w:color="auto" w:fill="FFFFFF"/>
              <w:spacing w:line="360" w:lineRule="auto"/>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1: Beam indication before cell switch command</w:t>
            </w:r>
          </w:p>
          <w:p w14:paraId="2543B523" w14:textId="77777777" w:rsidR="00422F7E" w:rsidRPr="00D82DD1" w:rsidRDefault="00422F7E" w:rsidP="00422F7E">
            <w:pPr>
              <w:pStyle w:val="ListParagraph"/>
              <w:shd w:val="clear" w:color="auto" w:fill="FFFFFF"/>
              <w:spacing w:line="360" w:lineRule="auto"/>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2: Beam indication together with cell switch command</w:t>
            </w:r>
          </w:p>
          <w:p w14:paraId="3188D941" w14:textId="77777777" w:rsidR="00422F7E" w:rsidRPr="00D82DD1" w:rsidRDefault="00422F7E" w:rsidP="00422F7E">
            <w:pPr>
              <w:pStyle w:val="ListParagraph"/>
              <w:shd w:val="clear" w:color="auto" w:fill="FFFFFF"/>
              <w:spacing w:line="360" w:lineRule="auto"/>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3: Beam indication after cell switch command</w:t>
            </w:r>
          </w:p>
          <w:p w14:paraId="3CC63F70" w14:textId="77282AB9" w:rsidR="00422F7E" w:rsidRDefault="00422F7E" w:rsidP="00422F7E">
            <w:pPr>
              <w:pStyle w:val="ListParagraph"/>
              <w:shd w:val="clear" w:color="auto" w:fill="FFFFFF"/>
              <w:spacing w:line="360" w:lineRule="auto"/>
              <w:ind w:left="424" w:hangingChars="202" w:hanging="424"/>
              <w:jc w:val="both"/>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Interested companies are encouraged to further study the validity of the scenarios and the potential spec impact.</w:t>
            </w:r>
          </w:p>
        </w:tc>
      </w:tr>
    </w:tbl>
    <w:p w14:paraId="020B788D" w14:textId="49429AA9" w:rsidR="002E2C84" w:rsidRDefault="002E2C84" w:rsidP="002E2C84">
      <w:pPr>
        <w:pStyle w:val="00Text"/>
      </w:pPr>
      <w:r>
        <w:t xml:space="preserve">Unfied TCI framework of Rel-17 supports the function of inter-cell beam management. </w:t>
      </w:r>
      <w:r w:rsidR="00F46F00">
        <w:t>In inter-cell beam management, the gNB can use DCI format 1_1 or 1</w:t>
      </w:r>
      <w:r w:rsidR="00F46F00">
        <w:rPr>
          <w:rFonts w:hint="eastAsia"/>
        </w:rPr>
        <w:t>_</w:t>
      </w:r>
      <w:r w:rsidR="00F46F00">
        <w:t xml:space="preserve">2 to indicate TCI state(s) that is associated with SSB of a non-serving cell. But the indicated TCI state(s) can only be applied to UE-specific PDCCH and associated PDSCH, PUSCH and PUCCH transmission. </w:t>
      </w:r>
      <w:r w:rsidR="00F7083E">
        <w:t>While that TCI state(s) can be applied to UE-common PDCCH and the associated PDSCH. Thus, the beam indication in inter-cell beam management is not able to support L1/L2 based inter-cell mobility. Therefore, to support handover to target cell in L1/L2 based inter-cell mobility, the gNB shall indicate one particular TCI state for the UE to use after switching to the target cell. This TCI state shall be associated with a SSB or CSI-RS resource of the target cell.</w:t>
      </w:r>
      <w:r w:rsidR="00223401">
        <w:t xml:space="preserve"> It was discussed whether the TCI state indication for mobility shall be based on Rel-15 BM or Rel-17 Unified TCI framework. In our view, the design shall be based on Rel-17 Unified TCI framework, but not based on Rel-15 beam management for the following reasons:</w:t>
      </w:r>
    </w:p>
    <w:p w14:paraId="1B341C2A" w14:textId="6974BB2D" w:rsidR="00B458D2" w:rsidRDefault="00B458D2">
      <w:pPr>
        <w:pStyle w:val="00Text"/>
        <w:numPr>
          <w:ilvl w:val="0"/>
          <w:numId w:val="11"/>
        </w:numPr>
      </w:pPr>
      <w:r>
        <w:t xml:space="preserve">The initial motivation for unified TCI framework is to provided unified solution for intra-cell beam management and </w:t>
      </w:r>
      <w:r>
        <w:rPr>
          <w:rFonts w:hint="eastAsia"/>
        </w:rPr>
        <w:t>L</w:t>
      </w:r>
      <w:r>
        <w:t xml:space="preserve">1/L2 mobility. For that, the beam indication of both DL and UL are aligned to using TCI state. </w:t>
      </w:r>
    </w:p>
    <w:p w14:paraId="3E3DA588" w14:textId="23537770" w:rsidR="00B458D2" w:rsidRDefault="00B458D2">
      <w:pPr>
        <w:pStyle w:val="00Text"/>
        <w:numPr>
          <w:ilvl w:val="0"/>
          <w:numId w:val="11"/>
        </w:numPr>
      </w:pPr>
      <w:r>
        <w:t xml:space="preserve">The </w:t>
      </w:r>
      <w:r w:rsidR="00D57EF4">
        <w:t xml:space="preserve">Rel-15 beam management framework uses different and separate mechanism for DL and UL. For DL, TCI state is used. But for UL, PUCCH-spatial relation is used in PUCCH, SRS-spatial relation is used for SRS but PUSCH uses the SRI indication in DCI for beam indication. </w:t>
      </w:r>
      <w:r w:rsidR="002E20AD">
        <w:t>Designing beam indication for L1/L2 mobility based on Rel-15 beam management framework would complicate the system design.</w:t>
      </w:r>
    </w:p>
    <w:p w14:paraId="5419BECE" w14:textId="0D3DFFFC" w:rsidR="002E20AD" w:rsidRDefault="002E20AD">
      <w:pPr>
        <w:pStyle w:val="00Text"/>
        <w:numPr>
          <w:ilvl w:val="0"/>
          <w:numId w:val="11"/>
        </w:numPr>
      </w:pPr>
      <w:r>
        <w:t>Furthermore, it is not desired to progress on both beam management frameworks. The only consequence of that is complicate specification.</w:t>
      </w:r>
    </w:p>
    <w:p w14:paraId="2E3A1055" w14:textId="435DAF59" w:rsidR="00850645" w:rsidRDefault="00215417" w:rsidP="00754EED">
      <w:pPr>
        <w:pStyle w:val="000proposal"/>
      </w:pPr>
      <w:bookmarkStart w:id="7" w:name="_Hlk118405593"/>
      <w:r>
        <w:t xml:space="preserve">Proposal </w:t>
      </w:r>
      <w:r w:rsidR="00A17C12">
        <w:t>7</w:t>
      </w:r>
      <w:r>
        <w:t xml:space="preserve">: </w:t>
      </w:r>
      <w:r w:rsidR="002E20AD">
        <w:t>The beam indication design for Rel-18 L1/L2 mobility is based on Rel-17 unified TCI framework</w:t>
      </w:r>
      <w:r w:rsidR="00674D8E">
        <w:t>.</w:t>
      </w:r>
    </w:p>
    <w:bookmarkEnd w:id="7"/>
    <w:p w14:paraId="684EBA94" w14:textId="03881C0B" w:rsidR="00B20B4D" w:rsidRDefault="005753EB" w:rsidP="005753EB">
      <w:pPr>
        <w:pStyle w:val="00Text"/>
      </w:pPr>
      <w:r w:rsidRPr="005753EB">
        <w:t>In the inter-cell beam management of Rel-17, the UE can receive UE-specific PDCCH/PDSCH and transmit PUSCH/PUCCH to the TRP of a non-serving cell</w:t>
      </w:r>
      <w:r>
        <w:t xml:space="preserve"> while the UE-common PDCCH/PDSCH is still connected to the serving cell. In Rel-18, when the L1</w:t>
      </w:r>
      <w:r>
        <w:rPr>
          <w:rFonts w:hint="eastAsia"/>
        </w:rPr>
        <w:t>/</w:t>
      </w:r>
      <w:r>
        <w:t xml:space="preserve">L2 based inter-cell mobility is supported, we shall consider the issue of coexisting of the operations of inter-cell management and L1/L2 based inter-cell mobility. </w:t>
      </w:r>
    </w:p>
    <w:p w14:paraId="77C7EB8A" w14:textId="6988B8AF" w:rsidR="006B1665" w:rsidRDefault="006E6C39" w:rsidP="005753EB">
      <w:pPr>
        <w:pStyle w:val="00Text"/>
      </w:pPr>
      <w:r>
        <w:lastRenderedPageBreak/>
        <w:t xml:space="preserve">An example is shown in Fig.1 to illustrate the issue of co-existing. As shown in the example, at first the UE is in in Cell 1. The UE receives the common channel from cell1 and UE-specific </w:t>
      </w:r>
      <w:r>
        <w:rPr>
          <w:rFonts w:hint="eastAsia"/>
        </w:rPr>
        <w:t>ch</w:t>
      </w:r>
      <w:r>
        <w:t xml:space="preserve">annel from cell 1 too. Then through the inter-cell beam management operation specified in Rel-17, the gNB can indicate TCI state(s) associated with the Cell 3 to the UE as defined in unified TCI framework. </w:t>
      </w:r>
      <w:r w:rsidR="006E74D4">
        <w:t>Then later on, the UE is commanded to handover to the Cell 2 and the system can indicate one TCI state associated with Cell 2 to the UE. The UE then can switch the reception of UE common PDCCH/PDSCH with the indicated TCI state for inter-cell mobility</w:t>
      </w:r>
      <w:r w:rsidR="007E7852">
        <w:t xml:space="preserve">. </w:t>
      </w:r>
      <w:r w:rsidR="006B1665">
        <w:t>In such scenario, there exist the beam indication of both inter-cell beam management and inter-cell mobility:</w:t>
      </w:r>
    </w:p>
    <w:p w14:paraId="3D21FF1F" w14:textId="4DB0C402" w:rsidR="006B1665" w:rsidRDefault="006B1665">
      <w:pPr>
        <w:pStyle w:val="00Text"/>
        <w:numPr>
          <w:ilvl w:val="0"/>
          <w:numId w:val="6"/>
        </w:numPr>
      </w:pPr>
      <w:r>
        <w:t>The beam indication on UE-specific PDCCH/PDSCH, PUSCH and PUCCH is conducted through the function of inter-cell beam management.</w:t>
      </w:r>
    </w:p>
    <w:p w14:paraId="6E3BFE06" w14:textId="72CCBDF2" w:rsidR="006B1665" w:rsidRDefault="006B1665">
      <w:pPr>
        <w:pStyle w:val="00Text"/>
        <w:numPr>
          <w:ilvl w:val="0"/>
          <w:numId w:val="6"/>
        </w:numPr>
      </w:pPr>
      <w:r>
        <w:t>The beam indication of the function of inter-cell mobility. The TCI state in this beam indication shall be applied to at least UE-common PDCCH/PDSCH.</w:t>
      </w:r>
    </w:p>
    <w:p w14:paraId="2B7BDB8D" w14:textId="77777777" w:rsidR="000603F0" w:rsidRDefault="006B1665" w:rsidP="005753EB">
      <w:pPr>
        <w:pStyle w:val="00Text"/>
      </w:pPr>
      <w:r>
        <w:t xml:space="preserve">Therefore, we shall consider the issue of how to deal with these two </w:t>
      </w:r>
      <w:r w:rsidR="000603F0">
        <w:t>types of beam indication. For this issue, we have two different alternatives:</w:t>
      </w:r>
    </w:p>
    <w:p w14:paraId="16DD264E" w14:textId="18B86E79" w:rsidR="006B1665" w:rsidRDefault="000603F0">
      <w:pPr>
        <w:pStyle w:val="00Text"/>
        <w:numPr>
          <w:ilvl w:val="0"/>
          <w:numId w:val="7"/>
        </w:numPr>
      </w:pPr>
      <w:r>
        <w:t xml:space="preserve">Alt1: the beam indication of inter-cell mobility can </w:t>
      </w:r>
      <w:r w:rsidRPr="0015101C">
        <w:rPr>
          <w:b/>
          <w:bCs/>
          <w:i/>
          <w:iCs/>
        </w:rPr>
        <w:t>over-ride</w:t>
      </w:r>
      <w:r>
        <w:t xml:space="preserve"> the beam indication of inter-cell beam management. In other word, the TCI state indicated for inter-cell mobility shall be applied to UE-specific PDCCH/PDSCH, PUSCH and PUCCH.</w:t>
      </w:r>
      <w:r w:rsidR="0015101C">
        <w:t xml:space="preserve">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 both UE-common PDCCH/PDSCH and UE-specific PDSCH/PDCCH, PUSCH and PUCCH. With this alterative, the beam indication of inter-cell mobility would switch the TCI state on UE-specific PDCCH/PDSCH, PUSCH and PUCCH.</w:t>
      </w:r>
    </w:p>
    <w:p w14:paraId="77224F92" w14:textId="7A539B22" w:rsidR="00AB70B7" w:rsidRDefault="0015101C">
      <w:pPr>
        <w:pStyle w:val="00Text"/>
        <w:numPr>
          <w:ilvl w:val="0"/>
          <w:numId w:val="7"/>
        </w:numPr>
      </w:pPr>
      <w:r>
        <w:t xml:space="preserve">Alt 2: the beam indication of inter-cell mobility and the beam indication of inter-cell beam management are operated </w:t>
      </w:r>
      <w:r w:rsidR="00BA6AE0">
        <w:t>independently</w:t>
      </w:r>
      <w:r>
        <w:t xml:space="preserve"> and separately. </w:t>
      </w:r>
      <w:r w:rsidR="00BA6AE0">
        <w:t xml:space="preserve"> The beam indication of inter-cell mobility does not impact the beam indication of inter-cell beam management. The TCI state indicated for inter-cell mobility is only applied to UE-common PDCCH/PDSCH, but not on UE-specific PDCCH/PDSCH, PUSCH and PUCCH.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only on UE-common PDCCH/PDSCH. The TCI state(s) for UE-specific PDSCH/PDCCH, PUSCH and PUCCH are still indicated by the signaling of inter-cell beam management. </w:t>
      </w:r>
    </w:p>
    <w:p w14:paraId="7473545F" w14:textId="57EEF860" w:rsidR="00AB70B7" w:rsidRPr="00AB70B7" w:rsidRDefault="00AB70B7" w:rsidP="00AB70B7">
      <w:pPr>
        <w:pStyle w:val="00Text"/>
      </w:pPr>
      <w:r>
        <w:t xml:space="preserve">In our view, the Alt 2 shall be supported because it can support the co-existing of both functions. </w:t>
      </w:r>
      <w:r w:rsidR="003E6676">
        <w:t>The L1/L2 based inter-cell mobility shall not impact the operation of inter-cell beam management.</w:t>
      </w:r>
    </w:p>
    <w:p w14:paraId="55668394" w14:textId="35435B7E" w:rsidR="007F6DC4" w:rsidRDefault="007F6DC4" w:rsidP="007F6DC4">
      <w:pPr>
        <w:pStyle w:val="00Text"/>
        <w:jc w:val="center"/>
      </w:pPr>
      <w:r w:rsidRPr="007F6DC4">
        <w:rPr>
          <w:noProof/>
        </w:rPr>
        <w:lastRenderedPageBreak/>
        <w:drawing>
          <wp:inline distT="0" distB="0" distL="0" distR="0" wp14:anchorId="6846A52A" wp14:editId="6E510540">
            <wp:extent cx="3079750" cy="2598333"/>
            <wp:effectExtent l="0" t="0" r="0" b="0"/>
            <wp:docPr id="6" name="Picture 5">
              <a:extLst xmlns:a="http://schemas.openxmlformats.org/drawingml/2006/main">
                <a:ext uri="{FF2B5EF4-FFF2-40B4-BE49-F238E27FC236}">
                  <a16:creationId xmlns:a16="http://schemas.microsoft.com/office/drawing/2014/main" id="{0C5949A6-BAEC-986D-FE06-02DF468752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C5949A6-BAEC-986D-FE06-02DF46875213}"/>
                        </a:ext>
                      </a:extLst>
                    </pic:cNvPr>
                    <pic:cNvPicPr>
                      <a:picLocks noChangeAspect="1"/>
                    </pic:cNvPicPr>
                  </pic:nvPicPr>
                  <pic:blipFill>
                    <a:blip r:embed="rId8"/>
                    <a:stretch>
                      <a:fillRect/>
                    </a:stretch>
                  </pic:blipFill>
                  <pic:spPr>
                    <a:xfrm>
                      <a:off x="0" y="0"/>
                      <a:ext cx="3082146" cy="2600354"/>
                    </a:xfrm>
                    <a:prstGeom prst="rect">
                      <a:avLst/>
                    </a:prstGeom>
                  </pic:spPr>
                </pic:pic>
              </a:graphicData>
            </a:graphic>
          </wp:inline>
        </w:drawing>
      </w:r>
    </w:p>
    <w:p w14:paraId="7419B255" w14:textId="01A3E47C" w:rsidR="007F6DC4" w:rsidRPr="007F6DC4" w:rsidRDefault="007F6DC4" w:rsidP="007F6DC4">
      <w:pPr>
        <w:pStyle w:val="00Text"/>
        <w:jc w:val="center"/>
        <w:rPr>
          <w:b/>
          <w:bCs/>
        </w:rPr>
      </w:pPr>
      <w:r w:rsidRPr="007F6DC4">
        <w:rPr>
          <w:b/>
          <w:bCs/>
        </w:rPr>
        <w:t>Figure 1 Co-exist</w:t>
      </w:r>
      <w:r w:rsidR="005753EB">
        <w:rPr>
          <w:b/>
          <w:bCs/>
        </w:rPr>
        <w:t>ing</w:t>
      </w:r>
      <w:r w:rsidRPr="007F6DC4">
        <w:rPr>
          <w:b/>
          <w:bCs/>
        </w:rPr>
        <w:t xml:space="preserve"> of inter-cell beam management and L1/L2 based inter-cell mobility</w:t>
      </w:r>
    </w:p>
    <w:p w14:paraId="27D6B0CA" w14:textId="77777777" w:rsidR="007F6DC4" w:rsidRDefault="007F6DC4" w:rsidP="00754EED">
      <w:pPr>
        <w:pStyle w:val="000proposal"/>
      </w:pPr>
    </w:p>
    <w:p w14:paraId="7E561ED7" w14:textId="04487D19" w:rsidR="00215417" w:rsidRDefault="00215417" w:rsidP="00754EED">
      <w:pPr>
        <w:pStyle w:val="000proposal"/>
      </w:pPr>
      <w:bookmarkStart w:id="8" w:name="_Hlk114598808"/>
      <w:r>
        <w:t xml:space="preserve">Proposal </w:t>
      </w:r>
      <w:r w:rsidR="002E20AD">
        <w:t>8</w:t>
      </w:r>
      <w:r>
        <w:t xml:space="preserve">: </w:t>
      </w:r>
      <w:r w:rsidR="004B14D7">
        <w:t>The beam indication shall s</w:t>
      </w:r>
      <w:r>
        <w:t xml:space="preserve">upport </w:t>
      </w:r>
      <w:r w:rsidR="00800CED">
        <w:rPr>
          <w:rFonts w:hint="eastAsia"/>
        </w:rPr>
        <w:t>the</w:t>
      </w:r>
      <w:r w:rsidR="00800CED">
        <w:t xml:space="preserve"> </w:t>
      </w:r>
      <w:r>
        <w:t>coexist of the operations of inter-cell beam management and L1/L2 based inter-cell mobility</w:t>
      </w:r>
      <w:r w:rsidR="00FB57F8">
        <w:t>:</w:t>
      </w:r>
    </w:p>
    <w:p w14:paraId="7E9F79CC" w14:textId="36C7B12B" w:rsidR="003E6676" w:rsidRDefault="003E6676">
      <w:pPr>
        <w:pStyle w:val="000proposal"/>
        <w:numPr>
          <w:ilvl w:val="0"/>
          <w:numId w:val="8"/>
        </w:numPr>
      </w:pPr>
      <w:r>
        <w:t xml:space="preserve">The TCI </w:t>
      </w:r>
      <w:r w:rsidR="00E62FFC">
        <w:t>state(s) indicated through inter-cell beam management is applied to UE-specific PDCCH/PDSCH, PUSCH and PUCCH, as specified in Rel-17</w:t>
      </w:r>
    </w:p>
    <w:p w14:paraId="25E49577" w14:textId="3F134DBA" w:rsidR="00E62FFC" w:rsidRDefault="00E62FFC">
      <w:pPr>
        <w:pStyle w:val="000proposal"/>
        <w:numPr>
          <w:ilvl w:val="0"/>
          <w:numId w:val="8"/>
        </w:numPr>
      </w:pPr>
      <w:r>
        <w:t>The TCI state indicated in inter-cell mobility is applied to UE-common PDCCH/PDSCH.</w:t>
      </w:r>
    </w:p>
    <w:bookmarkEnd w:id="8"/>
    <w:p w14:paraId="3882022D" w14:textId="66465B2A" w:rsidR="00071427" w:rsidRDefault="00071427" w:rsidP="00071427">
      <w:pPr>
        <w:pStyle w:val="01"/>
        <w:numPr>
          <w:ilvl w:val="0"/>
          <w:numId w:val="1"/>
        </w:numPr>
        <w:ind w:left="562" w:hanging="562"/>
      </w:pPr>
      <w:r>
        <w:t>Conclusions</w:t>
      </w:r>
    </w:p>
    <w:p w14:paraId="5F621732" w14:textId="497B4D23" w:rsidR="00EE3B26" w:rsidRDefault="00262BCE" w:rsidP="00D870D2">
      <w:pPr>
        <w:pStyle w:val="00Text"/>
      </w:pPr>
      <w:r w:rsidRPr="00D870D2">
        <w:t xml:space="preserve">In this contribution, we </w:t>
      </w:r>
      <w:r w:rsidR="00A4047C">
        <w:t>presented our views on beam management for L1/L2-based inter-cell mobility</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1199E7C1" w14:textId="77777777" w:rsidR="00800CED" w:rsidRDefault="00800CED" w:rsidP="00800CED">
      <w:pPr>
        <w:pStyle w:val="000proposal"/>
      </w:pPr>
      <w:r>
        <w:t xml:space="preserve">Proposal 1: In the CSI framework, support L1-RSRP measurement and reporting on CSI-RS for mobility of neighbor cells. </w:t>
      </w:r>
    </w:p>
    <w:p w14:paraId="585C862B" w14:textId="77777777" w:rsidR="00800CED" w:rsidRDefault="00800CED" w:rsidP="00800CED">
      <w:pPr>
        <w:pStyle w:val="000proposal"/>
      </w:pPr>
      <w:r>
        <w:t>Proposal 2: The L1-RSRP measurement for L1/L2 inter-cell mobility shall be filtered.</w:t>
      </w:r>
    </w:p>
    <w:p w14:paraId="7093FC28" w14:textId="77777777" w:rsidR="00800CED" w:rsidRDefault="00800CED" w:rsidP="00800CED">
      <w:pPr>
        <w:pStyle w:val="000proposal"/>
      </w:pPr>
      <w:r>
        <w:t>Proposal 3: Support SMTC and measurement gap for L1-RSRP measurement for L1/L2 mobility.</w:t>
      </w:r>
    </w:p>
    <w:p w14:paraId="783D70E1" w14:textId="77777777" w:rsidR="00800CED" w:rsidRDefault="00800CED" w:rsidP="00800CED">
      <w:pPr>
        <w:pStyle w:val="000proposal"/>
      </w:pPr>
      <w:r>
        <w:t>Proposal 4: Support L1/L2-based measurement gap activation for L1 measurement for mobility.</w:t>
      </w:r>
    </w:p>
    <w:p w14:paraId="68206CBC" w14:textId="77777777" w:rsidR="00800CED" w:rsidRDefault="00800CED" w:rsidP="00800CED">
      <w:pPr>
        <w:pStyle w:val="000proposal"/>
      </w:pPr>
      <w:r>
        <w:t>Proposal 5: Support to report L1 measurement for L1/L2 mobility through MAC CE.</w:t>
      </w:r>
    </w:p>
    <w:p w14:paraId="3EF85205" w14:textId="77777777" w:rsidR="00800CED" w:rsidRDefault="00800CED" w:rsidP="00800CED">
      <w:pPr>
        <w:pStyle w:val="000proposal"/>
      </w:pPr>
      <w:r>
        <w:t>Proposal 6: Support UE-initiated reporting of L1 measurement for L1/L2 mobility.</w:t>
      </w:r>
    </w:p>
    <w:p w14:paraId="576F6EF8" w14:textId="77777777" w:rsidR="00800CED" w:rsidRDefault="00800CED" w:rsidP="00800CED">
      <w:pPr>
        <w:pStyle w:val="000proposal"/>
      </w:pPr>
      <w:r>
        <w:t>Proposal 7: The beam indication design for Rel-18 L1/L2 mobility is based on Rel-17 unified TCI framework.</w:t>
      </w:r>
    </w:p>
    <w:p w14:paraId="6901022C" w14:textId="77777777" w:rsidR="00800CED" w:rsidRDefault="00800CED" w:rsidP="00800CED">
      <w:pPr>
        <w:pStyle w:val="000proposal"/>
      </w:pPr>
      <w:r>
        <w:t xml:space="preserve">Proposal 8: The beam indication shall support </w:t>
      </w:r>
      <w:r>
        <w:rPr>
          <w:rFonts w:hint="eastAsia"/>
        </w:rPr>
        <w:t>the</w:t>
      </w:r>
      <w:r>
        <w:t xml:space="preserve"> coexist of the operations of inter-cell beam management and L1/L2 based inter-cell mobility:</w:t>
      </w:r>
    </w:p>
    <w:p w14:paraId="66BD4945" w14:textId="77777777" w:rsidR="00800CED" w:rsidRDefault="00800CED" w:rsidP="00800CED">
      <w:pPr>
        <w:pStyle w:val="000proposal"/>
        <w:numPr>
          <w:ilvl w:val="0"/>
          <w:numId w:val="8"/>
        </w:numPr>
      </w:pPr>
      <w:r>
        <w:t>The TCI state(s) indicated through inter-cell beam management is applied to UE-specific PDCCH/PDSCH, PUSCH and PUCCH, as specified in Rel-17</w:t>
      </w:r>
    </w:p>
    <w:p w14:paraId="06B0BC81" w14:textId="77777777" w:rsidR="00800CED" w:rsidRDefault="00800CED" w:rsidP="00800CED">
      <w:pPr>
        <w:pStyle w:val="000proposal"/>
        <w:numPr>
          <w:ilvl w:val="0"/>
          <w:numId w:val="8"/>
        </w:numPr>
      </w:pPr>
      <w:r>
        <w:t>The TCI state indicated in inter-cell mobility is applied to UE-common PDCCH/PDSCH.</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120042CB" w:rsidR="002B3587" w:rsidRDefault="002B3587" w:rsidP="002328B0">
      <w:pPr>
        <w:pStyle w:val="05reference"/>
        <w:rPr>
          <w:szCs w:val="20"/>
          <w:lang w:val="it-IT"/>
        </w:rPr>
      </w:pPr>
      <w:r>
        <w:rPr>
          <w:szCs w:val="20"/>
          <w:lang w:val="it-IT"/>
        </w:rPr>
        <w:t>RP-</w:t>
      </w:r>
      <w:r w:rsidR="00A43007">
        <w:rPr>
          <w:szCs w:val="20"/>
          <w:lang w:val="it-IT"/>
        </w:rPr>
        <w:t>2</w:t>
      </w:r>
      <w:r w:rsidR="00CC1F61">
        <w:rPr>
          <w:szCs w:val="20"/>
          <w:lang w:val="it-IT"/>
        </w:rPr>
        <w:t>22332</w:t>
      </w:r>
      <w:r>
        <w:rPr>
          <w:szCs w:val="20"/>
          <w:lang w:val="it-IT"/>
        </w:rPr>
        <w:t xml:space="preserve"> </w:t>
      </w:r>
      <w:r w:rsidR="00CC1F61" w:rsidRPr="00CC1F61">
        <w:rPr>
          <w:szCs w:val="20"/>
          <w:lang w:val="it-IT"/>
        </w:rPr>
        <w:t xml:space="preserve">Further NR Mobility Enhancements  </w:t>
      </w:r>
    </w:p>
    <w:sectPr w:rsidR="002B3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B007" w14:textId="77777777" w:rsidR="000875F1" w:rsidRDefault="000875F1">
      <w:r>
        <w:separator/>
      </w:r>
    </w:p>
  </w:endnote>
  <w:endnote w:type="continuationSeparator" w:id="0">
    <w:p w14:paraId="0CAA713D" w14:textId="77777777" w:rsidR="000875F1" w:rsidRDefault="00087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1D1B1" w14:textId="77777777" w:rsidR="000875F1" w:rsidRDefault="000875F1">
      <w:r>
        <w:separator/>
      </w:r>
    </w:p>
  </w:footnote>
  <w:footnote w:type="continuationSeparator" w:id="0">
    <w:p w14:paraId="26BEFAFD" w14:textId="77777777" w:rsidR="000875F1" w:rsidRDefault="00087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743871331">
    <w:abstractNumId w:val="11"/>
  </w:num>
  <w:num w:numId="2" w16cid:durableId="88620007">
    <w:abstractNumId w:val="3"/>
  </w:num>
  <w:num w:numId="3" w16cid:durableId="123159343">
    <w:abstractNumId w:val="9"/>
  </w:num>
  <w:num w:numId="4" w16cid:durableId="1426074486">
    <w:abstractNumId w:val="6"/>
  </w:num>
  <w:num w:numId="5" w16cid:durableId="1325162131">
    <w:abstractNumId w:val="0"/>
  </w:num>
  <w:num w:numId="6" w16cid:durableId="840241853">
    <w:abstractNumId w:val="1"/>
  </w:num>
  <w:num w:numId="7" w16cid:durableId="1828013031">
    <w:abstractNumId w:val="4"/>
  </w:num>
  <w:num w:numId="8" w16cid:durableId="434520049">
    <w:abstractNumId w:val="7"/>
  </w:num>
  <w:num w:numId="9" w16cid:durableId="2089962024">
    <w:abstractNumId w:val="10"/>
  </w:num>
  <w:num w:numId="10" w16cid:durableId="446001870">
    <w:abstractNumId w:val="2"/>
  </w:num>
  <w:num w:numId="11" w16cid:durableId="1814907546">
    <w:abstractNumId w:val="5"/>
  </w:num>
  <w:num w:numId="12" w16cid:durableId="122102023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14144"/>
    <w:rsid w:val="00015DD7"/>
    <w:rsid w:val="00016230"/>
    <w:rsid w:val="000202D5"/>
    <w:rsid w:val="000227D6"/>
    <w:rsid w:val="0002517B"/>
    <w:rsid w:val="00034291"/>
    <w:rsid w:val="00036C04"/>
    <w:rsid w:val="000516CE"/>
    <w:rsid w:val="00052A3E"/>
    <w:rsid w:val="00054753"/>
    <w:rsid w:val="000603F0"/>
    <w:rsid w:val="00067024"/>
    <w:rsid w:val="000670C1"/>
    <w:rsid w:val="00067B06"/>
    <w:rsid w:val="00071427"/>
    <w:rsid w:val="00071993"/>
    <w:rsid w:val="00071BE6"/>
    <w:rsid w:val="00074E36"/>
    <w:rsid w:val="00075805"/>
    <w:rsid w:val="00080DFA"/>
    <w:rsid w:val="00080ED5"/>
    <w:rsid w:val="00082F92"/>
    <w:rsid w:val="00085AAA"/>
    <w:rsid w:val="000875F1"/>
    <w:rsid w:val="000939D7"/>
    <w:rsid w:val="00095038"/>
    <w:rsid w:val="00096D44"/>
    <w:rsid w:val="000A0A59"/>
    <w:rsid w:val="000B368E"/>
    <w:rsid w:val="000B5E34"/>
    <w:rsid w:val="000C022B"/>
    <w:rsid w:val="000C0741"/>
    <w:rsid w:val="000C1ECC"/>
    <w:rsid w:val="000C315E"/>
    <w:rsid w:val="000C52F2"/>
    <w:rsid w:val="000D0CF6"/>
    <w:rsid w:val="000D51E9"/>
    <w:rsid w:val="000D6076"/>
    <w:rsid w:val="000D66CD"/>
    <w:rsid w:val="000D6C00"/>
    <w:rsid w:val="000E608E"/>
    <w:rsid w:val="000E6672"/>
    <w:rsid w:val="000E695E"/>
    <w:rsid w:val="000F13A3"/>
    <w:rsid w:val="000F491B"/>
    <w:rsid w:val="000F5BBA"/>
    <w:rsid w:val="000F6109"/>
    <w:rsid w:val="000F7493"/>
    <w:rsid w:val="00110E8A"/>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22E9"/>
    <w:rsid w:val="001448B1"/>
    <w:rsid w:val="001458BA"/>
    <w:rsid w:val="001500F1"/>
    <w:rsid w:val="0015020D"/>
    <w:rsid w:val="0015101C"/>
    <w:rsid w:val="00155165"/>
    <w:rsid w:val="00155D90"/>
    <w:rsid w:val="00165271"/>
    <w:rsid w:val="001708FD"/>
    <w:rsid w:val="00171FCE"/>
    <w:rsid w:val="00175F8A"/>
    <w:rsid w:val="0017679D"/>
    <w:rsid w:val="00176D71"/>
    <w:rsid w:val="001821C0"/>
    <w:rsid w:val="0019326C"/>
    <w:rsid w:val="00193464"/>
    <w:rsid w:val="001935D9"/>
    <w:rsid w:val="00194DDE"/>
    <w:rsid w:val="00195BE5"/>
    <w:rsid w:val="001964DE"/>
    <w:rsid w:val="001967B4"/>
    <w:rsid w:val="001A157B"/>
    <w:rsid w:val="001A512D"/>
    <w:rsid w:val="001A6762"/>
    <w:rsid w:val="001B0B07"/>
    <w:rsid w:val="001B4183"/>
    <w:rsid w:val="001B6B98"/>
    <w:rsid w:val="001C300D"/>
    <w:rsid w:val="001C4F3E"/>
    <w:rsid w:val="001C5007"/>
    <w:rsid w:val="001D28AA"/>
    <w:rsid w:val="001D3566"/>
    <w:rsid w:val="001E15DC"/>
    <w:rsid w:val="001E34E2"/>
    <w:rsid w:val="001E59C5"/>
    <w:rsid w:val="001E70FE"/>
    <w:rsid w:val="001F1C0D"/>
    <w:rsid w:val="001F28A8"/>
    <w:rsid w:val="001F3936"/>
    <w:rsid w:val="001F4B67"/>
    <w:rsid w:val="001F558D"/>
    <w:rsid w:val="00201ACD"/>
    <w:rsid w:val="0021377E"/>
    <w:rsid w:val="00215417"/>
    <w:rsid w:val="00216CDC"/>
    <w:rsid w:val="002206ED"/>
    <w:rsid w:val="00223401"/>
    <w:rsid w:val="00223B55"/>
    <w:rsid w:val="00224ADF"/>
    <w:rsid w:val="002268AD"/>
    <w:rsid w:val="002275CA"/>
    <w:rsid w:val="00227760"/>
    <w:rsid w:val="0023177B"/>
    <w:rsid w:val="002328B0"/>
    <w:rsid w:val="002360B6"/>
    <w:rsid w:val="00236764"/>
    <w:rsid w:val="00236ED8"/>
    <w:rsid w:val="0024376A"/>
    <w:rsid w:val="00250EF8"/>
    <w:rsid w:val="00255EFE"/>
    <w:rsid w:val="002563C3"/>
    <w:rsid w:val="00256423"/>
    <w:rsid w:val="002611A1"/>
    <w:rsid w:val="00262BCE"/>
    <w:rsid w:val="0027047C"/>
    <w:rsid w:val="00274CE7"/>
    <w:rsid w:val="00275AC4"/>
    <w:rsid w:val="00276093"/>
    <w:rsid w:val="00282B71"/>
    <w:rsid w:val="00282C00"/>
    <w:rsid w:val="00282F2A"/>
    <w:rsid w:val="00286683"/>
    <w:rsid w:val="00290459"/>
    <w:rsid w:val="00291C16"/>
    <w:rsid w:val="002A1F70"/>
    <w:rsid w:val="002A2D10"/>
    <w:rsid w:val="002B3587"/>
    <w:rsid w:val="002B39D3"/>
    <w:rsid w:val="002C09EE"/>
    <w:rsid w:val="002C3012"/>
    <w:rsid w:val="002D0F0E"/>
    <w:rsid w:val="002D12C4"/>
    <w:rsid w:val="002D3F3F"/>
    <w:rsid w:val="002D5916"/>
    <w:rsid w:val="002D6287"/>
    <w:rsid w:val="002E20AD"/>
    <w:rsid w:val="002E2C84"/>
    <w:rsid w:val="002E58C9"/>
    <w:rsid w:val="002F46B5"/>
    <w:rsid w:val="002F5E03"/>
    <w:rsid w:val="00311DA8"/>
    <w:rsid w:val="003144C9"/>
    <w:rsid w:val="0031751C"/>
    <w:rsid w:val="00321588"/>
    <w:rsid w:val="003218CE"/>
    <w:rsid w:val="00324CC1"/>
    <w:rsid w:val="00325686"/>
    <w:rsid w:val="00325DF4"/>
    <w:rsid w:val="00327ABE"/>
    <w:rsid w:val="00330A2F"/>
    <w:rsid w:val="0033138F"/>
    <w:rsid w:val="00332738"/>
    <w:rsid w:val="00333D52"/>
    <w:rsid w:val="003370C7"/>
    <w:rsid w:val="003417EF"/>
    <w:rsid w:val="00341F72"/>
    <w:rsid w:val="00342E65"/>
    <w:rsid w:val="00345366"/>
    <w:rsid w:val="0034737A"/>
    <w:rsid w:val="0036243F"/>
    <w:rsid w:val="0036257D"/>
    <w:rsid w:val="00366776"/>
    <w:rsid w:val="00380901"/>
    <w:rsid w:val="003845A5"/>
    <w:rsid w:val="00392764"/>
    <w:rsid w:val="0039491B"/>
    <w:rsid w:val="00395AFD"/>
    <w:rsid w:val="003A0A54"/>
    <w:rsid w:val="003A6D5C"/>
    <w:rsid w:val="003A6DA8"/>
    <w:rsid w:val="003B1FD4"/>
    <w:rsid w:val="003B2B21"/>
    <w:rsid w:val="003B43DA"/>
    <w:rsid w:val="003B510F"/>
    <w:rsid w:val="003C22BE"/>
    <w:rsid w:val="003C265D"/>
    <w:rsid w:val="003C2E5C"/>
    <w:rsid w:val="003C3093"/>
    <w:rsid w:val="003C4B23"/>
    <w:rsid w:val="003C6F44"/>
    <w:rsid w:val="003C70E5"/>
    <w:rsid w:val="003D2528"/>
    <w:rsid w:val="003D3369"/>
    <w:rsid w:val="003D64CB"/>
    <w:rsid w:val="003E11C2"/>
    <w:rsid w:val="003E6676"/>
    <w:rsid w:val="003F1D1A"/>
    <w:rsid w:val="003F3A31"/>
    <w:rsid w:val="003F538F"/>
    <w:rsid w:val="004018E5"/>
    <w:rsid w:val="00407B81"/>
    <w:rsid w:val="004105EF"/>
    <w:rsid w:val="00413219"/>
    <w:rsid w:val="00416940"/>
    <w:rsid w:val="00421816"/>
    <w:rsid w:val="00422F7E"/>
    <w:rsid w:val="00423BF7"/>
    <w:rsid w:val="004244C4"/>
    <w:rsid w:val="00424536"/>
    <w:rsid w:val="004258B1"/>
    <w:rsid w:val="00426B04"/>
    <w:rsid w:val="0043602A"/>
    <w:rsid w:val="004373B1"/>
    <w:rsid w:val="0044067E"/>
    <w:rsid w:val="0044100E"/>
    <w:rsid w:val="00443D47"/>
    <w:rsid w:val="004507AF"/>
    <w:rsid w:val="00450CEA"/>
    <w:rsid w:val="0045636D"/>
    <w:rsid w:val="00461818"/>
    <w:rsid w:val="00463E2B"/>
    <w:rsid w:val="0046418B"/>
    <w:rsid w:val="00464789"/>
    <w:rsid w:val="0046537A"/>
    <w:rsid w:val="0046567E"/>
    <w:rsid w:val="004656BA"/>
    <w:rsid w:val="004732EC"/>
    <w:rsid w:val="00475234"/>
    <w:rsid w:val="00475CB0"/>
    <w:rsid w:val="00482190"/>
    <w:rsid w:val="00484EBF"/>
    <w:rsid w:val="004850E2"/>
    <w:rsid w:val="00486D78"/>
    <w:rsid w:val="0049601E"/>
    <w:rsid w:val="00497AFF"/>
    <w:rsid w:val="004A1FB4"/>
    <w:rsid w:val="004A2884"/>
    <w:rsid w:val="004A7A50"/>
    <w:rsid w:val="004B14D7"/>
    <w:rsid w:val="004B777D"/>
    <w:rsid w:val="004B78F8"/>
    <w:rsid w:val="004C02D2"/>
    <w:rsid w:val="004C2021"/>
    <w:rsid w:val="004C4318"/>
    <w:rsid w:val="004C641B"/>
    <w:rsid w:val="004D0AF8"/>
    <w:rsid w:val="004D0D0E"/>
    <w:rsid w:val="004D237A"/>
    <w:rsid w:val="004D7833"/>
    <w:rsid w:val="004E0289"/>
    <w:rsid w:val="004E232F"/>
    <w:rsid w:val="004E5035"/>
    <w:rsid w:val="004E5A0F"/>
    <w:rsid w:val="004F3A79"/>
    <w:rsid w:val="004F3D86"/>
    <w:rsid w:val="0050117A"/>
    <w:rsid w:val="00502E93"/>
    <w:rsid w:val="00503242"/>
    <w:rsid w:val="00507A08"/>
    <w:rsid w:val="00507FFE"/>
    <w:rsid w:val="00514197"/>
    <w:rsid w:val="00527D26"/>
    <w:rsid w:val="0053029C"/>
    <w:rsid w:val="005350B8"/>
    <w:rsid w:val="0053652F"/>
    <w:rsid w:val="005366B1"/>
    <w:rsid w:val="0054041F"/>
    <w:rsid w:val="00540D9B"/>
    <w:rsid w:val="00544A7B"/>
    <w:rsid w:val="0054622D"/>
    <w:rsid w:val="005517D2"/>
    <w:rsid w:val="00556940"/>
    <w:rsid w:val="00560E61"/>
    <w:rsid w:val="0057268B"/>
    <w:rsid w:val="00572ACD"/>
    <w:rsid w:val="005753EB"/>
    <w:rsid w:val="00576532"/>
    <w:rsid w:val="005806EF"/>
    <w:rsid w:val="005809A8"/>
    <w:rsid w:val="00582C25"/>
    <w:rsid w:val="0058647E"/>
    <w:rsid w:val="005A09CE"/>
    <w:rsid w:val="005A7BEB"/>
    <w:rsid w:val="005B0252"/>
    <w:rsid w:val="005B1ABC"/>
    <w:rsid w:val="005B2B52"/>
    <w:rsid w:val="005B4E6D"/>
    <w:rsid w:val="005B6691"/>
    <w:rsid w:val="005B6F08"/>
    <w:rsid w:val="005C01D6"/>
    <w:rsid w:val="005C5EB6"/>
    <w:rsid w:val="005D0425"/>
    <w:rsid w:val="005D3063"/>
    <w:rsid w:val="005D5DDE"/>
    <w:rsid w:val="005D6A40"/>
    <w:rsid w:val="005D7F02"/>
    <w:rsid w:val="005E4884"/>
    <w:rsid w:val="005E6930"/>
    <w:rsid w:val="005F0162"/>
    <w:rsid w:val="005F47B2"/>
    <w:rsid w:val="00602598"/>
    <w:rsid w:val="00602F41"/>
    <w:rsid w:val="00605D5C"/>
    <w:rsid w:val="0061067B"/>
    <w:rsid w:val="006134A1"/>
    <w:rsid w:val="0061366B"/>
    <w:rsid w:val="006139B3"/>
    <w:rsid w:val="006157FC"/>
    <w:rsid w:val="00630FE7"/>
    <w:rsid w:val="00633674"/>
    <w:rsid w:val="00635687"/>
    <w:rsid w:val="00640DF0"/>
    <w:rsid w:val="0064214C"/>
    <w:rsid w:val="00647000"/>
    <w:rsid w:val="00670287"/>
    <w:rsid w:val="00673294"/>
    <w:rsid w:val="00673326"/>
    <w:rsid w:val="00674D8E"/>
    <w:rsid w:val="00677BEC"/>
    <w:rsid w:val="006804FC"/>
    <w:rsid w:val="00692500"/>
    <w:rsid w:val="006951D6"/>
    <w:rsid w:val="006A5C1B"/>
    <w:rsid w:val="006B0E04"/>
    <w:rsid w:val="006B10E7"/>
    <w:rsid w:val="006B1665"/>
    <w:rsid w:val="006B1876"/>
    <w:rsid w:val="006B2BED"/>
    <w:rsid w:val="006B6981"/>
    <w:rsid w:val="006C15F8"/>
    <w:rsid w:val="006C2EAF"/>
    <w:rsid w:val="006C4D97"/>
    <w:rsid w:val="006D0253"/>
    <w:rsid w:val="006D348C"/>
    <w:rsid w:val="006D4A84"/>
    <w:rsid w:val="006D5AEF"/>
    <w:rsid w:val="006E0C13"/>
    <w:rsid w:val="006E6C39"/>
    <w:rsid w:val="006E74D4"/>
    <w:rsid w:val="006F05A0"/>
    <w:rsid w:val="006F2513"/>
    <w:rsid w:val="006F28B6"/>
    <w:rsid w:val="006F293F"/>
    <w:rsid w:val="006F2C29"/>
    <w:rsid w:val="006F2D57"/>
    <w:rsid w:val="006F6446"/>
    <w:rsid w:val="0070130C"/>
    <w:rsid w:val="00710CF6"/>
    <w:rsid w:val="00712835"/>
    <w:rsid w:val="00723203"/>
    <w:rsid w:val="007255EB"/>
    <w:rsid w:val="007265DC"/>
    <w:rsid w:val="0073145F"/>
    <w:rsid w:val="00732244"/>
    <w:rsid w:val="00736C30"/>
    <w:rsid w:val="00742170"/>
    <w:rsid w:val="007466AE"/>
    <w:rsid w:val="0074781A"/>
    <w:rsid w:val="00752231"/>
    <w:rsid w:val="00753C87"/>
    <w:rsid w:val="007540DA"/>
    <w:rsid w:val="00754921"/>
    <w:rsid w:val="00754EED"/>
    <w:rsid w:val="00756067"/>
    <w:rsid w:val="007704E0"/>
    <w:rsid w:val="00771AD0"/>
    <w:rsid w:val="0078463D"/>
    <w:rsid w:val="00786832"/>
    <w:rsid w:val="007869AD"/>
    <w:rsid w:val="00786EF8"/>
    <w:rsid w:val="007904D1"/>
    <w:rsid w:val="00791CE2"/>
    <w:rsid w:val="007A197E"/>
    <w:rsid w:val="007A2AD5"/>
    <w:rsid w:val="007A3841"/>
    <w:rsid w:val="007A4CB7"/>
    <w:rsid w:val="007A66BC"/>
    <w:rsid w:val="007B18E9"/>
    <w:rsid w:val="007C1686"/>
    <w:rsid w:val="007C7102"/>
    <w:rsid w:val="007D4E67"/>
    <w:rsid w:val="007E7852"/>
    <w:rsid w:val="007F5A04"/>
    <w:rsid w:val="007F6DC4"/>
    <w:rsid w:val="00800CED"/>
    <w:rsid w:val="00801370"/>
    <w:rsid w:val="00814298"/>
    <w:rsid w:val="00820AEF"/>
    <w:rsid w:val="008218C0"/>
    <w:rsid w:val="008220EC"/>
    <w:rsid w:val="00830508"/>
    <w:rsid w:val="00830DDF"/>
    <w:rsid w:val="00841CAA"/>
    <w:rsid w:val="00843D4C"/>
    <w:rsid w:val="0084419C"/>
    <w:rsid w:val="00846181"/>
    <w:rsid w:val="00850645"/>
    <w:rsid w:val="00856385"/>
    <w:rsid w:val="00856939"/>
    <w:rsid w:val="00863576"/>
    <w:rsid w:val="008677D2"/>
    <w:rsid w:val="00870B5C"/>
    <w:rsid w:val="00872002"/>
    <w:rsid w:val="008822C9"/>
    <w:rsid w:val="00882742"/>
    <w:rsid w:val="008831B4"/>
    <w:rsid w:val="00890DA5"/>
    <w:rsid w:val="00892024"/>
    <w:rsid w:val="008A13C0"/>
    <w:rsid w:val="008A41E2"/>
    <w:rsid w:val="008A75E3"/>
    <w:rsid w:val="008B2F52"/>
    <w:rsid w:val="008B4832"/>
    <w:rsid w:val="008B6457"/>
    <w:rsid w:val="008B6586"/>
    <w:rsid w:val="008B79B1"/>
    <w:rsid w:val="008C0995"/>
    <w:rsid w:val="008C2323"/>
    <w:rsid w:val="008D3429"/>
    <w:rsid w:val="008D490A"/>
    <w:rsid w:val="008D5B9C"/>
    <w:rsid w:val="008E0683"/>
    <w:rsid w:val="008E2B10"/>
    <w:rsid w:val="008E5C7B"/>
    <w:rsid w:val="008E627E"/>
    <w:rsid w:val="008F7641"/>
    <w:rsid w:val="009018DC"/>
    <w:rsid w:val="0090627F"/>
    <w:rsid w:val="00911AE1"/>
    <w:rsid w:val="00912F2B"/>
    <w:rsid w:val="00913B68"/>
    <w:rsid w:val="00917F09"/>
    <w:rsid w:val="00925859"/>
    <w:rsid w:val="00926FA8"/>
    <w:rsid w:val="009273DC"/>
    <w:rsid w:val="00927978"/>
    <w:rsid w:val="009355ED"/>
    <w:rsid w:val="0094132E"/>
    <w:rsid w:val="0094294A"/>
    <w:rsid w:val="00944E79"/>
    <w:rsid w:val="009477E9"/>
    <w:rsid w:val="00952C0B"/>
    <w:rsid w:val="00960CDA"/>
    <w:rsid w:val="00963ED0"/>
    <w:rsid w:val="009678A0"/>
    <w:rsid w:val="00972954"/>
    <w:rsid w:val="009753EA"/>
    <w:rsid w:val="0097719B"/>
    <w:rsid w:val="00982C04"/>
    <w:rsid w:val="00985FE4"/>
    <w:rsid w:val="00994211"/>
    <w:rsid w:val="009976A6"/>
    <w:rsid w:val="009A06C0"/>
    <w:rsid w:val="009A1083"/>
    <w:rsid w:val="009A478C"/>
    <w:rsid w:val="009A5B4B"/>
    <w:rsid w:val="009B2043"/>
    <w:rsid w:val="009B3C49"/>
    <w:rsid w:val="009C0237"/>
    <w:rsid w:val="009C0248"/>
    <w:rsid w:val="009D14E0"/>
    <w:rsid w:val="009D1A67"/>
    <w:rsid w:val="009E240D"/>
    <w:rsid w:val="009E3901"/>
    <w:rsid w:val="009E5BDD"/>
    <w:rsid w:val="009E6DF8"/>
    <w:rsid w:val="009E7068"/>
    <w:rsid w:val="009F32AB"/>
    <w:rsid w:val="009F3DFF"/>
    <w:rsid w:val="009F5037"/>
    <w:rsid w:val="009F721C"/>
    <w:rsid w:val="00A02203"/>
    <w:rsid w:val="00A06008"/>
    <w:rsid w:val="00A071D2"/>
    <w:rsid w:val="00A1097F"/>
    <w:rsid w:val="00A130A8"/>
    <w:rsid w:val="00A16EB4"/>
    <w:rsid w:val="00A17C12"/>
    <w:rsid w:val="00A21A2E"/>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64700"/>
    <w:rsid w:val="00A64E7C"/>
    <w:rsid w:val="00A65061"/>
    <w:rsid w:val="00A72987"/>
    <w:rsid w:val="00A72B75"/>
    <w:rsid w:val="00A74472"/>
    <w:rsid w:val="00A77025"/>
    <w:rsid w:val="00A80550"/>
    <w:rsid w:val="00A81411"/>
    <w:rsid w:val="00A849CF"/>
    <w:rsid w:val="00A84D85"/>
    <w:rsid w:val="00A8700D"/>
    <w:rsid w:val="00A94539"/>
    <w:rsid w:val="00A94FDF"/>
    <w:rsid w:val="00A96017"/>
    <w:rsid w:val="00A979F1"/>
    <w:rsid w:val="00AA1989"/>
    <w:rsid w:val="00AA5768"/>
    <w:rsid w:val="00AB27E5"/>
    <w:rsid w:val="00AB6FDF"/>
    <w:rsid w:val="00AB70B7"/>
    <w:rsid w:val="00AC6794"/>
    <w:rsid w:val="00AD1E50"/>
    <w:rsid w:val="00AD516E"/>
    <w:rsid w:val="00AD682A"/>
    <w:rsid w:val="00AD7A83"/>
    <w:rsid w:val="00AE2E6F"/>
    <w:rsid w:val="00AE300B"/>
    <w:rsid w:val="00AF545D"/>
    <w:rsid w:val="00B011FB"/>
    <w:rsid w:val="00B03F4F"/>
    <w:rsid w:val="00B063FA"/>
    <w:rsid w:val="00B12F2F"/>
    <w:rsid w:val="00B1447C"/>
    <w:rsid w:val="00B16457"/>
    <w:rsid w:val="00B20B4D"/>
    <w:rsid w:val="00B21B4F"/>
    <w:rsid w:val="00B225C0"/>
    <w:rsid w:val="00B27537"/>
    <w:rsid w:val="00B30B2A"/>
    <w:rsid w:val="00B355FE"/>
    <w:rsid w:val="00B35C83"/>
    <w:rsid w:val="00B41147"/>
    <w:rsid w:val="00B458D2"/>
    <w:rsid w:val="00B46957"/>
    <w:rsid w:val="00B50BD8"/>
    <w:rsid w:val="00B53C89"/>
    <w:rsid w:val="00B5642A"/>
    <w:rsid w:val="00B60F85"/>
    <w:rsid w:val="00B62BEF"/>
    <w:rsid w:val="00B64570"/>
    <w:rsid w:val="00B645FD"/>
    <w:rsid w:val="00B64EB0"/>
    <w:rsid w:val="00B6633C"/>
    <w:rsid w:val="00B71542"/>
    <w:rsid w:val="00B721B8"/>
    <w:rsid w:val="00B72AA5"/>
    <w:rsid w:val="00B73243"/>
    <w:rsid w:val="00B774DC"/>
    <w:rsid w:val="00B77557"/>
    <w:rsid w:val="00B8297C"/>
    <w:rsid w:val="00B84A75"/>
    <w:rsid w:val="00B96F94"/>
    <w:rsid w:val="00B97330"/>
    <w:rsid w:val="00BA4F95"/>
    <w:rsid w:val="00BA6AE0"/>
    <w:rsid w:val="00BA758E"/>
    <w:rsid w:val="00BB0F8A"/>
    <w:rsid w:val="00BB2146"/>
    <w:rsid w:val="00BB3F72"/>
    <w:rsid w:val="00BB413B"/>
    <w:rsid w:val="00BB745D"/>
    <w:rsid w:val="00BC000C"/>
    <w:rsid w:val="00BC0128"/>
    <w:rsid w:val="00BC36B4"/>
    <w:rsid w:val="00BC6B32"/>
    <w:rsid w:val="00BD5AC0"/>
    <w:rsid w:val="00BE12D4"/>
    <w:rsid w:val="00BF3168"/>
    <w:rsid w:val="00BF4622"/>
    <w:rsid w:val="00C00C5A"/>
    <w:rsid w:val="00C025EF"/>
    <w:rsid w:val="00C02C30"/>
    <w:rsid w:val="00C06752"/>
    <w:rsid w:val="00C074C1"/>
    <w:rsid w:val="00C1450F"/>
    <w:rsid w:val="00C15998"/>
    <w:rsid w:val="00C16790"/>
    <w:rsid w:val="00C20B64"/>
    <w:rsid w:val="00C20C44"/>
    <w:rsid w:val="00C212DA"/>
    <w:rsid w:val="00C21B1B"/>
    <w:rsid w:val="00C2212C"/>
    <w:rsid w:val="00C35DF2"/>
    <w:rsid w:val="00C40635"/>
    <w:rsid w:val="00C453B0"/>
    <w:rsid w:val="00C470CC"/>
    <w:rsid w:val="00C4799D"/>
    <w:rsid w:val="00C47E0E"/>
    <w:rsid w:val="00C5162A"/>
    <w:rsid w:val="00C55B7E"/>
    <w:rsid w:val="00C5701A"/>
    <w:rsid w:val="00C6336A"/>
    <w:rsid w:val="00C655D3"/>
    <w:rsid w:val="00C66DF9"/>
    <w:rsid w:val="00C72246"/>
    <w:rsid w:val="00C76BB1"/>
    <w:rsid w:val="00C80592"/>
    <w:rsid w:val="00C82759"/>
    <w:rsid w:val="00C858B7"/>
    <w:rsid w:val="00C8780A"/>
    <w:rsid w:val="00C878A6"/>
    <w:rsid w:val="00C9409C"/>
    <w:rsid w:val="00C95656"/>
    <w:rsid w:val="00C9748A"/>
    <w:rsid w:val="00CA1456"/>
    <w:rsid w:val="00CA2EB9"/>
    <w:rsid w:val="00CA4000"/>
    <w:rsid w:val="00CA5685"/>
    <w:rsid w:val="00CB016D"/>
    <w:rsid w:val="00CB5F06"/>
    <w:rsid w:val="00CB7679"/>
    <w:rsid w:val="00CC1F61"/>
    <w:rsid w:val="00CC328B"/>
    <w:rsid w:val="00CC51B7"/>
    <w:rsid w:val="00CC6044"/>
    <w:rsid w:val="00CC6462"/>
    <w:rsid w:val="00CD42D0"/>
    <w:rsid w:val="00CD79A3"/>
    <w:rsid w:val="00CD7A19"/>
    <w:rsid w:val="00CE07AE"/>
    <w:rsid w:val="00CF1473"/>
    <w:rsid w:val="00D00BA1"/>
    <w:rsid w:val="00D03D19"/>
    <w:rsid w:val="00D07BBF"/>
    <w:rsid w:val="00D07D9F"/>
    <w:rsid w:val="00D1006B"/>
    <w:rsid w:val="00D101AD"/>
    <w:rsid w:val="00D11D24"/>
    <w:rsid w:val="00D12551"/>
    <w:rsid w:val="00D12FF4"/>
    <w:rsid w:val="00D1684A"/>
    <w:rsid w:val="00D336A3"/>
    <w:rsid w:val="00D4266A"/>
    <w:rsid w:val="00D42AEA"/>
    <w:rsid w:val="00D4775D"/>
    <w:rsid w:val="00D51602"/>
    <w:rsid w:val="00D53F5F"/>
    <w:rsid w:val="00D547FB"/>
    <w:rsid w:val="00D54CA7"/>
    <w:rsid w:val="00D57EF4"/>
    <w:rsid w:val="00D61B20"/>
    <w:rsid w:val="00D64C85"/>
    <w:rsid w:val="00D676A2"/>
    <w:rsid w:val="00D712F0"/>
    <w:rsid w:val="00D724DA"/>
    <w:rsid w:val="00D72C80"/>
    <w:rsid w:val="00D73BF8"/>
    <w:rsid w:val="00D821CF"/>
    <w:rsid w:val="00D870D2"/>
    <w:rsid w:val="00D9313C"/>
    <w:rsid w:val="00D97151"/>
    <w:rsid w:val="00DA0CB1"/>
    <w:rsid w:val="00DA21A5"/>
    <w:rsid w:val="00DB2858"/>
    <w:rsid w:val="00DC485D"/>
    <w:rsid w:val="00DC728B"/>
    <w:rsid w:val="00DE09A3"/>
    <w:rsid w:val="00DE2915"/>
    <w:rsid w:val="00DE7A2F"/>
    <w:rsid w:val="00DF0C5C"/>
    <w:rsid w:val="00DF4F8F"/>
    <w:rsid w:val="00DF6151"/>
    <w:rsid w:val="00DF720E"/>
    <w:rsid w:val="00DF7E27"/>
    <w:rsid w:val="00E00E06"/>
    <w:rsid w:val="00E01A4F"/>
    <w:rsid w:val="00E01BE2"/>
    <w:rsid w:val="00E02307"/>
    <w:rsid w:val="00E035BA"/>
    <w:rsid w:val="00E03946"/>
    <w:rsid w:val="00E04EA6"/>
    <w:rsid w:val="00E1309B"/>
    <w:rsid w:val="00E17EB8"/>
    <w:rsid w:val="00E200FA"/>
    <w:rsid w:val="00E20C98"/>
    <w:rsid w:val="00E21B7A"/>
    <w:rsid w:val="00E237B2"/>
    <w:rsid w:val="00E24F03"/>
    <w:rsid w:val="00E26758"/>
    <w:rsid w:val="00E30CE6"/>
    <w:rsid w:val="00E41BF7"/>
    <w:rsid w:val="00E47088"/>
    <w:rsid w:val="00E6074A"/>
    <w:rsid w:val="00E62FFC"/>
    <w:rsid w:val="00E64225"/>
    <w:rsid w:val="00E673D8"/>
    <w:rsid w:val="00E733AA"/>
    <w:rsid w:val="00E73CE9"/>
    <w:rsid w:val="00E74AE3"/>
    <w:rsid w:val="00E816D0"/>
    <w:rsid w:val="00E84804"/>
    <w:rsid w:val="00E916F4"/>
    <w:rsid w:val="00E923B4"/>
    <w:rsid w:val="00E94059"/>
    <w:rsid w:val="00E943EF"/>
    <w:rsid w:val="00EA13E0"/>
    <w:rsid w:val="00EA50D3"/>
    <w:rsid w:val="00EB770D"/>
    <w:rsid w:val="00EC11E8"/>
    <w:rsid w:val="00EC34C1"/>
    <w:rsid w:val="00ED350C"/>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5987"/>
    <w:rsid w:val="00F375A4"/>
    <w:rsid w:val="00F40045"/>
    <w:rsid w:val="00F41C4A"/>
    <w:rsid w:val="00F43264"/>
    <w:rsid w:val="00F435F1"/>
    <w:rsid w:val="00F43A9C"/>
    <w:rsid w:val="00F46F00"/>
    <w:rsid w:val="00F47263"/>
    <w:rsid w:val="00F60E1F"/>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A1500"/>
    <w:rsid w:val="00FA3A4C"/>
    <w:rsid w:val="00FA7086"/>
    <w:rsid w:val="00FA7F9F"/>
    <w:rsid w:val="00FB1E82"/>
    <w:rsid w:val="00FB4118"/>
    <w:rsid w:val="00FB578D"/>
    <w:rsid w:val="00FB57F8"/>
    <w:rsid w:val="00FB585E"/>
    <w:rsid w:val="00FB621D"/>
    <w:rsid w:val="00FC3B45"/>
    <w:rsid w:val="00FC446B"/>
    <w:rsid w:val="00FC471E"/>
    <w:rsid w:val="00FC743C"/>
    <w:rsid w:val="00FC7D87"/>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A0A59"/>
    <w:pPr>
      <w:spacing w:before="120" w:after="120" w:line="264" w:lineRule="auto"/>
      <w:jc w:val="both"/>
    </w:pPr>
    <w:rPr>
      <w:rFonts w:eastAsia="SimSun"/>
      <w:lang w:eastAsia="zh-CN"/>
    </w:rPr>
  </w:style>
  <w:style w:type="character" w:customStyle="1" w:styleId="00TextChar">
    <w:name w:val="00_Text Char"/>
    <w:basedOn w:val="DefaultParagraphFont"/>
    <w:link w:val="00Text"/>
    <w:rsid w:val="000A0A59"/>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SimSun"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2796</Words>
  <Characters>15938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2022-11-04T03:07:00Z</dcterms:modified>
</cp:coreProperties>
</file>