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144FD9A" w:rsidR="00F110CD" w:rsidRPr="004D1136" w:rsidRDefault="00F110CD" w:rsidP="00F110CD">
      <w:pPr>
        <w:pStyle w:val="Header"/>
        <w:tabs>
          <w:tab w:val="right" w:pos="9639"/>
        </w:tabs>
        <w:rPr>
          <w:bCs/>
          <w:noProof w:val="0"/>
          <w:sz w:val="24"/>
          <w:szCs w:val="24"/>
        </w:rPr>
      </w:pPr>
      <w:bookmarkStart w:id="0" w:name="_Hlk37418177"/>
      <w:r w:rsidRPr="004D1136">
        <w:rPr>
          <w:bCs/>
          <w:noProof w:val="0"/>
          <w:sz w:val="24"/>
          <w:szCs w:val="24"/>
        </w:rPr>
        <w:t>3GPP TSG RA</w:t>
      </w:r>
      <w:r w:rsidR="00BA1872" w:rsidRPr="004D1136">
        <w:rPr>
          <w:bCs/>
          <w:noProof w:val="0"/>
          <w:sz w:val="24"/>
          <w:szCs w:val="24"/>
        </w:rPr>
        <w:t xml:space="preserve">N WG1 </w:t>
      </w:r>
      <w:r w:rsidR="00B65452" w:rsidRPr="004D1136">
        <w:rPr>
          <w:bCs/>
          <w:noProof w:val="0"/>
          <w:sz w:val="24"/>
          <w:szCs w:val="24"/>
        </w:rPr>
        <w:t>#</w:t>
      </w:r>
      <w:r w:rsidR="00191E79" w:rsidRPr="004D1136">
        <w:rPr>
          <w:bCs/>
          <w:noProof w:val="0"/>
          <w:sz w:val="24"/>
          <w:szCs w:val="24"/>
        </w:rPr>
        <w:t>1</w:t>
      </w:r>
      <w:r w:rsidR="006A60AC" w:rsidRPr="004D1136">
        <w:rPr>
          <w:bCs/>
          <w:noProof w:val="0"/>
          <w:sz w:val="24"/>
          <w:szCs w:val="24"/>
        </w:rPr>
        <w:t>1</w:t>
      </w:r>
      <w:r w:rsidR="00502CCE" w:rsidRPr="004D1136">
        <w:rPr>
          <w:bCs/>
          <w:noProof w:val="0"/>
          <w:sz w:val="24"/>
          <w:szCs w:val="24"/>
        </w:rPr>
        <w:t>1</w:t>
      </w:r>
      <w:r w:rsidR="001348FE" w:rsidRPr="004D1136">
        <w:rPr>
          <w:bCs/>
          <w:noProof w:val="0"/>
          <w:sz w:val="24"/>
          <w:szCs w:val="24"/>
        </w:rPr>
        <w:tab/>
      </w:r>
      <w:r w:rsidR="006910B4" w:rsidRPr="004D1136">
        <w:rPr>
          <w:bCs/>
          <w:noProof w:val="0"/>
          <w:sz w:val="24"/>
          <w:szCs w:val="24"/>
        </w:rPr>
        <w:t>R1-2211303</w:t>
      </w:r>
    </w:p>
    <w:p w14:paraId="30E02940" w14:textId="43F8F475" w:rsidR="00CA26CE" w:rsidRPr="004D1136" w:rsidRDefault="00502CCE" w:rsidP="00CA26CE">
      <w:pPr>
        <w:pStyle w:val="Header"/>
        <w:rPr>
          <w:bCs/>
          <w:noProof w:val="0"/>
          <w:sz w:val="24"/>
          <w:szCs w:val="24"/>
        </w:rPr>
      </w:pPr>
      <w:r w:rsidRPr="004D1136">
        <w:rPr>
          <w:bCs/>
          <w:noProof w:val="0"/>
          <w:sz w:val="24"/>
          <w:szCs w:val="24"/>
        </w:rPr>
        <w:t>Toulouse, France</w:t>
      </w:r>
      <w:r w:rsidR="006A60AC" w:rsidRPr="004D1136">
        <w:rPr>
          <w:bCs/>
          <w:noProof w:val="0"/>
          <w:sz w:val="24"/>
          <w:szCs w:val="24"/>
        </w:rPr>
        <w:t xml:space="preserve">, </w:t>
      </w:r>
      <w:r w:rsidR="005954FB" w:rsidRPr="004D1136">
        <w:rPr>
          <w:bCs/>
          <w:noProof w:val="0"/>
          <w:sz w:val="24"/>
          <w:szCs w:val="24"/>
        </w:rPr>
        <w:t>1</w:t>
      </w:r>
      <w:r w:rsidRPr="004D1136">
        <w:rPr>
          <w:bCs/>
          <w:noProof w:val="0"/>
          <w:sz w:val="24"/>
          <w:szCs w:val="24"/>
        </w:rPr>
        <w:t>4</w:t>
      </w:r>
      <w:r w:rsidRPr="004D1136">
        <w:rPr>
          <w:bCs/>
          <w:noProof w:val="0"/>
          <w:sz w:val="24"/>
          <w:szCs w:val="24"/>
          <w:vertAlign w:val="superscript"/>
        </w:rPr>
        <w:t>th</w:t>
      </w:r>
      <w:r w:rsidRPr="004D1136">
        <w:rPr>
          <w:bCs/>
          <w:noProof w:val="0"/>
          <w:sz w:val="24"/>
          <w:szCs w:val="24"/>
        </w:rPr>
        <w:t xml:space="preserve"> </w:t>
      </w:r>
      <w:r w:rsidR="00451BAE" w:rsidRPr="004D1136">
        <w:rPr>
          <w:bCs/>
          <w:noProof w:val="0"/>
          <w:sz w:val="24"/>
          <w:szCs w:val="24"/>
        </w:rPr>
        <w:t xml:space="preserve">– </w:t>
      </w:r>
      <w:r w:rsidR="005954FB" w:rsidRPr="004D1136">
        <w:rPr>
          <w:bCs/>
          <w:noProof w:val="0"/>
          <w:sz w:val="24"/>
          <w:szCs w:val="24"/>
        </w:rPr>
        <w:t>1</w:t>
      </w:r>
      <w:r w:rsidRPr="004D1136">
        <w:rPr>
          <w:bCs/>
          <w:noProof w:val="0"/>
          <w:sz w:val="24"/>
          <w:szCs w:val="24"/>
        </w:rPr>
        <w:t>8</w:t>
      </w:r>
      <w:r w:rsidRPr="004D1136">
        <w:rPr>
          <w:bCs/>
          <w:noProof w:val="0"/>
          <w:sz w:val="24"/>
          <w:szCs w:val="24"/>
          <w:vertAlign w:val="superscript"/>
        </w:rPr>
        <w:t>th</w:t>
      </w:r>
      <w:r w:rsidRPr="004D1136">
        <w:rPr>
          <w:bCs/>
          <w:noProof w:val="0"/>
          <w:sz w:val="24"/>
          <w:szCs w:val="24"/>
        </w:rPr>
        <w:t xml:space="preserve"> </w:t>
      </w:r>
      <w:r w:rsidR="004D1136" w:rsidRPr="004D1136">
        <w:rPr>
          <w:bCs/>
          <w:noProof w:val="0"/>
          <w:sz w:val="24"/>
          <w:szCs w:val="24"/>
        </w:rPr>
        <w:t>November</w:t>
      </w:r>
      <w:r w:rsidR="002778BD" w:rsidRPr="004D1136">
        <w:rPr>
          <w:bCs/>
          <w:noProof w:val="0"/>
          <w:sz w:val="24"/>
          <w:szCs w:val="24"/>
        </w:rPr>
        <w:t xml:space="preserve"> 202</w:t>
      </w:r>
      <w:r w:rsidR="001B38EE" w:rsidRPr="004D1136">
        <w:rPr>
          <w:bCs/>
          <w:noProof w:val="0"/>
          <w:sz w:val="24"/>
          <w:szCs w:val="24"/>
        </w:rPr>
        <w:t>2</w:t>
      </w:r>
    </w:p>
    <w:bookmarkEnd w:id="0"/>
    <w:p w14:paraId="2CFE1919" w14:textId="77777777" w:rsidR="00850D96" w:rsidRPr="004D1136" w:rsidRDefault="00850D96" w:rsidP="00CA26CE">
      <w:pPr>
        <w:pStyle w:val="Header"/>
        <w:rPr>
          <w:bCs/>
          <w:noProof w:val="0"/>
          <w:sz w:val="24"/>
          <w:lang w:eastAsia="ja-JP"/>
        </w:rPr>
      </w:pPr>
    </w:p>
    <w:p w14:paraId="30E02941" w14:textId="7561CCB5" w:rsidR="0034111C" w:rsidRPr="004D1136" w:rsidRDefault="0034111C" w:rsidP="16512788">
      <w:pPr>
        <w:pStyle w:val="CRCoverPage"/>
        <w:rPr>
          <w:rFonts w:cs="Arial"/>
          <w:b/>
          <w:bCs/>
          <w:sz w:val="24"/>
          <w:szCs w:val="24"/>
          <w:lang w:val="en-US" w:eastAsia="ja-JP"/>
        </w:rPr>
      </w:pPr>
      <w:r w:rsidRPr="004D1136">
        <w:rPr>
          <w:rFonts w:cs="Arial"/>
          <w:b/>
          <w:bCs/>
          <w:sz w:val="24"/>
          <w:szCs w:val="24"/>
          <w:lang w:val="en-US"/>
        </w:rPr>
        <w:t>Agenda item:</w:t>
      </w:r>
      <w:r w:rsidRPr="004D1136">
        <w:rPr>
          <w:rFonts w:cs="Arial"/>
          <w:b/>
          <w:bCs/>
          <w:sz w:val="24"/>
          <w:lang w:val="en-US"/>
        </w:rPr>
        <w:tab/>
      </w:r>
      <w:r w:rsidRPr="004D1136">
        <w:rPr>
          <w:rFonts w:cs="Arial"/>
          <w:b/>
          <w:bCs/>
          <w:sz w:val="24"/>
          <w:lang w:val="en-US"/>
        </w:rPr>
        <w:tab/>
      </w:r>
      <w:r w:rsidR="00262BEB" w:rsidRPr="004D1136">
        <w:rPr>
          <w:rFonts w:cs="Arial"/>
          <w:b/>
          <w:bCs/>
          <w:sz w:val="24"/>
          <w:szCs w:val="24"/>
          <w:lang w:val="en-US"/>
        </w:rPr>
        <w:t>9.8.1</w:t>
      </w:r>
      <w:r w:rsidR="00262BEB" w:rsidRPr="004D1136">
        <w:rPr>
          <w:rFonts w:cs="Arial"/>
          <w:b/>
          <w:bCs/>
          <w:sz w:val="24"/>
          <w:szCs w:val="24"/>
          <w:lang w:val="en-US"/>
        </w:rPr>
        <w:tab/>
      </w:r>
    </w:p>
    <w:p w14:paraId="30E02942" w14:textId="11CBDC88" w:rsidR="00E128F2" w:rsidRPr="004D1136" w:rsidRDefault="0034111C" w:rsidP="16512788">
      <w:pPr>
        <w:tabs>
          <w:tab w:val="left" w:pos="1985"/>
        </w:tabs>
        <w:spacing w:after="120"/>
        <w:ind w:left="1985" w:hanging="1985"/>
        <w:rPr>
          <w:rFonts w:ascii="Arial" w:hAnsi="Arial" w:cs="Arial"/>
          <w:b/>
          <w:bCs/>
          <w:sz w:val="24"/>
          <w:szCs w:val="24"/>
          <w:lang w:val="en-US"/>
        </w:rPr>
      </w:pPr>
      <w:r w:rsidRPr="004D1136">
        <w:rPr>
          <w:rFonts w:ascii="Arial" w:hAnsi="Arial" w:cs="Arial"/>
          <w:b/>
          <w:bCs/>
          <w:sz w:val="24"/>
          <w:szCs w:val="24"/>
          <w:lang w:val="en-US"/>
        </w:rPr>
        <w:t>Source:</w:t>
      </w:r>
      <w:r w:rsidRPr="004D1136">
        <w:rPr>
          <w:rFonts w:ascii="Arial" w:hAnsi="Arial" w:cs="Arial"/>
          <w:b/>
          <w:bCs/>
          <w:sz w:val="24"/>
          <w:lang w:val="en-US"/>
        </w:rPr>
        <w:tab/>
      </w:r>
      <w:r w:rsidR="00013455" w:rsidRPr="004D1136">
        <w:rPr>
          <w:rFonts w:ascii="Arial" w:hAnsi="Arial" w:cs="Arial"/>
          <w:b/>
          <w:bCs/>
          <w:sz w:val="24"/>
          <w:szCs w:val="24"/>
          <w:lang w:val="en-US"/>
        </w:rPr>
        <w:t xml:space="preserve">Nokia, </w:t>
      </w:r>
      <w:r w:rsidR="00E67802" w:rsidRPr="004D1136">
        <w:rPr>
          <w:rFonts w:ascii="Arial" w:hAnsi="Arial" w:cs="Arial"/>
          <w:b/>
          <w:bCs/>
          <w:sz w:val="24"/>
          <w:szCs w:val="24"/>
          <w:lang w:val="en-US"/>
        </w:rPr>
        <w:t>Nokia</w:t>
      </w:r>
      <w:r w:rsidR="00013455" w:rsidRPr="004D1136">
        <w:rPr>
          <w:rFonts w:ascii="Arial" w:hAnsi="Arial" w:cs="Arial"/>
          <w:b/>
          <w:bCs/>
          <w:sz w:val="24"/>
          <w:szCs w:val="24"/>
          <w:lang w:val="en-US"/>
        </w:rPr>
        <w:t xml:space="preserve"> Shanghai Bell</w:t>
      </w:r>
    </w:p>
    <w:p w14:paraId="30E02943" w14:textId="0D6D1446" w:rsidR="0034111C" w:rsidRPr="004D1136" w:rsidRDefault="0034111C" w:rsidP="16512788">
      <w:pPr>
        <w:ind w:left="1985" w:hanging="1985"/>
        <w:rPr>
          <w:rFonts w:ascii="Arial" w:hAnsi="Arial" w:cs="Arial"/>
          <w:b/>
          <w:bCs/>
          <w:sz w:val="24"/>
          <w:szCs w:val="24"/>
          <w:lang w:val="en-US"/>
        </w:rPr>
      </w:pPr>
      <w:r w:rsidRPr="004D1136">
        <w:rPr>
          <w:rFonts w:ascii="Arial" w:hAnsi="Arial" w:cs="Arial"/>
          <w:b/>
          <w:bCs/>
          <w:sz w:val="24"/>
          <w:szCs w:val="24"/>
          <w:lang w:val="en-US"/>
        </w:rPr>
        <w:t>Title:</w:t>
      </w:r>
      <w:r w:rsidRPr="004D1136">
        <w:rPr>
          <w:rFonts w:ascii="Arial" w:hAnsi="Arial" w:cs="Arial"/>
          <w:b/>
          <w:bCs/>
          <w:sz w:val="24"/>
          <w:lang w:val="en-US"/>
        </w:rPr>
        <w:tab/>
      </w:r>
      <w:r w:rsidR="00262BEB" w:rsidRPr="004D1136">
        <w:rPr>
          <w:rFonts w:ascii="Arial" w:hAnsi="Arial" w:cs="Arial"/>
          <w:b/>
          <w:bCs/>
          <w:sz w:val="24"/>
          <w:lang w:val="en-US"/>
        </w:rPr>
        <w:t>Discussion on side control information and NCR behavior</w:t>
      </w:r>
    </w:p>
    <w:p w14:paraId="30E02944" w14:textId="471980A4" w:rsidR="0034111C" w:rsidRPr="004D1136" w:rsidRDefault="0034111C" w:rsidP="16512788">
      <w:pPr>
        <w:rPr>
          <w:rFonts w:ascii="Arial" w:hAnsi="Arial" w:cs="Arial"/>
          <w:b/>
          <w:bCs/>
          <w:sz w:val="24"/>
          <w:szCs w:val="24"/>
          <w:lang w:val="en-US"/>
        </w:rPr>
      </w:pPr>
      <w:r w:rsidRPr="004D1136">
        <w:rPr>
          <w:rFonts w:ascii="Arial" w:hAnsi="Arial" w:cs="Arial"/>
          <w:b/>
          <w:bCs/>
          <w:sz w:val="24"/>
          <w:szCs w:val="24"/>
          <w:lang w:val="en-US"/>
        </w:rPr>
        <w:t xml:space="preserve">Document </w:t>
      </w:r>
      <w:r w:rsidR="3E61DC49" w:rsidRPr="004D1136">
        <w:rPr>
          <w:rFonts w:ascii="Arial" w:hAnsi="Arial" w:cs="Arial"/>
          <w:b/>
          <w:bCs/>
          <w:sz w:val="24"/>
          <w:szCs w:val="24"/>
          <w:lang w:val="en-US"/>
        </w:rPr>
        <w:t>for:</w:t>
      </w:r>
      <w:r w:rsidRPr="004D1136">
        <w:rPr>
          <w:rFonts w:ascii="Arial" w:hAnsi="Arial" w:cs="Arial"/>
          <w:b/>
          <w:bCs/>
          <w:sz w:val="24"/>
          <w:lang w:val="en-US"/>
        </w:rPr>
        <w:tab/>
      </w:r>
      <w:r w:rsidR="00220615" w:rsidRPr="004D1136">
        <w:rPr>
          <w:rFonts w:ascii="Arial" w:hAnsi="Arial" w:cs="Arial"/>
          <w:b/>
          <w:bCs/>
          <w:sz w:val="24"/>
          <w:lang w:val="en-US"/>
        </w:rPr>
        <w:tab/>
      </w:r>
      <w:r w:rsidRPr="004D1136">
        <w:rPr>
          <w:rFonts w:ascii="Arial" w:hAnsi="Arial" w:cs="Arial"/>
          <w:b/>
          <w:bCs/>
          <w:sz w:val="24"/>
          <w:szCs w:val="24"/>
          <w:lang w:val="en-US"/>
        </w:rPr>
        <w:t>Discussion and Decision</w:t>
      </w:r>
    </w:p>
    <w:p w14:paraId="7CF7938E" w14:textId="633C7172" w:rsidR="00ED1327" w:rsidRPr="004D1136" w:rsidRDefault="00EE7FA7" w:rsidP="00ED1327">
      <w:pPr>
        <w:pStyle w:val="Heading1"/>
        <w:rPr>
          <w:lang w:val="en-US"/>
        </w:rPr>
      </w:pPr>
      <w:r w:rsidRPr="004D1136">
        <w:rPr>
          <w:lang w:val="en-US"/>
        </w:rPr>
        <w:t>Introduction</w:t>
      </w:r>
    </w:p>
    <w:p w14:paraId="1B7E4D79" w14:textId="2F64E2F8" w:rsidR="00262BEB" w:rsidRPr="004D1136" w:rsidRDefault="00262BEB" w:rsidP="00262BEB">
      <w:pPr>
        <w:pStyle w:val="paragraph"/>
        <w:textAlignment w:val="baseline"/>
        <w:rPr>
          <w:sz w:val="20"/>
          <w:szCs w:val="20"/>
        </w:rPr>
      </w:pPr>
      <w:bookmarkStart w:id="1" w:name="_Hlk510705081"/>
      <w:r w:rsidRPr="004D1136">
        <w:rPr>
          <w:rStyle w:val="normaltextrun"/>
          <w:sz w:val="20"/>
          <w:szCs w:val="20"/>
        </w:rPr>
        <w:t xml:space="preserve">Rel-18 work item [1] on </w:t>
      </w:r>
      <w:r w:rsidR="004D1136" w:rsidRPr="004D1136">
        <w:rPr>
          <w:rStyle w:val="normaltextrun"/>
          <w:sz w:val="20"/>
          <w:szCs w:val="20"/>
        </w:rPr>
        <w:t>network-controlled</w:t>
      </w:r>
      <w:r w:rsidRPr="004D1136">
        <w:rPr>
          <w:rStyle w:val="normaltextrun"/>
          <w:sz w:val="20"/>
          <w:szCs w:val="20"/>
        </w:rPr>
        <w:t xml:space="preserve"> repeaters will focus on the following scenarios:</w:t>
      </w:r>
      <w:r w:rsidRPr="004D1136">
        <w:rPr>
          <w:rStyle w:val="eop"/>
          <w:sz w:val="20"/>
          <w:szCs w:val="20"/>
        </w:rPr>
        <w:t> </w:t>
      </w:r>
    </w:p>
    <w:p w14:paraId="576ED82C" w14:textId="77777777" w:rsidR="00262BEB" w:rsidRPr="004D1136" w:rsidRDefault="00262BEB" w:rsidP="00262BEB">
      <w:pPr>
        <w:pStyle w:val="paragraph"/>
        <w:numPr>
          <w:ilvl w:val="0"/>
          <w:numId w:val="30"/>
        </w:numPr>
        <w:ind w:left="1080" w:firstLine="0"/>
        <w:textAlignment w:val="baseline"/>
        <w:rPr>
          <w:sz w:val="20"/>
          <w:szCs w:val="20"/>
        </w:rPr>
      </w:pPr>
      <w:r w:rsidRPr="004D1136">
        <w:rPr>
          <w:rStyle w:val="normaltextrun"/>
          <w:i/>
          <w:iCs/>
          <w:sz w:val="20"/>
          <w:szCs w:val="20"/>
        </w:rPr>
        <w:t>Network-controlled repeaters are inband RF repeaters used for extension of network coverage on FR1 and FR2 bands based on the NCR model in TR38.867</w:t>
      </w:r>
      <w:r w:rsidRPr="004D1136">
        <w:rPr>
          <w:rStyle w:val="eop"/>
          <w:sz w:val="20"/>
          <w:szCs w:val="20"/>
        </w:rPr>
        <w:t> </w:t>
      </w:r>
    </w:p>
    <w:p w14:paraId="5267F92F" w14:textId="77777777" w:rsidR="00262BEB" w:rsidRPr="004D1136" w:rsidRDefault="00262BEB" w:rsidP="00262BEB">
      <w:pPr>
        <w:pStyle w:val="paragraph"/>
        <w:numPr>
          <w:ilvl w:val="0"/>
          <w:numId w:val="31"/>
        </w:numPr>
        <w:ind w:left="1080" w:firstLine="0"/>
        <w:textAlignment w:val="baseline"/>
        <w:rPr>
          <w:sz w:val="20"/>
          <w:szCs w:val="20"/>
        </w:rPr>
      </w:pPr>
      <w:r w:rsidRPr="004D1136">
        <w:rPr>
          <w:rStyle w:val="normaltextrun"/>
          <w:i/>
          <w:iCs/>
          <w:sz w:val="20"/>
          <w:szCs w:val="20"/>
        </w:rPr>
        <w:t>For only single hop stationary network-controlled repeaters</w:t>
      </w:r>
      <w:r w:rsidRPr="004D1136">
        <w:rPr>
          <w:rStyle w:val="eop"/>
          <w:sz w:val="20"/>
          <w:szCs w:val="20"/>
        </w:rPr>
        <w:t> </w:t>
      </w:r>
    </w:p>
    <w:p w14:paraId="79CF5ACF" w14:textId="77777777" w:rsidR="00262BEB" w:rsidRPr="004D1136" w:rsidRDefault="00262BEB" w:rsidP="00262BEB">
      <w:pPr>
        <w:pStyle w:val="paragraph"/>
        <w:numPr>
          <w:ilvl w:val="0"/>
          <w:numId w:val="31"/>
        </w:numPr>
        <w:ind w:left="1080" w:firstLine="0"/>
        <w:textAlignment w:val="baseline"/>
        <w:rPr>
          <w:sz w:val="20"/>
          <w:szCs w:val="20"/>
        </w:rPr>
      </w:pPr>
      <w:r w:rsidRPr="004D1136">
        <w:rPr>
          <w:rStyle w:val="normaltextrun"/>
          <w:i/>
          <w:iCs/>
          <w:sz w:val="20"/>
          <w:szCs w:val="20"/>
        </w:rPr>
        <w:t>The NCR is transparent to the UE.</w:t>
      </w:r>
      <w:r w:rsidRPr="004D1136">
        <w:rPr>
          <w:rStyle w:val="eop"/>
          <w:sz w:val="20"/>
          <w:szCs w:val="20"/>
        </w:rPr>
        <w:t> </w:t>
      </w:r>
    </w:p>
    <w:p w14:paraId="22DBB621" w14:textId="77777777" w:rsidR="00262BEB" w:rsidRPr="004D1136" w:rsidRDefault="00262BEB" w:rsidP="00262BEB">
      <w:pPr>
        <w:pStyle w:val="paragraph"/>
        <w:numPr>
          <w:ilvl w:val="0"/>
          <w:numId w:val="31"/>
        </w:numPr>
        <w:ind w:left="1080" w:firstLine="0"/>
        <w:textAlignment w:val="baseline"/>
        <w:rPr>
          <w:sz w:val="20"/>
          <w:szCs w:val="20"/>
        </w:rPr>
      </w:pPr>
      <w:r w:rsidRPr="004D1136">
        <w:rPr>
          <w:rStyle w:val="normaltextrun"/>
          <w:i/>
          <w:iCs/>
          <w:sz w:val="20"/>
          <w:szCs w:val="20"/>
        </w:rPr>
        <w:t>Network-controlled repeater can maintain the gNB-repeater link and repeater-UE link simultaneously</w:t>
      </w:r>
      <w:r w:rsidRPr="004D1136">
        <w:rPr>
          <w:rStyle w:val="eop"/>
          <w:sz w:val="20"/>
          <w:szCs w:val="20"/>
        </w:rPr>
        <w:t> </w:t>
      </w:r>
    </w:p>
    <w:p w14:paraId="61E6DE70" w14:textId="666AE4DF" w:rsidR="00262BEB" w:rsidRPr="004D1136" w:rsidRDefault="00262BEB" w:rsidP="00262BEB">
      <w:pPr>
        <w:pStyle w:val="paragraph"/>
        <w:textAlignment w:val="baseline"/>
        <w:rPr>
          <w:sz w:val="20"/>
          <w:szCs w:val="20"/>
        </w:rPr>
      </w:pPr>
      <w:r w:rsidRPr="004D1136">
        <w:rPr>
          <w:rStyle w:val="eop"/>
          <w:sz w:val="20"/>
          <w:szCs w:val="20"/>
        </w:rPr>
        <w:t> Additionally, the following RAN1-led objectives were identified for the Rel-18 work item:</w:t>
      </w:r>
    </w:p>
    <w:p w14:paraId="4E20C8F2" w14:textId="77777777" w:rsidR="00262BEB" w:rsidRPr="004D1136" w:rsidRDefault="00262BEB" w:rsidP="00262BEB">
      <w:pPr>
        <w:pStyle w:val="paragraph"/>
        <w:textAlignment w:val="baseline"/>
        <w:rPr>
          <w:i/>
          <w:iCs/>
          <w:sz w:val="20"/>
          <w:szCs w:val="20"/>
        </w:rPr>
      </w:pPr>
      <w:r w:rsidRPr="004D1136">
        <w:rPr>
          <w:rStyle w:val="normaltextrun"/>
          <w:i/>
          <w:iCs/>
          <w:sz w:val="20"/>
          <w:szCs w:val="20"/>
        </w:rPr>
        <w:t>Specify the signalling and behavior of the following side control information for controlling the NCR-Fwd [RAN1, RAN2]</w:t>
      </w:r>
      <w:r w:rsidRPr="004D1136">
        <w:rPr>
          <w:rStyle w:val="eop"/>
          <w:i/>
          <w:iCs/>
          <w:sz w:val="20"/>
          <w:szCs w:val="20"/>
        </w:rPr>
        <w:t> </w:t>
      </w:r>
    </w:p>
    <w:p w14:paraId="5AC9CDFE" w14:textId="77777777" w:rsidR="00262BEB" w:rsidRPr="004D1136" w:rsidRDefault="00262BEB" w:rsidP="00262BEB">
      <w:pPr>
        <w:pStyle w:val="paragraph"/>
        <w:numPr>
          <w:ilvl w:val="0"/>
          <w:numId w:val="32"/>
        </w:numPr>
        <w:ind w:left="1080" w:firstLine="0"/>
        <w:textAlignment w:val="baseline"/>
        <w:rPr>
          <w:sz w:val="20"/>
          <w:szCs w:val="20"/>
        </w:rPr>
      </w:pPr>
      <w:r w:rsidRPr="004D1136">
        <w:rPr>
          <w:rStyle w:val="normaltextrun"/>
          <w:i/>
          <w:iCs/>
          <w:sz w:val="20"/>
          <w:szCs w:val="20"/>
        </w:rPr>
        <w:t>Beamforming</w:t>
      </w:r>
      <w:r w:rsidRPr="004D1136">
        <w:rPr>
          <w:rStyle w:val="eop"/>
          <w:sz w:val="20"/>
          <w:szCs w:val="20"/>
        </w:rPr>
        <w:t> </w:t>
      </w:r>
    </w:p>
    <w:p w14:paraId="0AF08090" w14:textId="77777777" w:rsidR="00262BEB" w:rsidRPr="004D1136" w:rsidRDefault="00262BEB" w:rsidP="00262BEB">
      <w:pPr>
        <w:pStyle w:val="paragraph"/>
        <w:numPr>
          <w:ilvl w:val="0"/>
          <w:numId w:val="32"/>
        </w:numPr>
        <w:ind w:left="1080" w:firstLine="0"/>
        <w:textAlignment w:val="baseline"/>
        <w:rPr>
          <w:sz w:val="20"/>
          <w:szCs w:val="20"/>
        </w:rPr>
      </w:pPr>
      <w:r w:rsidRPr="004D1136">
        <w:rPr>
          <w:rStyle w:val="normaltextrun"/>
          <w:i/>
          <w:iCs/>
          <w:sz w:val="20"/>
          <w:szCs w:val="20"/>
        </w:rPr>
        <w:t>UL-DL TDD operation</w:t>
      </w:r>
      <w:r w:rsidRPr="004D1136">
        <w:rPr>
          <w:rStyle w:val="eop"/>
          <w:sz w:val="20"/>
          <w:szCs w:val="20"/>
        </w:rPr>
        <w:t> </w:t>
      </w:r>
    </w:p>
    <w:p w14:paraId="4780CE62" w14:textId="77777777" w:rsidR="00262BEB" w:rsidRPr="004D1136" w:rsidRDefault="00262BEB" w:rsidP="00262BEB">
      <w:pPr>
        <w:pStyle w:val="paragraph"/>
        <w:numPr>
          <w:ilvl w:val="0"/>
          <w:numId w:val="32"/>
        </w:numPr>
        <w:ind w:left="1080" w:firstLine="0"/>
        <w:textAlignment w:val="baseline"/>
        <w:rPr>
          <w:sz w:val="20"/>
          <w:szCs w:val="20"/>
        </w:rPr>
      </w:pPr>
      <w:r w:rsidRPr="004D1136">
        <w:rPr>
          <w:rStyle w:val="normaltextrun"/>
          <w:i/>
          <w:iCs/>
          <w:sz w:val="20"/>
          <w:szCs w:val="20"/>
        </w:rPr>
        <w:t>ON-OFF information</w:t>
      </w:r>
      <w:r w:rsidRPr="004D1136">
        <w:rPr>
          <w:rStyle w:val="eop"/>
          <w:sz w:val="20"/>
          <w:szCs w:val="20"/>
        </w:rPr>
        <w:t> </w:t>
      </w:r>
    </w:p>
    <w:p w14:paraId="337A56AD" w14:textId="77777777" w:rsidR="00262BEB" w:rsidRPr="004D1136" w:rsidRDefault="00262BEB" w:rsidP="00262BEB">
      <w:pPr>
        <w:pStyle w:val="paragraph"/>
        <w:ind w:left="720"/>
        <w:textAlignment w:val="baseline"/>
        <w:rPr>
          <w:sz w:val="20"/>
          <w:szCs w:val="20"/>
        </w:rPr>
      </w:pPr>
      <w:r w:rsidRPr="004D1136">
        <w:rPr>
          <w:rStyle w:val="normaltextrun"/>
          <w:i/>
          <w:iCs/>
          <w:sz w:val="20"/>
          <w:szCs w:val="20"/>
        </w:rPr>
        <w:t>Note: Power control aspect will be checked in RAN#98e.</w:t>
      </w:r>
      <w:r w:rsidRPr="004D1136">
        <w:rPr>
          <w:rStyle w:val="eop"/>
          <w:sz w:val="20"/>
          <w:szCs w:val="20"/>
        </w:rPr>
        <w:t> </w:t>
      </w:r>
    </w:p>
    <w:p w14:paraId="1D808464" w14:textId="59FDE3B0" w:rsidR="00262BEB" w:rsidRPr="004D1136" w:rsidRDefault="00262BEB" w:rsidP="00262BEB">
      <w:pPr>
        <w:pStyle w:val="paragraph"/>
        <w:textAlignment w:val="baseline"/>
        <w:rPr>
          <w:sz w:val="20"/>
          <w:szCs w:val="20"/>
        </w:rPr>
      </w:pPr>
      <w:r w:rsidRPr="004D1136">
        <w:rPr>
          <w:rStyle w:val="eop"/>
          <w:color w:val="FF0000"/>
          <w:sz w:val="20"/>
          <w:szCs w:val="20"/>
        </w:rPr>
        <w:t> </w:t>
      </w:r>
      <w:r w:rsidRPr="004D1136">
        <w:rPr>
          <w:rStyle w:val="normaltextrun"/>
          <w:i/>
          <w:iCs/>
          <w:sz w:val="20"/>
          <w:szCs w:val="20"/>
        </w:rPr>
        <w:t>Specify control plane signalling and procedures [RAN2, RAN1]</w:t>
      </w:r>
      <w:r w:rsidRPr="004D1136">
        <w:rPr>
          <w:rStyle w:val="eop"/>
          <w:sz w:val="20"/>
          <w:szCs w:val="20"/>
        </w:rPr>
        <w:t> </w:t>
      </w:r>
    </w:p>
    <w:p w14:paraId="6663B915" w14:textId="77777777" w:rsidR="00262BEB" w:rsidRPr="004D1136" w:rsidRDefault="00262BEB" w:rsidP="00262BEB">
      <w:pPr>
        <w:pStyle w:val="paragraph"/>
        <w:numPr>
          <w:ilvl w:val="0"/>
          <w:numId w:val="33"/>
        </w:numPr>
        <w:ind w:left="1080" w:firstLine="0"/>
        <w:textAlignment w:val="baseline"/>
        <w:rPr>
          <w:sz w:val="20"/>
          <w:szCs w:val="20"/>
        </w:rPr>
      </w:pPr>
      <w:r w:rsidRPr="004D1136">
        <w:rPr>
          <w:rStyle w:val="normaltextrun"/>
          <w:i/>
          <w:iCs/>
          <w:sz w:val="20"/>
          <w:szCs w:val="20"/>
        </w:rPr>
        <w:t>The configuration of signalling for side control information indication</w:t>
      </w:r>
      <w:r w:rsidRPr="004D1136">
        <w:rPr>
          <w:rStyle w:val="eop"/>
          <w:sz w:val="20"/>
          <w:szCs w:val="20"/>
        </w:rPr>
        <w:t> </w:t>
      </w:r>
    </w:p>
    <w:p w14:paraId="1AC042C8" w14:textId="77777777" w:rsidR="00262BEB" w:rsidRPr="004D1136" w:rsidRDefault="00262BEB" w:rsidP="00262BEB">
      <w:pPr>
        <w:pStyle w:val="paragraph"/>
        <w:numPr>
          <w:ilvl w:val="0"/>
          <w:numId w:val="34"/>
        </w:numPr>
        <w:ind w:left="1800" w:firstLine="0"/>
        <w:textAlignment w:val="baseline"/>
        <w:rPr>
          <w:sz w:val="20"/>
          <w:szCs w:val="20"/>
        </w:rPr>
      </w:pPr>
      <w:r w:rsidRPr="004D1136">
        <w:rPr>
          <w:rStyle w:val="normaltextrun"/>
          <w:i/>
          <w:iCs/>
          <w:sz w:val="20"/>
          <w:szCs w:val="20"/>
        </w:rPr>
        <w:t>NOTE: Down-selection of solutions in section 7.2 of TR 38.867 is needed</w:t>
      </w:r>
      <w:r w:rsidRPr="004D1136">
        <w:rPr>
          <w:rStyle w:val="eop"/>
          <w:sz w:val="20"/>
          <w:szCs w:val="20"/>
        </w:rPr>
        <w:t> </w:t>
      </w:r>
    </w:p>
    <w:p w14:paraId="71230483" w14:textId="4FF8764B" w:rsidR="00305297" w:rsidRPr="004D1136" w:rsidRDefault="007820D0" w:rsidP="00A23DCA">
      <w:pPr>
        <w:pStyle w:val="Heading1"/>
        <w:rPr>
          <w:lang w:val="en-US"/>
        </w:rPr>
      </w:pPr>
      <w:r w:rsidRPr="004D1136">
        <w:rPr>
          <w:lang w:val="en-US"/>
        </w:rPr>
        <w:t>Discussion</w:t>
      </w:r>
    </w:p>
    <w:p w14:paraId="09DF0A25" w14:textId="3BF6E7E6" w:rsidR="007C53BF" w:rsidRPr="004D1136" w:rsidRDefault="007C53BF" w:rsidP="007C53BF">
      <w:pPr>
        <w:pStyle w:val="Heading2"/>
        <w:rPr>
          <w:lang w:val="en-US"/>
        </w:rPr>
      </w:pPr>
      <w:r w:rsidRPr="004D1136">
        <w:rPr>
          <w:lang w:val="en-US"/>
        </w:rPr>
        <w:t>Beam Management</w:t>
      </w:r>
    </w:p>
    <w:p w14:paraId="72D405F2" w14:textId="7C4720F1" w:rsidR="007C53BF" w:rsidRPr="004D1136" w:rsidRDefault="007C53BF" w:rsidP="007C53BF">
      <w:pPr>
        <w:pStyle w:val="Heading3"/>
        <w:rPr>
          <w:lang w:val="en-US"/>
        </w:rPr>
      </w:pPr>
      <w:r w:rsidRPr="004D1136">
        <w:rPr>
          <w:lang w:val="en-US"/>
        </w:rPr>
        <w:t xml:space="preserve">Backhaul </w:t>
      </w:r>
      <w:r w:rsidR="00447963" w:rsidRPr="004D1136">
        <w:rPr>
          <w:lang w:val="en-US"/>
        </w:rPr>
        <w:t>link beam management</w:t>
      </w:r>
    </w:p>
    <w:p w14:paraId="5B3E1E63" w14:textId="07FBBBEA" w:rsidR="007C53BF" w:rsidRPr="004D1136" w:rsidRDefault="007C53BF" w:rsidP="007C53BF">
      <w:pPr>
        <w:rPr>
          <w:lang w:val="en-US"/>
        </w:rPr>
      </w:pPr>
      <w:r w:rsidRPr="004D1136">
        <w:rPr>
          <w:lang w:val="en-US"/>
        </w:rPr>
        <w:t>In RAN1#1110bis-e, the following agreement was made regarding indication of backhaul link beam for the NCR:</w:t>
      </w:r>
    </w:p>
    <w:p w14:paraId="34EA71DC" w14:textId="77777777" w:rsidR="007C53BF" w:rsidRPr="004D1136" w:rsidRDefault="007C53BF" w:rsidP="007C53BF">
      <w:pPr>
        <w:spacing w:after="0"/>
        <w:ind w:left="284"/>
        <w:rPr>
          <w:lang w:val="en-US"/>
        </w:rPr>
      </w:pPr>
      <w:r w:rsidRPr="004D1136">
        <w:rPr>
          <w:b/>
          <w:bCs/>
          <w:highlight w:val="green"/>
          <w:lang w:val="en-US"/>
        </w:rPr>
        <w:t>Agreement</w:t>
      </w:r>
    </w:p>
    <w:p w14:paraId="211EC8BC" w14:textId="77777777" w:rsidR="007C53BF" w:rsidRPr="004D1136" w:rsidRDefault="007C53BF" w:rsidP="007C53BF">
      <w:pPr>
        <w:spacing w:after="0"/>
        <w:ind w:left="284"/>
        <w:rPr>
          <w:i/>
          <w:iCs/>
          <w:lang w:val="en-US"/>
        </w:rPr>
      </w:pPr>
      <w:r w:rsidRPr="004D1136">
        <w:rPr>
          <w:i/>
          <w:iCs/>
          <w:lang w:val="en-US"/>
        </w:rPr>
        <w:t>If adaptive beams are adopted for C-link and backhaul link, new signaling is supported to indicate a beam(s) used for backhaul link from the set of beams for C-link.</w:t>
      </w:r>
    </w:p>
    <w:p w14:paraId="35079689" w14:textId="77777777" w:rsidR="007C53BF" w:rsidRPr="004D1136" w:rsidRDefault="007C53BF" w:rsidP="007C53BF">
      <w:pPr>
        <w:numPr>
          <w:ilvl w:val="0"/>
          <w:numId w:val="42"/>
        </w:numPr>
        <w:tabs>
          <w:tab w:val="clear" w:pos="720"/>
          <w:tab w:val="num" w:pos="1004"/>
        </w:tabs>
        <w:spacing w:after="0"/>
        <w:ind w:left="1004"/>
        <w:rPr>
          <w:i/>
          <w:iCs/>
          <w:lang w:val="en-US"/>
        </w:rPr>
      </w:pPr>
      <w:r w:rsidRPr="004D1136">
        <w:rPr>
          <w:i/>
          <w:iCs/>
          <w:lang w:val="en-US"/>
        </w:rPr>
        <w:t>Predefined rule is used to define the beam in case there is no indication via the new signalling</w:t>
      </w:r>
    </w:p>
    <w:p w14:paraId="7F26CF1F" w14:textId="77777777" w:rsidR="007C53BF" w:rsidRPr="004D1136" w:rsidRDefault="007C53BF" w:rsidP="007C53BF">
      <w:pPr>
        <w:numPr>
          <w:ilvl w:val="1"/>
          <w:numId w:val="42"/>
        </w:numPr>
        <w:tabs>
          <w:tab w:val="clear" w:pos="1440"/>
          <w:tab w:val="num" w:pos="1724"/>
        </w:tabs>
        <w:spacing w:after="0"/>
        <w:ind w:left="1724"/>
        <w:rPr>
          <w:i/>
          <w:iCs/>
          <w:lang w:val="en-US"/>
        </w:rPr>
      </w:pPr>
      <w:r w:rsidRPr="004D1136">
        <w:rPr>
          <w:i/>
          <w:iCs/>
          <w:lang w:val="en-US"/>
        </w:rPr>
        <w:t>FFS: Details of the predefined rule</w:t>
      </w:r>
    </w:p>
    <w:p w14:paraId="0EE4D1CC" w14:textId="77777777" w:rsidR="007C53BF" w:rsidRPr="004D1136" w:rsidRDefault="007C53BF" w:rsidP="007C53BF">
      <w:pPr>
        <w:numPr>
          <w:ilvl w:val="1"/>
          <w:numId w:val="42"/>
        </w:numPr>
        <w:tabs>
          <w:tab w:val="clear" w:pos="1440"/>
          <w:tab w:val="num" w:pos="1724"/>
        </w:tabs>
        <w:spacing w:after="0"/>
        <w:ind w:left="1724"/>
        <w:rPr>
          <w:i/>
          <w:iCs/>
          <w:lang w:val="en-US"/>
        </w:rPr>
      </w:pPr>
      <w:r w:rsidRPr="004D1136">
        <w:rPr>
          <w:i/>
          <w:iCs/>
          <w:lang w:val="en-US"/>
        </w:rPr>
        <w:t>FFS: Application of predefined rule for other cases</w:t>
      </w:r>
    </w:p>
    <w:p w14:paraId="7B514A8F" w14:textId="77777777" w:rsidR="007C53BF" w:rsidRPr="004D1136" w:rsidRDefault="007C53BF" w:rsidP="007C53BF">
      <w:pPr>
        <w:numPr>
          <w:ilvl w:val="0"/>
          <w:numId w:val="42"/>
        </w:numPr>
        <w:tabs>
          <w:tab w:val="clear" w:pos="720"/>
          <w:tab w:val="num" w:pos="1004"/>
        </w:tabs>
        <w:spacing w:after="0"/>
        <w:ind w:left="1004"/>
        <w:rPr>
          <w:i/>
          <w:iCs/>
          <w:lang w:val="en-US"/>
        </w:rPr>
      </w:pPr>
      <w:r w:rsidRPr="004D1136">
        <w:rPr>
          <w:i/>
          <w:iCs/>
          <w:lang w:val="en-US"/>
        </w:rPr>
        <w:t>Note: The beam(s) used for backhaul link should be from the RRC-configured list of beams for C-link.</w:t>
      </w:r>
    </w:p>
    <w:p w14:paraId="78A64CC7" w14:textId="15E84AD7" w:rsidR="007C53BF" w:rsidRPr="004D1136" w:rsidRDefault="007C53BF" w:rsidP="007C53BF">
      <w:pPr>
        <w:numPr>
          <w:ilvl w:val="0"/>
          <w:numId w:val="42"/>
        </w:numPr>
        <w:tabs>
          <w:tab w:val="clear" w:pos="720"/>
          <w:tab w:val="num" w:pos="1004"/>
        </w:tabs>
        <w:spacing w:after="0"/>
        <w:ind w:left="1004"/>
        <w:rPr>
          <w:i/>
          <w:iCs/>
          <w:lang w:val="en-US"/>
        </w:rPr>
      </w:pPr>
      <w:r w:rsidRPr="004D1136">
        <w:rPr>
          <w:i/>
          <w:iCs/>
          <w:lang w:val="en-US"/>
        </w:rPr>
        <w:t>The new signalling, if needed, is an optional NCR capability</w:t>
      </w:r>
    </w:p>
    <w:p w14:paraId="0B8BC558" w14:textId="39937BC6" w:rsidR="007C53BF" w:rsidRPr="004D1136" w:rsidRDefault="007C53BF" w:rsidP="007C53BF">
      <w:pPr>
        <w:spacing w:after="0"/>
        <w:rPr>
          <w:lang w:val="en-US"/>
        </w:rPr>
      </w:pPr>
    </w:p>
    <w:p w14:paraId="6A001C31" w14:textId="3D71B357" w:rsidR="007C53BF" w:rsidRPr="004D1136" w:rsidRDefault="007C53BF" w:rsidP="007C53BF">
      <w:pPr>
        <w:spacing w:after="0"/>
        <w:rPr>
          <w:lang w:val="en-US"/>
        </w:rPr>
      </w:pPr>
      <w:r w:rsidRPr="004D1136">
        <w:rPr>
          <w:lang w:val="en-US"/>
        </w:rPr>
        <w:t xml:space="preserve">Separate pre-defined rules can be considered for scenarios in which the backhaul link is being transmitted (in UL or DL) simultaneously with the C-link and for those cases when the C-link is not being transmitted. </w:t>
      </w:r>
      <w:r w:rsidR="008367E7" w:rsidRPr="004D1136">
        <w:rPr>
          <w:lang w:val="en-US"/>
        </w:rPr>
        <w:t>In both cases</w:t>
      </w:r>
      <w:r w:rsidR="00AA27D3" w:rsidRPr="004D1136">
        <w:rPr>
          <w:lang w:val="en-US"/>
        </w:rPr>
        <w:t xml:space="preserve"> the channel should be expected to be stationary and not require a </w:t>
      </w:r>
      <w:r w:rsidR="002F667C" w:rsidRPr="004D1136">
        <w:rPr>
          <w:lang w:val="en-US"/>
        </w:rPr>
        <w:t>frequently</w:t>
      </w:r>
      <w:r w:rsidR="00AA27D3" w:rsidRPr="004D1136">
        <w:rPr>
          <w:lang w:val="en-US"/>
        </w:rPr>
        <w:t xml:space="preserve"> </w:t>
      </w:r>
      <w:r w:rsidR="002F667C" w:rsidRPr="004D1136">
        <w:rPr>
          <w:lang w:val="en-US"/>
        </w:rPr>
        <w:t>adapted</w:t>
      </w:r>
      <w:r w:rsidR="00AA27D3" w:rsidRPr="004D1136">
        <w:rPr>
          <w:lang w:val="en-US"/>
        </w:rPr>
        <w:t xml:space="preserve"> beam pattern</w:t>
      </w:r>
      <w:r w:rsidRPr="004D1136">
        <w:rPr>
          <w:lang w:val="en-US"/>
        </w:rPr>
        <w:t xml:space="preserve"> When the C-link is being transmitted</w:t>
      </w:r>
      <w:r w:rsidR="008C7261" w:rsidRPr="004D1136">
        <w:rPr>
          <w:lang w:val="en-US"/>
        </w:rPr>
        <w:t>,</w:t>
      </w:r>
      <w:r w:rsidRPr="004D1136">
        <w:rPr>
          <w:lang w:val="en-US"/>
        </w:rPr>
        <w:t xml:space="preserve"> the</w:t>
      </w:r>
      <w:r w:rsidR="004E019F" w:rsidRPr="004D1136">
        <w:rPr>
          <w:lang w:val="en-US"/>
        </w:rPr>
        <w:t xml:space="preserve"> assumption should be that the signals from both </w:t>
      </w:r>
      <w:r w:rsidR="00D844D9" w:rsidRPr="004D1136">
        <w:rPr>
          <w:lang w:val="en-US"/>
        </w:rPr>
        <w:t>l</w:t>
      </w:r>
      <w:r w:rsidR="0082328E" w:rsidRPr="004D1136">
        <w:rPr>
          <w:lang w:val="en-US"/>
        </w:rPr>
        <w:t>inks</w:t>
      </w:r>
      <w:r w:rsidR="00D844D9" w:rsidRPr="004D1136">
        <w:rPr>
          <w:lang w:val="en-US"/>
        </w:rPr>
        <w:t xml:space="preserve"> </w:t>
      </w:r>
      <w:r w:rsidR="004E019F" w:rsidRPr="004D1136">
        <w:rPr>
          <w:lang w:val="en-US"/>
        </w:rPr>
        <w:t>are either being transmitted or received on the same NCR beam. In this case, the pre-defined rule for simultaneous transmission/reception can be that the backhaul link is transmitte</w:t>
      </w:r>
      <w:r w:rsidR="008C7261" w:rsidRPr="004D1136">
        <w:rPr>
          <w:lang w:val="en-US"/>
        </w:rPr>
        <w:t>d</w:t>
      </w:r>
      <w:r w:rsidR="004E019F" w:rsidRPr="004D1136">
        <w:rPr>
          <w:lang w:val="en-US"/>
        </w:rPr>
        <w:t xml:space="preserve"> and/or received using the TCI state</w:t>
      </w:r>
      <w:r w:rsidR="00881168" w:rsidRPr="004D1136">
        <w:rPr>
          <w:lang w:val="en-US"/>
        </w:rPr>
        <w:t xml:space="preserve"> or spatial relation</w:t>
      </w:r>
      <w:r w:rsidR="004E019F" w:rsidRPr="004D1136">
        <w:rPr>
          <w:lang w:val="en-US"/>
        </w:rPr>
        <w:t xml:space="preserve"> configured for the NCR-MT in that time domain resource.</w:t>
      </w:r>
    </w:p>
    <w:p w14:paraId="19E268F3" w14:textId="1DE0FABC" w:rsidR="004E019F" w:rsidRPr="004D1136" w:rsidRDefault="004E019F" w:rsidP="007C53BF">
      <w:pPr>
        <w:spacing w:after="0"/>
        <w:rPr>
          <w:lang w:val="en-US"/>
        </w:rPr>
      </w:pPr>
    </w:p>
    <w:p w14:paraId="5AFFCA93" w14:textId="4071D058" w:rsidR="004E019F" w:rsidRPr="004D1136" w:rsidRDefault="004E019F" w:rsidP="004E019F">
      <w:pPr>
        <w:spacing w:after="0"/>
        <w:ind w:left="1560" w:hanging="1276"/>
        <w:rPr>
          <w:b/>
          <w:bCs/>
          <w:i/>
          <w:iCs/>
          <w:lang w:val="en-US"/>
        </w:rPr>
      </w:pPr>
      <w:r w:rsidRPr="004D1136">
        <w:rPr>
          <w:b/>
          <w:bCs/>
          <w:i/>
          <w:iCs/>
          <w:lang w:val="en-US"/>
        </w:rPr>
        <w:t>Proposal 2.</w:t>
      </w:r>
      <w:r w:rsidR="00AA1DE6" w:rsidRPr="004D1136">
        <w:rPr>
          <w:b/>
          <w:bCs/>
          <w:i/>
          <w:iCs/>
          <w:lang w:val="en-US"/>
        </w:rPr>
        <w:t>1</w:t>
      </w:r>
      <w:r w:rsidRPr="004D1136">
        <w:rPr>
          <w:b/>
          <w:bCs/>
          <w:i/>
          <w:iCs/>
          <w:lang w:val="en-US"/>
        </w:rPr>
        <w:t>:</w:t>
      </w:r>
      <w:r w:rsidRPr="004D1136">
        <w:rPr>
          <w:b/>
          <w:bCs/>
          <w:i/>
          <w:iCs/>
          <w:lang w:val="en-US"/>
        </w:rPr>
        <w:tab/>
        <w:t>When C-link and backhaul link are being transmitted simultaneously in UL or DL in a time domain resource, backhaul link transmission is performed using the same TCI state or spatial relation as indicated for the NCR-MT in that resource.</w:t>
      </w:r>
    </w:p>
    <w:p w14:paraId="5E25D757" w14:textId="77777777" w:rsidR="004E019F" w:rsidRPr="004D1136" w:rsidRDefault="004E019F" w:rsidP="004E019F">
      <w:pPr>
        <w:spacing w:after="0"/>
        <w:rPr>
          <w:lang w:val="en-US"/>
        </w:rPr>
      </w:pPr>
    </w:p>
    <w:p w14:paraId="1539E91B" w14:textId="5C284A24" w:rsidR="004E019F" w:rsidRPr="004D1136" w:rsidRDefault="004E019F" w:rsidP="004E019F">
      <w:pPr>
        <w:spacing w:after="0"/>
        <w:rPr>
          <w:lang w:val="en-US"/>
        </w:rPr>
      </w:pPr>
      <w:r w:rsidRPr="004D1136">
        <w:rPr>
          <w:lang w:val="en-US"/>
        </w:rPr>
        <w:t>In scenarios where there is no corresponding transmission on the NCR C-link,</w:t>
      </w:r>
      <w:r w:rsidR="00AA27D3" w:rsidRPr="004D1136" w:rsidDel="00AA27D3">
        <w:rPr>
          <w:lang w:val="en-US"/>
        </w:rPr>
        <w:t xml:space="preserve"> </w:t>
      </w:r>
      <w:r w:rsidR="00AA27D3" w:rsidRPr="004D1136">
        <w:rPr>
          <w:lang w:val="en-US"/>
        </w:rPr>
        <w:t>f</w:t>
      </w:r>
      <w:r w:rsidRPr="004D1136">
        <w:rPr>
          <w:lang w:val="en-US"/>
        </w:rPr>
        <w:t>or simplicity, the NCR may use the TCI state or spatial relation indicated for the last transmission or reception performed by the NCR-MT.</w:t>
      </w:r>
    </w:p>
    <w:p w14:paraId="51FE50A2" w14:textId="24682DD9" w:rsidR="004E019F" w:rsidRPr="004D1136" w:rsidRDefault="004E019F" w:rsidP="004E019F">
      <w:pPr>
        <w:spacing w:after="0"/>
        <w:rPr>
          <w:lang w:val="en-US"/>
        </w:rPr>
      </w:pPr>
    </w:p>
    <w:p w14:paraId="4BB3A3E4" w14:textId="302EA015" w:rsidR="004E019F" w:rsidRPr="004D1136" w:rsidRDefault="004E019F" w:rsidP="00F47EB5">
      <w:pPr>
        <w:spacing w:after="0"/>
        <w:ind w:left="1560" w:hanging="1276"/>
        <w:rPr>
          <w:b/>
          <w:bCs/>
          <w:i/>
          <w:iCs/>
          <w:lang w:val="en-US"/>
        </w:rPr>
      </w:pPr>
      <w:r w:rsidRPr="004D1136">
        <w:rPr>
          <w:b/>
          <w:bCs/>
          <w:i/>
          <w:iCs/>
          <w:lang w:val="en-US"/>
        </w:rPr>
        <w:t>Proposal 2.</w:t>
      </w:r>
      <w:r w:rsidR="00AA1DE6" w:rsidRPr="004D1136">
        <w:rPr>
          <w:b/>
          <w:bCs/>
          <w:i/>
          <w:iCs/>
          <w:lang w:val="en-US"/>
        </w:rPr>
        <w:t>2</w:t>
      </w:r>
      <w:r w:rsidRPr="004D1136">
        <w:rPr>
          <w:b/>
          <w:bCs/>
          <w:i/>
          <w:iCs/>
          <w:lang w:val="en-US"/>
        </w:rPr>
        <w:t>:</w:t>
      </w:r>
      <w:r w:rsidRPr="004D1136">
        <w:rPr>
          <w:b/>
          <w:bCs/>
          <w:i/>
          <w:iCs/>
          <w:lang w:val="en-US"/>
        </w:rPr>
        <w:tab/>
        <w:t>When the backhaul link is being transmitted without a corresponding C-link transmission in UL or DL</w:t>
      </w:r>
      <w:r w:rsidR="00F47EB5" w:rsidRPr="004D1136">
        <w:rPr>
          <w:b/>
          <w:bCs/>
          <w:i/>
          <w:iCs/>
          <w:lang w:val="en-US"/>
        </w:rPr>
        <w:t>, the NCR-Fwd transmits or receives in the indicated TCI state or spatial relation for the last UL or DL transmission respectively.</w:t>
      </w:r>
    </w:p>
    <w:p w14:paraId="76003CC5" w14:textId="1D3A9684" w:rsidR="00F47EB5" w:rsidRPr="004D1136" w:rsidRDefault="00F47EB5" w:rsidP="00F47EB5">
      <w:pPr>
        <w:spacing w:after="0"/>
        <w:rPr>
          <w:lang w:val="en-US"/>
        </w:rPr>
      </w:pPr>
    </w:p>
    <w:p w14:paraId="6BAD123A" w14:textId="2F393394" w:rsidR="00F47EB5" w:rsidRPr="004D1136" w:rsidRDefault="00447963" w:rsidP="00447963">
      <w:pPr>
        <w:pStyle w:val="Heading3"/>
        <w:rPr>
          <w:lang w:val="en-US"/>
        </w:rPr>
      </w:pPr>
      <w:bookmarkStart w:id="2" w:name="_Ref118100048"/>
      <w:r w:rsidRPr="004D1136">
        <w:rPr>
          <w:lang w:val="en-US"/>
        </w:rPr>
        <w:t>Access link beam management</w:t>
      </w:r>
      <w:bookmarkEnd w:id="2"/>
    </w:p>
    <w:p w14:paraId="7F4AC4E5" w14:textId="77777777" w:rsidR="00E54CB5" w:rsidRPr="004D1136" w:rsidRDefault="00E54CB5" w:rsidP="00E54CB5">
      <w:pPr>
        <w:rPr>
          <w:lang w:val="en-US"/>
        </w:rPr>
      </w:pPr>
      <w:r w:rsidRPr="004D1136">
        <w:rPr>
          <w:lang w:val="en-US"/>
        </w:rPr>
        <w:t>The following agreement was made in RAN1#110bis-e regarding beam characterization for NCR-Fwd access link:</w:t>
      </w:r>
    </w:p>
    <w:p w14:paraId="72708431" w14:textId="77777777" w:rsidR="00E54CB5" w:rsidRPr="004D1136" w:rsidRDefault="00E54CB5" w:rsidP="00E54CB5">
      <w:pPr>
        <w:spacing w:after="0"/>
        <w:ind w:left="284"/>
        <w:rPr>
          <w:lang w:val="en-US"/>
        </w:rPr>
      </w:pPr>
      <w:r w:rsidRPr="004D1136">
        <w:rPr>
          <w:b/>
          <w:bCs/>
          <w:highlight w:val="green"/>
          <w:lang w:val="en-US"/>
        </w:rPr>
        <w:t>Agreement</w:t>
      </w:r>
    </w:p>
    <w:p w14:paraId="618C4781" w14:textId="77777777" w:rsidR="00E54CB5" w:rsidRPr="004D1136" w:rsidRDefault="00E54CB5" w:rsidP="00E54CB5">
      <w:pPr>
        <w:spacing w:after="0"/>
        <w:ind w:left="284"/>
        <w:rPr>
          <w:i/>
          <w:iCs/>
          <w:lang w:val="en-US"/>
        </w:rPr>
      </w:pPr>
      <w:r w:rsidRPr="004D1136">
        <w:rPr>
          <w:i/>
          <w:iCs/>
          <w:lang w:val="en-US"/>
        </w:rPr>
        <w:t xml:space="preserve">The following information can be used to characterize the physical beam(s) supported by NCR-Fwd for access link: </w:t>
      </w:r>
    </w:p>
    <w:p w14:paraId="5DA01BDE" w14:textId="77777777" w:rsidR="00E54CB5" w:rsidRPr="004D1136" w:rsidRDefault="00E54CB5" w:rsidP="00E54CB5">
      <w:pPr>
        <w:numPr>
          <w:ilvl w:val="0"/>
          <w:numId w:val="36"/>
        </w:numPr>
        <w:tabs>
          <w:tab w:val="clear" w:pos="720"/>
          <w:tab w:val="num" w:pos="1004"/>
        </w:tabs>
        <w:spacing w:after="0"/>
        <w:ind w:left="1004"/>
        <w:rPr>
          <w:i/>
          <w:iCs/>
          <w:lang w:val="en-US"/>
        </w:rPr>
      </w:pPr>
      <w:r w:rsidRPr="004D1136">
        <w:rPr>
          <w:i/>
          <w:iCs/>
          <w:lang w:val="en-US"/>
        </w:rPr>
        <w:t>Number of beams supported for access link</w:t>
      </w:r>
    </w:p>
    <w:p w14:paraId="625A0517" w14:textId="77777777" w:rsidR="00E54CB5" w:rsidRPr="004D1136" w:rsidRDefault="00E54CB5" w:rsidP="00E54CB5">
      <w:pPr>
        <w:numPr>
          <w:ilvl w:val="1"/>
          <w:numId w:val="36"/>
        </w:numPr>
        <w:tabs>
          <w:tab w:val="clear" w:pos="1440"/>
          <w:tab w:val="num" w:pos="1724"/>
        </w:tabs>
        <w:spacing w:after="0"/>
        <w:ind w:left="1724"/>
        <w:rPr>
          <w:i/>
          <w:iCs/>
          <w:lang w:val="en-US"/>
        </w:rPr>
      </w:pPr>
      <w:r w:rsidRPr="004D1136">
        <w:rPr>
          <w:i/>
          <w:iCs/>
          <w:lang w:val="en-US"/>
        </w:rPr>
        <w:t>FFS: How to define the detailed value (e.g., per beam type)</w:t>
      </w:r>
    </w:p>
    <w:p w14:paraId="32821D58" w14:textId="77777777" w:rsidR="00E54CB5" w:rsidRPr="004D1136" w:rsidRDefault="00E54CB5" w:rsidP="00E54CB5">
      <w:pPr>
        <w:numPr>
          <w:ilvl w:val="1"/>
          <w:numId w:val="36"/>
        </w:numPr>
        <w:spacing w:after="0"/>
        <w:ind w:left="1724"/>
        <w:rPr>
          <w:i/>
          <w:iCs/>
          <w:lang w:val="en-US"/>
        </w:rPr>
      </w:pPr>
      <w:r w:rsidRPr="004D1136">
        <w:rPr>
          <w:i/>
          <w:iCs/>
          <w:lang w:val="en-US"/>
        </w:rPr>
        <w:t>FFS: Whether the number of beam can be derived by beam layout</w:t>
      </w:r>
    </w:p>
    <w:p w14:paraId="44AC9894" w14:textId="77777777" w:rsidR="00E54CB5" w:rsidRPr="004D1136" w:rsidRDefault="00E54CB5" w:rsidP="00E54CB5">
      <w:pPr>
        <w:numPr>
          <w:ilvl w:val="0"/>
          <w:numId w:val="36"/>
        </w:numPr>
        <w:spacing w:after="0"/>
        <w:ind w:left="1004"/>
        <w:rPr>
          <w:i/>
          <w:iCs/>
          <w:lang w:val="en-US"/>
        </w:rPr>
      </w:pPr>
      <w:r w:rsidRPr="004D1136">
        <w:rPr>
          <w:i/>
          <w:iCs/>
          <w:lang w:val="en-US"/>
        </w:rPr>
        <w:t>Spatial relationship between different beams</w:t>
      </w:r>
    </w:p>
    <w:p w14:paraId="2C6636EA" w14:textId="77777777" w:rsidR="00E54CB5" w:rsidRPr="004D1136" w:rsidRDefault="00E54CB5" w:rsidP="00E54CB5">
      <w:pPr>
        <w:numPr>
          <w:ilvl w:val="0"/>
          <w:numId w:val="36"/>
        </w:numPr>
        <w:spacing w:after="0"/>
        <w:ind w:left="1004"/>
        <w:rPr>
          <w:i/>
          <w:iCs/>
          <w:lang w:val="en-US"/>
        </w:rPr>
      </w:pPr>
      <w:r w:rsidRPr="004D1136">
        <w:rPr>
          <w:i/>
          <w:iCs/>
          <w:lang w:val="en-US"/>
        </w:rPr>
        <w:t>FFS: Beam types defined by the beam width (e.g. two types as wide beam and narrow beam type)</w:t>
      </w:r>
    </w:p>
    <w:p w14:paraId="68557DFB" w14:textId="77777777" w:rsidR="00E54CB5" w:rsidRPr="004D1136" w:rsidRDefault="00E54CB5" w:rsidP="00E54CB5">
      <w:pPr>
        <w:numPr>
          <w:ilvl w:val="0"/>
          <w:numId w:val="36"/>
        </w:numPr>
        <w:spacing w:after="0"/>
        <w:ind w:left="1004"/>
        <w:rPr>
          <w:i/>
          <w:iCs/>
          <w:lang w:val="en-US"/>
        </w:rPr>
      </w:pPr>
      <w:r w:rsidRPr="004D1136">
        <w:rPr>
          <w:i/>
          <w:iCs/>
          <w:lang w:val="en-US"/>
        </w:rPr>
        <w:t>FFS: Beam direction defined by the boresight of beam</w:t>
      </w:r>
    </w:p>
    <w:p w14:paraId="32CEF142" w14:textId="77777777" w:rsidR="00E54CB5" w:rsidRPr="004D1136" w:rsidRDefault="00E54CB5" w:rsidP="00E54CB5">
      <w:pPr>
        <w:numPr>
          <w:ilvl w:val="0"/>
          <w:numId w:val="36"/>
        </w:numPr>
        <w:spacing w:after="0"/>
        <w:ind w:left="1004"/>
        <w:rPr>
          <w:i/>
          <w:iCs/>
          <w:lang w:val="en-US"/>
        </w:rPr>
      </w:pPr>
      <w:r w:rsidRPr="004D1136">
        <w:rPr>
          <w:i/>
          <w:iCs/>
          <w:lang w:val="en-US"/>
        </w:rPr>
        <w:t>FFS: Whether/How to deliver this information to gNB</w:t>
      </w:r>
    </w:p>
    <w:p w14:paraId="480A3A1B" w14:textId="77777777" w:rsidR="00E54CB5" w:rsidRPr="004D1136" w:rsidRDefault="00E54CB5" w:rsidP="00E54CB5">
      <w:pPr>
        <w:numPr>
          <w:ilvl w:val="0"/>
          <w:numId w:val="36"/>
        </w:numPr>
        <w:spacing w:after="0"/>
        <w:ind w:left="1004"/>
        <w:rPr>
          <w:i/>
          <w:iCs/>
          <w:lang w:val="en-US"/>
        </w:rPr>
      </w:pPr>
      <w:r w:rsidRPr="004D1136">
        <w:rPr>
          <w:i/>
          <w:iCs/>
          <w:lang w:val="en-US"/>
        </w:rPr>
        <w:t>FFS: Coverage area for each beam type</w:t>
      </w:r>
    </w:p>
    <w:p w14:paraId="4B640270" w14:textId="77777777" w:rsidR="00E54CB5" w:rsidRPr="004D1136" w:rsidRDefault="00E54CB5" w:rsidP="00E54CB5">
      <w:pPr>
        <w:numPr>
          <w:ilvl w:val="0"/>
          <w:numId w:val="36"/>
        </w:numPr>
        <w:spacing w:after="0"/>
        <w:ind w:left="1004"/>
        <w:rPr>
          <w:i/>
          <w:iCs/>
          <w:lang w:val="en-US"/>
        </w:rPr>
      </w:pPr>
      <w:r w:rsidRPr="004D1136">
        <w:rPr>
          <w:i/>
          <w:iCs/>
          <w:lang w:val="en-US"/>
        </w:rPr>
        <w:t xml:space="preserve">FFS: Beam ID (via explicit or implicit means) </w:t>
      </w:r>
    </w:p>
    <w:p w14:paraId="56BE5A5A" w14:textId="77777777" w:rsidR="00E54CB5" w:rsidRPr="004D1136" w:rsidRDefault="00E54CB5" w:rsidP="00E54CB5">
      <w:pPr>
        <w:rPr>
          <w:lang w:val="en-US"/>
        </w:rPr>
      </w:pPr>
    </w:p>
    <w:p w14:paraId="5F9D1C77" w14:textId="34C3CF31" w:rsidR="00E54CB5" w:rsidRPr="004D1136" w:rsidRDefault="00E54CB5" w:rsidP="00E54CB5">
      <w:pPr>
        <w:rPr>
          <w:lang w:val="en-US"/>
        </w:rPr>
      </w:pPr>
      <w:r w:rsidRPr="004D1136">
        <w:rPr>
          <w:lang w:val="en-US"/>
        </w:rPr>
        <w:t xml:space="preserve">While this information is generally important for proper network deployment, there is not a clear motivation to support providing this information to the parent gNB. The coverage area of the NCR should only be configured with careful network planning. Additionally, overly specified beam characterization can result in significant and complicate signaling overhead, and unnecessarily restricts vendor implementation. For these reasons, there is not a strong motivation to support new signaling related to sharing </w:t>
      </w:r>
      <w:r w:rsidR="004D1136" w:rsidRPr="004D1136">
        <w:rPr>
          <w:lang w:val="en-US"/>
        </w:rPr>
        <w:t>this information</w:t>
      </w:r>
      <w:r w:rsidRPr="004D1136">
        <w:rPr>
          <w:lang w:val="en-US"/>
        </w:rPr>
        <w:t>. Instead physical beam layout and characterization can be managed as part of proper network planning and configured at deployment phase.</w:t>
      </w:r>
    </w:p>
    <w:p w14:paraId="2959DF0B" w14:textId="79E92A9F" w:rsidR="00E54CB5" w:rsidRPr="004D1136" w:rsidRDefault="00E54CB5" w:rsidP="00E54CB5">
      <w:pPr>
        <w:spacing w:after="0"/>
        <w:ind w:left="1560" w:hanging="1276"/>
        <w:rPr>
          <w:b/>
          <w:bCs/>
          <w:i/>
          <w:iCs/>
          <w:lang w:val="en-US"/>
        </w:rPr>
      </w:pPr>
      <w:r w:rsidRPr="004D1136">
        <w:rPr>
          <w:b/>
          <w:bCs/>
          <w:i/>
          <w:iCs/>
          <w:lang w:val="en-US"/>
        </w:rPr>
        <w:t>Proposal 2.</w:t>
      </w:r>
      <w:r w:rsidR="00AA1DE6" w:rsidRPr="004D1136">
        <w:rPr>
          <w:b/>
          <w:bCs/>
          <w:i/>
          <w:iCs/>
          <w:lang w:val="en-US"/>
        </w:rPr>
        <w:t>3</w:t>
      </w:r>
      <w:r w:rsidRPr="004D1136">
        <w:rPr>
          <w:b/>
          <w:bCs/>
          <w:i/>
          <w:iCs/>
          <w:lang w:val="en-US"/>
        </w:rPr>
        <w:t>:</w:t>
      </w:r>
      <w:r w:rsidR="00E618C0" w:rsidRPr="004D1136">
        <w:rPr>
          <w:b/>
          <w:bCs/>
          <w:i/>
          <w:iCs/>
          <w:lang w:val="en-US"/>
        </w:rPr>
        <w:tab/>
      </w:r>
      <w:r w:rsidRPr="004D1136">
        <w:rPr>
          <w:b/>
          <w:bCs/>
          <w:i/>
          <w:iCs/>
          <w:lang w:val="en-US"/>
        </w:rPr>
        <w:t>New signaling for physical beam characterization for NCR-Fwd access link is not supported.</w:t>
      </w:r>
    </w:p>
    <w:p w14:paraId="1E996F2D" w14:textId="77777777" w:rsidR="00E54CB5" w:rsidRPr="004D1136" w:rsidRDefault="00E54CB5" w:rsidP="004E019F">
      <w:pPr>
        <w:spacing w:after="0"/>
        <w:rPr>
          <w:lang w:val="en-US"/>
        </w:rPr>
      </w:pPr>
    </w:p>
    <w:p w14:paraId="2069D6D1" w14:textId="5D3B114E" w:rsidR="004E019F" w:rsidRPr="004D1136" w:rsidRDefault="00447963" w:rsidP="004E019F">
      <w:pPr>
        <w:spacing w:after="0"/>
        <w:rPr>
          <w:lang w:val="en-US"/>
        </w:rPr>
      </w:pPr>
      <w:r w:rsidRPr="004D1136">
        <w:rPr>
          <w:lang w:val="en-US"/>
        </w:rPr>
        <w:t xml:space="preserve">The following agreement was </w:t>
      </w:r>
      <w:r w:rsidR="004D1136" w:rsidRPr="004D1136">
        <w:rPr>
          <w:lang w:val="en-US"/>
        </w:rPr>
        <w:t>made</w:t>
      </w:r>
      <w:r w:rsidRPr="004D1136">
        <w:rPr>
          <w:lang w:val="en-US"/>
        </w:rPr>
        <w:t xml:space="preserve"> in RAN1#110bis-e regarding the time domain resource of an access link beam indication:</w:t>
      </w:r>
    </w:p>
    <w:p w14:paraId="4F35B7D6" w14:textId="77777777" w:rsidR="00447963" w:rsidRPr="004D1136" w:rsidRDefault="00447963" w:rsidP="004E019F">
      <w:pPr>
        <w:spacing w:after="0"/>
        <w:rPr>
          <w:lang w:val="en-US"/>
        </w:rPr>
      </w:pPr>
    </w:p>
    <w:p w14:paraId="6CE6BE2B" w14:textId="77777777" w:rsidR="007C53BF" w:rsidRPr="004D1136" w:rsidRDefault="007C53BF" w:rsidP="00973BF5">
      <w:pPr>
        <w:spacing w:after="0"/>
        <w:ind w:left="284"/>
        <w:rPr>
          <w:lang w:val="en-US"/>
        </w:rPr>
      </w:pPr>
      <w:r w:rsidRPr="004D1136">
        <w:rPr>
          <w:b/>
          <w:bCs/>
          <w:highlight w:val="green"/>
          <w:lang w:val="en-US"/>
        </w:rPr>
        <w:t>Agreement</w:t>
      </w:r>
    </w:p>
    <w:p w14:paraId="6B1A7BDE" w14:textId="77777777" w:rsidR="007C53BF" w:rsidRPr="004D1136" w:rsidRDefault="007C53BF" w:rsidP="00973BF5">
      <w:pPr>
        <w:spacing w:after="0"/>
        <w:ind w:left="284"/>
        <w:rPr>
          <w:i/>
          <w:iCs/>
          <w:lang w:val="en-US"/>
        </w:rPr>
      </w:pPr>
      <w:r w:rsidRPr="004D1136">
        <w:rPr>
          <w:i/>
          <w:iCs/>
          <w:lang w:val="en-US"/>
        </w:rPr>
        <w:t>Following parameters should be supported to define the time resource:</w:t>
      </w:r>
    </w:p>
    <w:p w14:paraId="720EE46A" w14:textId="77777777" w:rsidR="007C53BF" w:rsidRPr="004D1136" w:rsidRDefault="007C53BF" w:rsidP="00973BF5">
      <w:pPr>
        <w:numPr>
          <w:ilvl w:val="0"/>
          <w:numId w:val="41"/>
        </w:numPr>
        <w:tabs>
          <w:tab w:val="clear" w:pos="720"/>
          <w:tab w:val="num" w:pos="1004"/>
        </w:tabs>
        <w:spacing w:after="0"/>
        <w:ind w:left="1004"/>
        <w:rPr>
          <w:i/>
          <w:iCs/>
          <w:lang w:val="en-US"/>
        </w:rPr>
      </w:pPr>
      <w:r w:rsidRPr="004D1136">
        <w:rPr>
          <w:i/>
          <w:iCs/>
          <w:lang w:val="en-US"/>
        </w:rPr>
        <w:t>For a periodic and/or semi-persistent configured time resource, starting time, duration per beam(s) and periodicity is needed.</w:t>
      </w:r>
    </w:p>
    <w:p w14:paraId="405D9E95" w14:textId="77777777" w:rsidR="007C53BF" w:rsidRPr="004D1136" w:rsidRDefault="007C53BF" w:rsidP="00973BF5">
      <w:pPr>
        <w:numPr>
          <w:ilvl w:val="0"/>
          <w:numId w:val="41"/>
        </w:numPr>
        <w:tabs>
          <w:tab w:val="clear" w:pos="720"/>
          <w:tab w:val="num" w:pos="1004"/>
        </w:tabs>
        <w:spacing w:after="0"/>
        <w:ind w:left="1004"/>
        <w:rPr>
          <w:i/>
          <w:iCs/>
          <w:lang w:val="en-US"/>
        </w:rPr>
      </w:pPr>
      <w:r w:rsidRPr="004D1136">
        <w:rPr>
          <w:i/>
          <w:iCs/>
          <w:lang w:val="en-US"/>
        </w:rPr>
        <w:t xml:space="preserve">For aperiodic indication of time resource, starting time and duration per beam(s) is needed.  </w:t>
      </w:r>
    </w:p>
    <w:p w14:paraId="62999F81" w14:textId="77777777" w:rsidR="007C53BF" w:rsidRPr="004D1136" w:rsidRDefault="007C53BF" w:rsidP="00973BF5">
      <w:pPr>
        <w:numPr>
          <w:ilvl w:val="0"/>
          <w:numId w:val="41"/>
        </w:numPr>
        <w:tabs>
          <w:tab w:val="clear" w:pos="720"/>
          <w:tab w:val="num" w:pos="1004"/>
        </w:tabs>
        <w:spacing w:after="0"/>
        <w:ind w:left="1004"/>
        <w:rPr>
          <w:i/>
          <w:iCs/>
          <w:lang w:val="en-US"/>
        </w:rPr>
      </w:pPr>
      <w:r w:rsidRPr="004D1136">
        <w:rPr>
          <w:i/>
          <w:iCs/>
          <w:lang w:val="en-US"/>
        </w:rPr>
        <w:t>FFS: The SCS for starting time, duration, and periodicity</w:t>
      </w:r>
    </w:p>
    <w:p w14:paraId="3A890EDA" w14:textId="77777777" w:rsidR="007C53BF" w:rsidRPr="004D1136" w:rsidRDefault="007C53BF" w:rsidP="00973BF5">
      <w:pPr>
        <w:numPr>
          <w:ilvl w:val="0"/>
          <w:numId w:val="41"/>
        </w:numPr>
        <w:tabs>
          <w:tab w:val="clear" w:pos="720"/>
          <w:tab w:val="num" w:pos="1004"/>
        </w:tabs>
        <w:spacing w:after="0"/>
        <w:ind w:left="1004"/>
        <w:rPr>
          <w:i/>
          <w:iCs/>
          <w:lang w:val="en-US"/>
        </w:rPr>
      </w:pPr>
      <w:r w:rsidRPr="004D1136">
        <w:rPr>
          <w:i/>
          <w:iCs/>
          <w:lang w:val="en-US"/>
        </w:rPr>
        <w:t>FFS: How to define the duration, e.g., via the length of time resource or resource index(es)</w:t>
      </w:r>
    </w:p>
    <w:p w14:paraId="370B85C1" w14:textId="77777777" w:rsidR="007C53BF" w:rsidRPr="004D1136" w:rsidRDefault="007C53BF" w:rsidP="00973BF5">
      <w:pPr>
        <w:numPr>
          <w:ilvl w:val="0"/>
          <w:numId w:val="41"/>
        </w:numPr>
        <w:tabs>
          <w:tab w:val="clear" w:pos="720"/>
          <w:tab w:val="num" w:pos="1004"/>
        </w:tabs>
        <w:spacing w:after="0"/>
        <w:ind w:left="1004"/>
        <w:rPr>
          <w:i/>
          <w:iCs/>
          <w:lang w:val="en-US"/>
        </w:rPr>
      </w:pPr>
      <w:r w:rsidRPr="004D1136">
        <w:rPr>
          <w:i/>
          <w:iCs/>
          <w:lang w:val="en-US"/>
        </w:rPr>
        <w:t>FFS: Whether indication of starting time can be implicit (e.g., the first slot after the time to apply the received beam indication and the first OFDM symbol in the slot)</w:t>
      </w:r>
    </w:p>
    <w:p w14:paraId="50171EAB" w14:textId="77777777" w:rsidR="007C53BF" w:rsidRPr="004D1136" w:rsidRDefault="007C53BF" w:rsidP="007C53BF">
      <w:pPr>
        <w:spacing w:after="0"/>
        <w:rPr>
          <w:lang w:val="en-US"/>
        </w:rPr>
      </w:pPr>
      <w:r w:rsidRPr="004D1136">
        <w:rPr>
          <w:lang w:val="en-US"/>
        </w:rPr>
        <w:t> </w:t>
      </w:r>
    </w:p>
    <w:p w14:paraId="6DE45D93" w14:textId="15390D17" w:rsidR="007C53BF" w:rsidRPr="004D1136" w:rsidRDefault="00447963" w:rsidP="007C53BF">
      <w:pPr>
        <w:rPr>
          <w:lang w:val="en-US"/>
        </w:rPr>
      </w:pPr>
      <w:r w:rsidRPr="004D1136">
        <w:rPr>
          <w:lang w:val="en-US"/>
        </w:rPr>
        <w:t xml:space="preserve">The SCS of the time domain resource for the beam indication </w:t>
      </w:r>
      <w:r w:rsidR="004D1136" w:rsidRPr="004D1136">
        <w:rPr>
          <w:lang w:val="en-US"/>
        </w:rPr>
        <w:t>cannot</w:t>
      </w:r>
      <w:r w:rsidRPr="004D1136">
        <w:rPr>
          <w:lang w:val="en-US"/>
        </w:rPr>
        <w:t xml:space="preserve"> be determined implicitly, since the indication itself may be received on a separate carrier than the one configured for the NCR-</w:t>
      </w:r>
      <w:r w:rsidR="000639B8" w:rsidRPr="004D1136">
        <w:rPr>
          <w:lang w:val="en-US"/>
        </w:rPr>
        <w:t>Fwd</w:t>
      </w:r>
      <w:r w:rsidRPr="004D1136">
        <w:rPr>
          <w:lang w:val="en-US"/>
        </w:rPr>
        <w:t xml:space="preserve">. As an example, if the C-link is </w:t>
      </w:r>
      <w:r w:rsidRPr="004D1136">
        <w:rPr>
          <w:lang w:val="en-US"/>
        </w:rPr>
        <w:lastRenderedPageBreak/>
        <w:t>configured on a carrier with 15 kHz SCS, and one of the carriers being forwarded by the NCR-Fwd is configured with a 30 kHz SCS, the NCR would not have time domain resolution to provide symbol-level indication for the NCR-Fwd using the NCR-MT numerology. For this reason, the reference SCS for the time domain indication of the access link beam indication should be configured explicitly by the parent gNB.</w:t>
      </w:r>
    </w:p>
    <w:p w14:paraId="68ABA795" w14:textId="1CABFD3E" w:rsidR="00447963" w:rsidRPr="004D1136" w:rsidRDefault="00447963" w:rsidP="00447963">
      <w:pPr>
        <w:spacing w:after="0"/>
        <w:ind w:left="1560" w:hanging="1276"/>
        <w:rPr>
          <w:b/>
          <w:bCs/>
          <w:i/>
          <w:iCs/>
          <w:lang w:val="en-US"/>
        </w:rPr>
      </w:pPr>
      <w:r w:rsidRPr="004D1136">
        <w:rPr>
          <w:b/>
          <w:bCs/>
          <w:i/>
          <w:iCs/>
          <w:lang w:val="en-US"/>
        </w:rPr>
        <w:t>Proposal 2.</w:t>
      </w:r>
      <w:r w:rsidR="00AA1DE6" w:rsidRPr="004D1136">
        <w:rPr>
          <w:b/>
          <w:bCs/>
          <w:i/>
          <w:iCs/>
          <w:lang w:val="en-US"/>
        </w:rPr>
        <w:t>4</w:t>
      </w:r>
      <w:r w:rsidRPr="004D1136">
        <w:rPr>
          <w:b/>
          <w:bCs/>
          <w:i/>
          <w:iCs/>
          <w:lang w:val="en-US"/>
        </w:rPr>
        <w:t>:</w:t>
      </w:r>
      <w:r w:rsidR="00E618C0" w:rsidRPr="004D1136">
        <w:rPr>
          <w:b/>
          <w:bCs/>
          <w:i/>
          <w:iCs/>
          <w:lang w:val="en-US"/>
        </w:rPr>
        <w:tab/>
      </w:r>
      <w:r w:rsidRPr="004D1136">
        <w:rPr>
          <w:b/>
          <w:bCs/>
          <w:i/>
          <w:iCs/>
          <w:lang w:val="en-US"/>
        </w:rPr>
        <w:t>The reference SCS for the NCR-Fwd beam indication is configured explicitly by the parent gNB.</w:t>
      </w:r>
    </w:p>
    <w:p w14:paraId="2700EFB6" w14:textId="77777777" w:rsidR="00EF7C44" w:rsidRPr="004D1136" w:rsidRDefault="00EF7C44" w:rsidP="00447963">
      <w:pPr>
        <w:spacing w:after="0"/>
        <w:rPr>
          <w:lang w:val="en-US"/>
        </w:rPr>
      </w:pPr>
    </w:p>
    <w:p w14:paraId="1B9D99EB" w14:textId="4821A99C" w:rsidR="00447963" w:rsidRPr="004D1136" w:rsidRDefault="00BC290B" w:rsidP="00447963">
      <w:pPr>
        <w:spacing w:after="0"/>
        <w:rPr>
          <w:iCs/>
          <w:lang w:val="en-US"/>
        </w:rPr>
      </w:pPr>
      <w:r w:rsidRPr="004D1136">
        <w:rPr>
          <w:lang w:val="en-US"/>
        </w:rPr>
        <w:t>Defining the duration of a beam indication can be handled separately for semi-static</w:t>
      </w:r>
      <w:r w:rsidR="00ED4FB8" w:rsidRPr="004D1136">
        <w:rPr>
          <w:lang w:val="en-US"/>
        </w:rPr>
        <w:t>/periodic</w:t>
      </w:r>
      <w:r w:rsidRPr="004D1136">
        <w:rPr>
          <w:lang w:val="en-US"/>
        </w:rPr>
        <w:t xml:space="preserve"> and dynamic indications. In the case of semi-static beam indication, a similar framework to configuring </w:t>
      </w:r>
      <w:r w:rsidRPr="004D1136">
        <w:rPr>
          <w:i/>
          <w:lang w:val="en-US"/>
        </w:rPr>
        <w:t xml:space="preserve">tdd-UL-DL-ConfigurationCommon </w:t>
      </w:r>
      <w:r w:rsidRPr="004D1136">
        <w:rPr>
          <w:iCs/>
          <w:lang w:val="en-US"/>
        </w:rPr>
        <w:t>should provide sufficient flexibility for the NCR-Fwd.</w:t>
      </w:r>
    </w:p>
    <w:p w14:paraId="3B4F8541" w14:textId="74B7ED52" w:rsidR="00BC290B" w:rsidRPr="004D1136" w:rsidRDefault="00BC290B" w:rsidP="00447963">
      <w:pPr>
        <w:spacing w:after="0"/>
        <w:rPr>
          <w:iCs/>
          <w:lang w:val="en-US"/>
        </w:rPr>
      </w:pPr>
    </w:p>
    <w:p w14:paraId="4F185368" w14:textId="1CE6189B" w:rsidR="00BC290B" w:rsidRPr="004D1136" w:rsidRDefault="00BC290B" w:rsidP="00BC290B">
      <w:pPr>
        <w:spacing w:after="0"/>
        <w:ind w:left="1560" w:hanging="1276"/>
        <w:rPr>
          <w:b/>
          <w:bCs/>
          <w:i/>
          <w:iCs/>
          <w:lang w:val="en-US"/>
        </w:rPr>
      </w:pPr>
      <w:r w:rsidRPr="004D1136">
        <w:rPr>
          <w:b/>
          <w:bCs/>
          <w:i/>
          <w:iCs/>
          <w:lang w:val="en-US"/>
        </w:rPr>
        <w:t>Proposal 2.</w:t>
      </w:r>
      <w:r w:rsidR="00AA1DE6" w:rsidRPr="004D1136">
        <w:rPr>
          <w:b/>
          <w:bCs/>
          <w:i/>
          <w:iCs/>
          <w:lang w:val="en-US"/>
        </w:rPr>
        <w:t>5</w:t>
      </w:r>
      <w:r w:rsidRPr="004D1136">
        <w:rPr>
          <w:b/>
          <w:bCs/>
          <w:i/>
          <w:iCs/>
          <w:lang w:val="en-US"/>
        </w:rPr>
        <w:t>:</w:t>
      </w:r>
      <w:r w:rsidRPr="004D1136">
        <w:rPr>
          <w:b/>
          <w:bCs/>
          <w:i/>
          <w:iCs/>
          <w:lang w:val="en-US"/>
        </w:rPr>
        <w:tab/>
        <w:t xml:space="preserve">Semi-static indication of access link beam </w:t>
      </w:r>
      <w:r w:rsidR="008258C0" w:rsidRPr="004D1136">
        <w:rPr>
          <w:b/>
          <w:bCs/>
          <w:i/>
          <w:iCs/>
          <w:lang w:val="en-US"/>
        </w:rPr>
        <w:t xml:space="preserve">is </w:t>
      </w:r>
      <w:r w:rsidRPr="004D1136">
        <w:rPr>
          <w:b/>
          <w:bCs/>
          <w:i/>
          <w:iCs/>
          <w:lang w:val="en-US"/>
        </w:rPr>
        <w:t xml:space="preserve">configured with, periodicity P, and duration d, similar to the configuration of </w:t>
      </w:r>
      <w:r w:rsidRPr="004D1136">
        <w:rPr>
          <w:i/>
          <w:iCs/>
          <w:lang w:val="en-US"/>
        </w:rPr>
        <w:t>tdd-UL-DL-ConfigurationCommon</w:t>
      </w:r>
      <w:r w:rsidRPr="004D1136">
        <w:rPr>
          <w:b/>
          <w:bCs/>
          <w:i/>
          <w:iCs/>
          <w:lang w:val="en-US"/>
        </w:rPr>
        <w:t>.</w:t>
      </w:r>
    </w:p>
    <w:p w14:paraId="3941D938" w14:textId="77777777" w:rsidR="00BF56CF" w:rsidRPr="004D1136" w:rsidRDefault="00BF56CF" w:rsidP="00BF56CF">
      <w:pPr>
        <w:spacing w:after="0"/>
        <w:rPr>
          <w:lang w:val="en-US"/>
        </w:rPr>
      </w:pPr>
    </w:p>
    <w:p w14:paraId="30429B88" w14:textId="54FCF43C" w:rsidR="00BF56CF" w:rsidRPr="004D1136" w:rsidRDefault="004D1136" w:rsidP="00FA04C8">
      <w:pPr>
        <w:spacing w:after="0"/>
        <w:rPr>
          <w:lang w:val="en-US"/>
        </w:rPr>
      </w:pPr>
      <w:r w:rsidRPr="004D1136">
        <w:rPr>
          <w:lang w:val="en-US"/>
        </w:rPr>
        <w:t>To</w:t>
      </w:r>
      <w:r w:rsidR="00807331" w:rsidRPr="004D1136">
        <w:rPr>
          <w:lang w:val="en-US"/>
        </w:rPr>
        <w:t xml:space="preserve"> ensure that changes in semi-static beam configuration </w:t>
      </w:r>
      <w:r w:rsidR="00A103D8" w:rsidRPr="004D1136">
        <w:rPr>
          <w:lang w:val="en-US"/>
        </w:rPr>
        <w:t>can be reliably applied</w:t>
      </w:r>
      <w:r w:rsidR="00807331" w:rsidRPr="004D1136">
        <w:rPr>
          <w:lang w:val="en-US"/>
        </w:rPr>
        <w:t xml:space="preserve"> </w:t>
      </w:r>
      <w:r w:rsidR="00A9131F" w:rsidRPr="004D1136">
        <w:rPr>
          <w:lang w:val="en-US"/>
        </w:rPr>
        <w:t xml:space="preserve">on schedule, </w:t>
      </w:r>
      <w:r w:rsidR="00511A02" w:rsidRPr="004D1136">
        <w:rPr>
          <w:lang w:val="en-US"/>
        </w:rPr>
        <w:t xml:space="preserve">it may be necessary to configure the </w:t>
      </w:r>
      <w:r w:rsidR="00D55EDE" w:rsidRPr="004D1136">
        <w:rPr>
          <w:lang w:val="en-US"/>
        </w:rPr>
        <w:t xml:space="preserve">application time of </w:t>
      </w:r>
      <w:r w:rsidR="004A1EF2" w:rsidRPr="004D1136">
        <w:rPr>
          <w:lang w:val="en-US"/>
        </w:rPr>
        <w:t xml:space="preserve">changes in </w:t>
      </w:r>
      <w:r w:rsidR="00863690" w:rsidRPr="004D1136">
        <w:rPr>
          <w:lang w:val="en-US"/>
        </w:rPr>
        <w:t xml:space="preserve">semi-statically indicated beams. To manage this, </w:t>
      </w:r>
      <w:r w:rsidR="00D63891" w:rsidRPr="004D1136">
        <w:rPr>
          <w:lang w:val="en-US"/>
        </w:rPr>
        <w:t>a</w:t>
      </w:r>
      <w:r w:rsidR="00CF41C7" w:rsidRPr="004D1136">
        <w:rPr>
          <w:lang w:val="en-US"/>
        </w:rPr>
        <w:t>n</w:t>
      </w:r>
      <w:r w:rsidR="00D63891" w:rsidRPr="004D1136">
        <w:rPr>
          <w:lang w:val="en-US"/>
        </w:rPr>
        <w:t xml:space="preserve"> </w:t>
      </w:r>
      <w:r w:rsidR="006135BC" w:rsidRPr="004D1136">
        <w:rPr>
          <w:lang w:val="en-US"/>
        </w:rPr>
        <w:t>application/</w:t>
      </w:r>
      <w:r w:rsidR="007F708B" w:rsidRPr="004D1136">
        <w:rPr>
          <w:lang w:val="en-US"/>
        </w:rPr>
        <w:t xml:space="preserve">modification period should be configured to appropriately </w:t>
      </w:r>
      <w:r w:rsidR="00051397" w:rsidRPr="004D1136">
        <w:rPr>
          <w:lang w:val="en-US"/>
        </w:rPr>
        <w:t xml:space="preserve">determine the time at which a semi-static beam indication is expected to be </w:t>
      </w:r>
      <w:r w:rsidR="00E1778F" w:rsidRPr="004D1136">
        <w:rPr>
          <w:lang w:val="en-US"/>
        </w:rPr>
        <w:t>applied relative to when it is received by the NCR.</w:t>
      </w:r>
    </w:p>
    <w:p w14:paraId="23B00E8B" w14:textId="5C06D749" w:rsidR="00BC290B" w:rsidRPr="004D1136" w:rsidRDefault="00BC290B" w:rsidP="00447963">
      <w:pPr>
        <w:spacing w:after="0"/>
        <w:rPr>
          <w:iCs/>
          <w:lang w:val="en-US"/>
        </w:rPr>
      </w:pPr>
    </w:p>
    <w:p w14:paraId="0D7DF612" w14:textId="3ECDDE83" w:rsidR="00BC290B" w:rsidRPr="004D1136" w:rsidRDefault="00BC290B" w:rsidP="00BC290B">
      <w:pPr>
        <w:spacing w:after="0"/>
        <w:ind w:left="1560" w:hanging="1276"/>
        <w:rPr>
          <w:b/>
          <w:bCs/>
          <w:i/>
          <w:iCs/>
          <w:lang w:val="en-US"/>
        </w:rPr>
      </w:pPr>
      <w:r w:rsidRPr="004D1136">
        <w:rPr>
          <w:b/>
          <w:bCs/>
          <w:i/>
          <w:iCs/>
          <w:lang w:val="en-US"/>
        </w:rPr>
        <w:t>Proposal 2.</w:t>
      </w:r>
      <w:r w:rsidR="00AA1DE6" w:rsidRPr="004D1136">
        <w:rPr>
          <w:b/>
          <w:bCs/>
          <w:i/>
          <w:iCs/>
          <w:lang w:val="en-US"/>
        </w:rPr>
        <w:t>6</w:t>
      </w:r>
      <w:r w:rsidRPr="004D1136">
        <w:rPr>
          <w:b/>
          <w:bCs/>
          <w:i/>
          <w:iCs/>
          <w:lang w:val="en-US"/>
        </w:rPr>
        <w:t>:</w:t>
      </w:r>
      <w:r w:rsidRPr="004D1136">
        <w:rPr>
          <w:b/>
          <w:bCs/>
          <w:i/>
          <w:iCs/>
          <w:lang w:val="en-US"/>
        </w:rPr>
        <w:tab/>
        <w:t xml:space="preserve">Semi-static indication of access link beam is applied </w:t>
      </w:r>
      <w:r w:rsidR="00B747B1" w:rsidRPr="004D1136">
        <w:rPr>
          <w:b/>
          <w:bCs/>
          <w:i/>
          <w:iCs/>
          <w:lang w:val="en-US"/>
        </w:rPr>
        <w:t>at the end of a configured modification period</w:t>
      </w:r>
      <w:r w:rsidRPr="004D1136">
        <w:rPr>
          <w:b/>
          <w:bCs/>
          <w:i/>
          <w:iCs/>
          <w:lang w:val="en-US"/>
        </w:rPr>
        <w:t xml:space="preserve"> </w:t>
      </w:r>
      <w:r w:rsidR="00650D9A" w:rsidRPr="004D1136">
        <w:rPr>
          <w:b/>
          <w:bCs/>
          <w:i/>
          <w:iCs/>
          <w:lang w:val="en-US"/>
        </w:rPr>
        <w:t>for the NCR.</w:t>
      </w:r>
    </w:p>
    <w:p w14:paraId="2A3F7151" w14:textId="4D40C6FA" w:rsidR="00EF7C44" w:rsidRPr="004D1136" w:rsidRDefault="00EF7C44" w:rsidP="00EF7C44">
      <w:pPr>
        <w:spacing w:after="0"/>
        <w:rPr>
          <w:lang w:val="en-US"/>
        </w:rPr>
      </w:pPr>
    </w:p>
    <w:p w14:paraId="0A9314E3" w14:textId="66E1CBF8" w:rsidR="003756CA" w:rsidRPr="004D1136" w:rsidRDefault="00EF7C44" w:rsidP="00EF7C44">
      <w:pPr>
        <w:spacing w:after="0"/>
        <w:rPr>
          <w:lang w:val="en-US"/>
        </w:rPr>
      </w:pPr>
      <w:r w:rsidRPr="004D1136">
        <w:rPr>
          <w:lang w:val="en-US"/>
        </w:rPr>
        <w:t>Dynamic indication of access link beams must be coordinated with semi-static beam indication to avoid</w:t>
      </w:r>
      <w:r w:rsidR="003756CA" w:rsidRPr="004D1136">
        <w:rPr>
          <w:lang w:val="en-US"/>
        </w:rPr>
        <w:t xml:space="preserve"> conflicting indications which may produce ambiguous NCR-Fwd behavior. To avoid this, either an NCR should not be expected to receive conflicting indications in a time domain resource, or a prioritization or fallback rule must be defined. In general, there is not a clear motivation for providing conflicting indications to the NCR, since semi-static beam configurations would likely be intended to support channels and signals which are transmitted with high priority, i.e., SSB, system information, PRACH, etc. In those time domain resources it is unlikely that a dynamic indication would be needed to override the semi-static indication. For that reason, the most straightforward design would be to require that the NCR is not expected to receive conflicting beam indications in a time domain resource.</w:t>
      </w:r>
    </w:p>
    <w:p w14:paraId="5B8B4C1A" w14:textId="09F37942" w:rsidR="003756CA" w:rsidRPr="004D1136" w:rsidRDefault="003756CA" w:rsidP="00EF7C44">
      <w:pPr>
        <w:spacing w:after="0"/>
        <w:rPr>
          <w:lang w:val="en-US"/>
        </w:rPr>
      </w:pPr>
    </w:p>
    <w:p w14:paraId="5C7F9D76" w14:textId="287AD6B6" w:rsidR="003756CA" w:rsidRPr="004D1136" w:rsidRDefault="003756CA" w:rsidP="003756CA">
      <w:pPr>
        <w:spacing w:after="0"/>
        <w:ind w:left="1560" w:hanging="1276"/>
        <w:rPr>
          <w:b/>
          <w:bCs/>
          <w:i/>
          <w:iCs/>
          <w:lang w:val="en-US"/>
        </w:rPr>
      </w:pPr>
      <w:r w:rsidRPr="004D1136">
        <w:rPr>
          <w:b/>
          <w:bCs/>
          <w:i/>
          <w:iCs/>
          <w:lang w:val="en-US"/>
        </w:rPr>
        <w:t>Proposal 2.</w:t>
      </w:r>
      <w:r w:rsidR="00E618C0" w:rsidRPr="004D1136">
        <w:rPr>
          <w:b/>
          <w:bCs/>
          <w:i/>
          <w:iCs/>
          <w:lang w:val="en-US"/>
        </w:rPr>
        <w:t>7</w:t>
      </w:r>
      <w:r w:rsidRPr="004D1136">
        <w:rPr>
          <w:b/>
          <w:bCs/>
          <w:i/>
          <w:iCs/>
          <w:lang w:val="en-US"/>
        </w:rPr>
        <w:t>:</w:t>
      </w:r>
      <w:r w:rsidRPr="004D1136">
        <w:rPr>
          <w:b/>
          <w:bCs/>
          <w:i/>
          <w:iCs/>
          <w:lang w:val="en-US"/>
        </w:rPr>
        <w:tab/>
        <w:t>An NCR is not expected to receive conflicting beam indications (e.g., semi-static and dynamic) in a time domain resource.</w:t>
      </w:r>
    </w:p>
    <w:p w14:paraId="50A16E07" w14:textId="77777777" w:rsidR="00BC290B" w:rsidRPr="004D1136" w:rsidRDefault="00BC290B" w:rsidP="00447963">
      <w:pPr>
        <w:spacing w:after="0"/>
        <w:rPr>
          <w:iCs/>
          <w:lang w:val="en-US"/>
        </w:rPr>
      </w:pPr>
    </w:p>
    <w:p w14:paraId="241271A7" w14:textId="7F5AE492" w:rsidR="007C53BF" w:rsidRPr="004D1136" w:rsidRDefault="00945C6C" w:rsidP="007C53BF">
      <w:pPr>
        <w:rPr>
          <w:lang w:val="en-US"/>
        </w:rPr>
      </w:pPr>
      <w:r w:rsidRPr="004D1136">
        <w:rPr>
          <w:lang w:val="en-US"/>
        </w:rPr>
        <w:t>Additionally, it is necessary to avoid a situation in which the NCR is configured to forward without a clear understanding of which access link beam to use. In the case that a beam indication is not provided for a time domain resource, the NCR-Fwd should be configured to ‘off’ since a default forwarding behavior could not easily be designed in this case.</w:t>
      </w:r>
    </w:p>
    <w:p w14:paraId="677F7086" w14:textId="09646C9D" w:rsidR="00945C6C" w:rsidRPr="004D1136" w:rsidRDefault="00945C6C" w:rsidP="00945C6C">
      <w:pPr>
        <w:spacing w:after="0"/>
        <w:ind w:left="1560" w:hanging="1276"/>
        <w:rPr>
          <w:b/>
          <w:bCs/>
          <w:i/>
          <w:iCs/>
          <w:lang w:val="en-US"/>
        </w:rPr>
      </w:pPr>
      <w:r w:rsidRPr="004D1136">
        <w:rPr>
          <w:b/>
          <w:bCs/>
          <w:i/>
          <w:iCs/>
          <w:lang w:val="en-US"/>
        </w:rPr>
        <w:t>Proposal 2.</w:t>
      </w:r>
      <w:r w:rsidR="00E618C0" w:rsidRPr="004D1136">
        <w:rPr>
          <w:b/>
          <w:bCs/>
          <w:i/>
          <w:iCs/>
          <w:lang w:val="en-US"/>
        </w:rPr>
        <w:t>8</w:t>
      </w:r>
      <w:r w:rsidRPr="004D1136">
        <w:rPr>
          <w:b/>
          <w:bCs/>
          <w:i/>
          <w:iCs/>
          <w:lang w:val="en-US"/>
        </w:rPr>
        <w:t>:</w:t>
      </w:r>
      <w:r w:rsidRPr="004D1136">
        <w:rPr>
          <w:b/>
          <w:bCs/>
          <w:i/>
          <w:iCs/>
          <w:lang w:val="en-US"/>
        </w:rPr>
        <w:tab/>
        <w:t>In any time domain resource in which an access link beam has not been indicated, the NCR-Fwd is expected to be ‘off’.</w:t>
      </w:r>
    </w:p>
    <w:p w14:paraId="203C45C9" w14:textId="742F961D" w:rsidR="00945C6C" w:rsidRPr="004D1136" w:rsidRDefault="00945C6C" w:rsidP="00945C6C">
      <w:pPr>
        <w:spacing w:after="0"/>
        <w:rPr>
          <w:lang w:val="en-US"/>
        </w:rPr>
      </w:pPr>
    </w:p>
    <w:p w14:paraId="609EC953" w14:textId="6CBD167D" w:rsidR="00945C6C" w:rsidRPr="004D1136" w:rsidRDefault="00945C6C" w:rsidP="00945C6C">
      <w:pPr>
        <w:pStyle w:val="Heading2"/>
        <w:rPr>
          <w:lang w:val="en-US"/>
        </w:rPr>
      </w:pPr>
      <w:r w:rsidRPr="004D1136">
        <w:rPr>
          <w:lang w:val="en-US"/>
        </w:rPr>
        <w:t>TDD Configuration</w:t>
      </w:r>
    </w:p>
    <w:p w14:paraId="2D14B6B1" w14:textId="78808FE7" w:rsidR="00945C6C" w:rsidRPr="004D1136" w:rsidRDefault="00945C6C" w:rsidP="00945C6C">
      <w:pPr>
        <w:rPr>
          <w:lang w:val="en-US"/>
        </w:rPr>
      </w:pPr>
      <w:r w:rsidRPr="004D1136">
        <w:rPr>
          <w:lang w:val="en-US"/>
        </w:rPr>
        <w:t>In RAN1#110bis-e the following agreement was made regarding support for NCR-Fwd operation over TDD flexible symbols:</w:t>
      </w:r>
    </w:p>
    <w:p w14:paraId="467E350E" w14:textId="77777777" w:rsidR="00945C6C" w:rsidRPr="004D1136" w:rsidRDefault="00945C6C" w:rsidP="00973BF5">
      <w:pPr>
        <w:spacing w:after="0"/>
        <w:ind w:left="284"/>
        <w:rPr>
          <w:b/>
          <w:bCs/>
          <w:lang w:val="en-US"/>
        </w:rPr>
      </w:pPr>
      <w:r w:rsidRPr="004D1136">
        <w:rPr>
          <w:b/>
          <w:bCs/>
          <w:highlight w:val="green"/>
          <w:lang w:val="en-US"/>
        </w:rPr>
        <w:t>Agreement</w:t>
      </w:r>
    </w:p>
    <w:p w14:paraId="72C634AC" w14:textId="77777777" w:rsidR="00945C6C" w:rsidRPr="004D1136" w:rsidRDefault="00945C6C" w:rsidP="00973BF5">
      <w:pPr>
        <w:spacing w:after="0"/>
        <w:ind w:left="284"/>
        <w:rPr>
          <w:i/>
          <w:iCs/>
          <w:lang w:val="en-US"/>
        </w:rPr>
      </w:pPr>
      <w:r w:rsidRPr="004D1136">
        <w:rPr>
          <w:i/>
          <w:iCs/>
          <w:lang w:val="en-US"/>
        </w:rPr>
        <w:t>For the flexible symbol based on the semi-static configuration (e.g., TDD-UL-DL-ConfigCommon, TDD-UL-DL-ConfigDedicated), the default behavior of the NCR-Fwd is expected to be OFF or not forwarding over these symbols</w:t>
      </w:r>
    </w:p>
    <w:p w14:paraId="38DF9B7A" w14:textId="77777777" w:rsidR="00945C6C" w:rsidRPr="004D1136" w:rsidRDefault="00945C6C" w:rsidP="00973BF5">
      <w:pPr>
        <w:numPr>
          <w:ilvl w:val="0"/>
          <w:numId w:val="39"/>
        </w:numPr>
        <w:tabs>
          <w:tab w:val="clear" w:pos="720"/>
          <w:tab w:val="num" w:pos="1004"/>
        </w:tabs>
        <w:spacing w:after="0"/>
        <w:ind w:left="1004"/>
        <w:rPr>
          <w:i/>
          <w:iCs/>
          <w:lang w:val="en-US"/>
        </w:rPr>
      </w:pPr>
      <w:r w:rsidRPr="004D1136">
        <w:rPr>
          <w:i/>
          <w:iCs/>
          <w:lang w:val="en-US"/>
        </w:rPr>
        <w:t>FFS: The behavior over these symbol if dynamic DL/UL operation is supported by NCR-MT and/or NCR-Fwd.</w:t>
      </w:r>
    </w:p>
    <w:p w14:paraId="4810C5B9" w14:textId="771D96F6" w:rsidR="00945C6C" w:rsidRPr="004D1136" w:rsidRDefault="00945C6C" w:rsidP="00945C6C">
      <w:pPr>
        <w:rPr>
          <w:lang w:val="en-US"/>
        </w:rPr>
      </w:pPr>
    </w:p>
    <w:p w14:paraId="453559EC" w14:textId="3753672A" w:rsidR="00945C6C" w:rsidRPr="004D1136" w:rsidRDefault="00945C6C" w:rsidP="00945C6C">
      <w:pPr>
        <w:rPr>
          <w:lang w:val="en-US"/>
        </w:rPr>
      </w:pPr>
      <w:r w:rsidRPr="004D1136">
        <w:rPr>
          <w:lang w:val="en-US"/>
        </w:rPr>
        <w:t xml:space="preserve">As agreed, the NCR-Fwd is not expected to forward over TDD flexible symbols; however, </w:t>
      </w:r>
      <w:r w:rsidR="00260770" w:rsidRPr="004D1136">
        <w:rPr>
          <w:lang w:val="en-US"/>
        </w:rPr>
        <w:t xml:space="preserve">this limitation may limit the configuration flexibility of the network </w:t>
      </w:r>
      <w:r w:rsidR="004D1136" w:rsidRPr="004D1136">
        <w:rPr>
          <w:lang w:val="en-US"/>
        </w:rPr>
        <w:t>regarding</w:t>
      </w:r>
      <w:r w:rsidR="00260770" w:rsidRPr="004D1136">
        <w:rPr>
          <w:lang w:val="en-US"/>
        </w:rPr>
        <w:t xml:space="preserve"> other UEs connecting via the NCR.  For this reason, it may be reasonable to have optional support for NCR-Fwd operation over TDD ‘flexible’ symbols by NCR capability.</w:t>
      </w:r>
    </w:p>
    <w:p w14:paraId="00D81CF4" w14:textId="56EE9121" w:rsidR="00260770" w:rsidRPr="004D1136" w:rsidRDefault="00260770" w:rsidP="00260770">
      <w:pPr>
        <w:spacing w:after="0"/>
        <w:ind w:left="1560" w:hanging="1276"/>
        <w:rPr>
          <w:b/>
          <w:bCs/>
          <w:i/>
          <w:iCs/>
          <w:lang w:val="en-US"/>
        </w:rPr>
      </w:pPr>
      <w:r w:rsidRPr="004D1136">
        <w:rPr>
          <w:b/>
          <w:bCs/>
          <w:i/>
          <w:iCs/>
          <w:lang w:val="en-US"/>
        </w:rPr>
        <w:t>Proposal 2.</w:t>
      </w:r>
      <w:r w:rsidR="00E618C0" w:rsidRPr="004D1136">
        <w:rPr>
          <w:b/>
          <w:bCs/>
          <w:i/>
          <w:iCs/>
          <w:lang w:val="en-US"/>
        </w:rPr>
        <w:t>9</w:t>
      </w:r>
      <w:r w:rsidRPr="004D1136">
        <w:rPr>
          <w:b/>
          <w:bCs/>
          <w:i/>
          <w:iCs/>
          <w:lang w:val="en-US"/>
        </w:rPr>
        <w:t>:</w:t>
      </w:r>
      <w:r w:rsidRPr="004D1136">
        <w:rPr>
          <w:b/>
          <w:bCs/>
          <w:i/>
          <w:iCs/>
          <w:lang w:val="en-US"/>
        </w:rPr>
        <w:tab/>
        <w:t>NCR-Fwd can support forwarding over TDD ‘flexible’ symbols by capability.</w:t>
      </w:r>
    </w:p>
    <w:p w14:paraId="74D80F52" w14:textId="77777777" w:rsidR="00260770" w:rsidRPr="004D1136" w:rsidRDefault="00260770" w:rsidP="00260770">
      <w:pPr>
        <w:spacing w:after="0"/>
        <w:ind w:left="1560" w:hanging="1276"/>
        <w:rPr>
          <w:lang w:val="en-US"/>
        </w:rPr>
      </w:pPr>
    </w:p>
    <w:p w14:paraId="4B320AF1" w14:textId="36D592F6" w:rsidR="00260770" w:rsidRPr="004D1136" w:rsidRDefault="00260770" w:rsidP="00945C6C">
      <w:pPr>
        <w:rPr>
          <w:lang w:val="en-US"/>
        </w:rPr>
      </w:pPr>
      <w:r w:rsidRPr="004D1136">
        <w:rPr>
          <w:lang w:val="en-US"/>
        </w:rPr>
        <w:lastRenderedPageBreak/>
        <w:t xml:space="preserve">In the case that NCR-Fwd forwarding over TDD ‘flexible’ symbols is supported, it can be assumed that TDD UL/DL configuration for </w:t>
      </w:r>
      <w:r w:rsidR="004D1136" w:rsidRPr="004D1136">
        <w:rPr>
          <w:lang w:val="en-US"/>
        </w:rPr>
        <w:t>backhaul,</w:t>
      </w:r>
      <w:r w:rsidRPr="004D1136">
        <w:rPr>
          <w:lang w:val="en-US"/>
        </w:rPr>
        <w:t xml:space="preserve"> and access link are identical to the C-link. In that case, the TDD UL/DL state of the NCR-Fwd can be expected to follow the TDD UL/DL state of the NCR-MT.  </w:t>
      </w:r>
    </w:p>
    <w:p w14:paraId="4836B6D1" w14:textId="76E2D2A0" w:rsidR="00260770" w:rsidRPr="004D1136" w:rsidRDefault="00260770" w:rsidP="00260770">
      <w:pPr>
        <w:spacing w:after="0"/>
        <w:ind w:left="1560" w:hanging="1276"/>
        <w:rPr>
          <w:b/>
          <w:bCs/>
          <w:i/>
          <w:iCs/>
          <w:lang w:val="en-US"/>
        </w:rPr>
      </w:pPr>
      <w:r w:rsidRPr="004D1136">
        <w:rPr>
          <w:b/>
          <w:bCs/>
          <w:i/>
          <w:iCs/>
          <w:lang w:val="en-US"/>
        </w:rPr>
        <w:t>Proposal 2.</w:t>
      </w:r>
      <w:r w:rsidR="00E618C0" w:rsidRPr="004D1136">
        <w:rPr>
          <w:b/>
          <w:bCs/>
          <w:i/>
          <w:iCs/>
          <w:lang w:val="en-US"/>
        </w:rPr>
        <w:t>10</w:t>
      </w:r>
      <w:r w:rsidRPr="004D1136">
        <w:rPr>
          <w:b/>
          <w:bCs/>
          <w:i/>
          <w:iCs/>
          <w:lang w:val="en-US"/>
        </w:rPr>
        <w:t>:</w:t>
      </w:r>
      <w:r w:rsidRPr="004D1136">
        <w:rPr>
          <w:b/>
          <w:bCs/>
          <w:i/>
          <w:iCs/>
          <w:lang w:val="en-US"/>
        </w:rPr>
        <w:tab/>
        <w:t>NCR-Fwd is expected to follow the TDD UL/DL state of the NCR-MT.</w:t>
      </w:r>
    </w:p>
    <w:p w14:paraId="788CA065" w14:textId="59AE1DFB" w:rsidR="00260770" w:rsidRPr="004D1136" w:rsidRDefault="00260770" w:rsidP="00260770">
      <w:pPr>
        <w:spacing w:after="0"/>
        <w:rPr>
          <w:lang w:val="en-US"/>
        </w:rPr>
      </w:pPr>
    </w:p>
    <w:p w14:paraId="07C11C93" w14:textId="232F2F63" w:rsidR="00260770" w:rsidRPr="004D1136" w:rsidRDefault="00260770" w:rsidP="00260770">
      <w:pPr>
        <w:pStyle w:val="Heading2"/>
        <w:rPr>
          <w:lang w:val="en-US"/>
        </w:rPr>
      </w:pPr>
      <w:r w:rsidRPr="004D1136">
        <w:rPr>
          <w:lang w:val="en-US"/>
        </w:rPr>
        <w:t>On/Off Configuration</w:t>
      </w:r>
    </w:p>
    <w:p w14:paraId="4700346D" w14:textId="166C369D" w:rsidR="00260770" w:rsidRPr="004D1136" w:rsidRDefault="00973BF5" w:rsidP="00973BF5">
      <w:pPr>
        <w:spacing w:after="0"/>
        <w:rPr>
          <w:lang w:val="en-US"/>
        </w:rPr>
      </w:pPr>
      <w:r w:rsidRPr="004D1136">
        <w:rPr>
          <w:lang w:val="en-US"/>
        </w:rPr>
        <w:t>The following agreement was made in RAN1#110bis-e regarding indication of NCR-Fwd ‘on’ behavior:</w:t>
      </w:r>
    </w:p>
    <w:p w14:paraId="5077E9D2" w14:textId="45E761E2" w:rsidR="00973BF5" w:rsidRPr="004D1136" w:rsidRDefault="00973BF5" w:rsidP="00973BF5">
      <w:pPr>
        <w:spacing w:after="0"/>
        <w:rPr>
          <w:lang w:val="en-US"/>
        </w:rPr>
      </w:pPr>
    </w:p>
    <w:p w14:paraId="7EE64FDB" w14:textId="77777777" w:rsidR="00973BF5" w:rsidRPr="004D1136" w:rsidRDefault="00973BF5" w:rsidP="00973BF5">
      <w:pPr>
        <w:spacing w:after="0"/>
        <w:rPr>
          <w:lang w:val="en-US"/>
        </w:rPr>
      </w:pPr>
      <w:r w:rsidRPr="004D1136">
        <w:rPr>
          <w:b/>
          <w:bCs/>
          <w:highlight w:val="green"/>
          <w:lang w:val="en-US"/>
        </w:rPr>
        <w:t>Agreement</w:t>
      </w:r>
    </w:p>
    <w:p w14:paraId="64928C40" w14:textId="77777777" w:rsidR="00973BF5" w:rsidRPr="004D1136" w:rsidRDefault="00973BF5" w:rsidP="00973BF5">
      <w:pPr>
        <w:spacing w:after="0"/>
        <w:rPr>
          <w:i/>
          <w:iCs/>
          <w:lang w:val="en-US"/>
        </w:rPr>
      </w:pPr>
      <w:r w:rsidRPr="004D1136">
        <w:rPr>
          <w:i/>
          <w:iCs/>
          <w:lang w:val="en-US"/>
        </w:rPr>
        <w:t>For the ON/OFF information indication, at least one of following options is supported to indicate the ON state of NCR</w:t>
      </w:r>
    </w:p>
    <w:p w14:paraId="651B71A7" w14:textId="77777777" w:rsidR="00973BF5" w:rsidRPr="004D1136" w:rsidRDefault="00973BF5" w:rsidP="00973BF5">
      <w:pPr>
        <w:numPr>
          <w:ilvl w:val="0"/>
          <w:numId w:val="40"/>
        </w:numPr>
        <w:spacing w:after="0"/>
        <w:rPr>
          <w:i/>
          <w:iCs/>
          <w:lang w:val="en-US"/>
        </w:rPr>
      </w:pPr>
      <w:r w:rsidRPr="004D1136">
        <w:rPr>
          <w:i/>
          <w:iCs/>
          <w:lang w:val="en-US"/>
        </w:rPr>
        <w:t>Alt-1: Explicit indication with dedicated field to indicate ON state</w:t>
      </w:r>
    </w:p>
    <w:p w14:paraId="68E3FDEA" w14:textId="77777777" w:rsidR="00973BF5" w:rsidRPr="004D1136" w:rsidRDefault="00973BF5" w:rsidP="00973BF5">
      <w:pPr>
        <w:numPr>
          <w:ilvl w:val="1"/>
          <w:numId w:val="40"/>
        </w:numPr>
        <w:spacing w:after="0"/>
        <w:rPr>
          <w:i/>
          <w:iCs/>
          <w:lang w:val="en-US"/>
        </w:rPr>
      </w:pPr>
      <w:r w:rsidRPr="004D1136">
        <w:rPr>
          <w:i/>
          <w:iCs/>
          <w:lang w:val="en-US"/>
        </w:rPr>
        <w:t>Note: At least it’s supported when the beam indication is not applicable</w:t>
      </w:r>
    </w:p>
    <w:p w14:paraId="0D90E994" w14:textId="77777777" w:rsidR="00973BF5" w:rsidRPr="004D1136" w:rsidRDefault="00973BF5" w:rsidP="00973BF5">
      <w:pPr>
        <w:numPr>
          <w:ilvl w:val="0"/>
          <w:numId w:val="40"/>
        </w:numPr>
        <w:spacing w:after="0"/>
        <w:rPr>
          <w:i/>
          <w:iCs/>
          <w:lang w:val="en-US"/>
        </w:rPr>
      </w:pPr>
      <w:r w:rsidRPr="004D1136">
        <w:rPr>
          <w:i/>
          <w:iCs/>
          <w:lang w:val="en-US"/>
        </w:rPr>
        <w:t>Alt-2: Implicit indication via the beam indication</w:t>
      </w:r>
    </w:p>
    <w:p w14:paraId="0B5D9801" w14:textId="69A8189E" w:rsidR="00973BF5" w:rsidRPr="004D1136" w:rsidRDefault="00973BF5" w:rsidP="00973BF5">
      <w:pPr>
        <w:numPr>
          <w:ilvl w:val="0"/>
          <w:numId w:val="40"/>
        </w:numPr>
        <w:spacing w:after="0"/>
        <w:rPr>
          <w:i/>
          <w:iCs/>
          <w:lang w:val="en-US"/>
        </w:rPr>
      </w:pPr>
      <w:r w:rsidRPr="004D1136">
        <w:rPr>
          <w:i/>
          <w:iCs/>
          <w:lang w:val="en-US"/>
        </w:rPr>
        <w:t>Alt-3: Indication via the time domain resource indication (i.e., the NCR is assumed to be ON over the indicated time domain resource)</w:t>
      </w:r>
    </w:p>
    <w:p w14:paraId="70C541C8" w14:textId="7331AE0B" w:rsidR="00973BF5" w:rsidRPr="004D1136" w:rsidRDefault="00973BF5" w:rsidP="00973BF5">
      <w:pPr>
        <w:spacing w:after="0"/>
        <w:rPr>
          <w:b/>
          <w:bCs/>
          <w:lang w:val="en-US"/>
        </w:rPr>
      </w:pPr>
    </w:p>
    <w:p w14:paraId="53EEDA19" w14:textId="63164D2E" w:rsidR="00973BF5" w:rsidRPr="004D1136" w:rsidRDefault="0075240D" w:rsidP="00973BF5">
      <w:pPr>
        <w:spacing w:after="0"/>
        <w:rPr>
          <w:lang w:val="en-US"/>
        </w:rPr>
      </w:pPr>
      <w:r w:rsidRPr="004D1136">
        <w:rPr>
          <w:lang w:val="en-US"/>
        </w:rPr>
        <w:t xml:space="preserve">As noted, in Section </w:t>
      </w:r>
      <w:r w:rsidRPr="004D1136">
        <w:rPr>
          <w:lang w:val="en-US"/>
        </w:rPr>
        <w:fldChar w:fldCharType="begin"/>
      </w:r>
      <w:r w:rsidRPr="004D1136">
        <w:rPr>
          <w:lang w:val="en-US"/>
        </w:rPr>
        <w:instrText xml:space="preserve"> REF _Ref118100048 \r \h </w:instrText>
      </w:r>
      <w:r w:rsidRPr="004D1136">
        <w:rPr>
          <w:lang w:val="en-US"/>
        </w:rPr>
      </w:r>
      <w:r w:rsidRPr="004D1136">
        <w:rPr>
          <w:lang w:val="en-US"/>
        </w:rPr>
        <w:fldChar w:fldCharType="separate"/>
      </w:r>
      <w:r w:rsidRPr="004D1136">
        <w:rPr>
          <w:lang w:val="en-US"/>
        </w:rPr>
        <w:t>2.1.2</w:t>
      </w:r>
      <w:r w:rsidRPr="004D1136">
        <w:rPr>
          <w:lang w:val="en-US"/>
        </w:rPr>
        <w:fldChar w:fldCharType="end"/>
      </w:r>
      <w:r w:rsidRPr="004D1136">
        <w:rPr>
          <w:lang w:val="en-US"/>
        </w:rPr>
        <w:t xml:space="preserve">, it is preferrable to avoid scenarios in which the NCR-Fwd is configured ‘on’, but not provided with a clear indication on which beam the NCR-Fwd should be forwarding. Since this is the case, explicit indication of the NCR-Fwd as ‘on’ should not be necessary, since the NCR-Fwd operation should always be implicitly dependent on the NCR being provided an appropriate beam indication. When the NCR is provided with an explicit beam </w:t>
      </w:r>
      <w:r w:rsidR="0096147B" w:rsidRPr="004D1136">
        <w:rPr>
          <w:lang w:val="en-US"/>
        </w:rPr>
        <w:t>indication, it is logical to assume that the NCR-Fwd should be ‘on’.</w:t>
      </w:r>
    </w:p>
    <w:p w14:paraId="3DFDCCD3" w14:textId="4CA7874E" w:rsidR="0096147B" w:rsidRPr="004D1136" w:rsidRDefault="0096147B" w:rsidP="00973BF5">
      <w:pPr>
        <w:spacing w:after="0"/>
        <w:rPr>
          <w:lang w:val="en-US"/>
        </w:rPr>
      </w:pPr>
    </w:p>
    <w:p w14:paraId="51FEA535" w14:textId="0B2D487C" w:rsidR="0096147B" w:rsidRPr="004D1136" w:rsidRDefault="0096147B" w:rsidP="0096147B">
      <w:pPr>
        <w:spacing w:after="0"/>
        <w:ind w:left="1560" w:hanging="1276"/>
        <w:rPr>
          <w:b/>
          <w:bCs/>
          <w:i/>
          <w:iCs/>
          <w:lang w:val="en-US"/>
        </w:rPr>
      </w:pPr>
      <w:r w:rsidRPr="004D1136">
        <w:rPr>
          <w:b/>
          <w:bCs/>
          <w:i/>
          <w:iCs/>
          <w:lang w:val="en-US"/>
        </w:rPr>
        <w:t>Proposal 2.</w:t>
      </w:r>
      <w:r w:rsidR="00E618C0" w:rsidRPr="004D1136">
        <w:rPr>
          <w:b/>
          <w:bCs/>
          <w:i/>
          <w:iCs/>
          <w:lang w:val="en-US"/>
        </w:rPr>
        <w:t>11</w:t>
      </w:r>
      <w:r w:rsidRPr="004D1136">
        <w:rPr>
          <w:b/>
          <w:bCs/>
          <w:i/>
          <w:iCs/>
          <w:lang w:val="en-US"/>
        </w:rPr>
        <w:t>:</w:t>
      </w:r>
      <w:r w:rsidRPr="004D1136">
        <w:rPr>
          <w:b/>
          <w:bCs/>
          <w:i/>
          <w:iCs/>
          <w:lang w:val="en-US"/>
        </w:rPr>
        <w:tab/>
        <w:t>The NCR-Fwd is assumed to be ‘on’ over time domain resources in which an explicit beam indication has been provided</w:t>
      </w:r>
      <w:r w:rsidR="00435929" w:rsidRPr="004D1136">
        <w:rPr>
          <w:b/>
          <w:bCs/>
          <w:i/>
          <w:iCs/>
          <w:lang w:val="en-US"/>
        </w:rPr>
        <w:t xml:space="preserve"> for the NCR-Fwd</w:t>
      </w:r>
      <w:r w:rsidRPr="004D1136">
        <w:rPr>
          <w:b/>
          <w:bCs/>
          <w:i/>
          <w:iCs/>
          <w:lang w:val="en-US"/>
        </w:rPr>
        <w:t>.</w:t>
      </w:r>
    </w:p>
    <w:p w14:paraId="58A2F6E3" w14:textId="77777777" w:rsidR="00973BF5" w:rsidRPr="004D1136" w:rsidRDefault="00973BF5" w:rsidP="00973BF5">
      <w:pPr>
        <w:spacing w:after="0"/>
        <w:rPr>
          <w:lang w:val="en-US"/>
        </w:rPr>
      </w:pPr>
    </w:p>
    <w:bookmarkEnd w:id="1"/>
    <w:p w14:paraId="10445A01" w14:textId="65BF2491" w:rsidR="00885580" w:rsidRPr="004D1136" w:rsidRDefault="007820D0" w:rsidP="00885580">
      <w:pPr>
        <w:pStyle w:val="Heading1"/>
        <w:rPr>
          <w:lang w:val="en-US"/>
        </w:rPr>
      </w:pPr>
      <w:r w:rsidRPr="004D1136">
        <w:rPr>
          <w:lang w:val="en-US"/>
        </w:rPr>
        <w:t>Conclusion</w:t>
      </w:r>
    </w:p>
    <w:p w14:paraId="70276D0D" w14:textId="6CFAEA7E" w:rsidR="00AA1DE6" w:rsidRPr="004D1136" w:rsidRDefault="006E2451" w:rsidP="00AA1DE6">
      <w:pPr>
        <w:overflowPunct/>
        <w:autoSpaceDE/>
        <w:autoSpaceDN/>
        <w:adjustRightInd/>
        <w:spacing w:before="100" w:beforeAutospacing="1" w:after="100" w:afterAutospacing="1"/>
        <w:rPr>
          <w:rFonts w:eastAsia="Times New Roman"/>
          <w:lang w:val="en-US"/>
        </w:rPr>
      </w:pPr>
      <w:r>
        <w:rPr>
          <w:rFonts w:eastAsia="Times New Roman"/>
          <w:lang w:val="en-US"/>
        </w:rPr>
        <w:t>Proposals</w:t>
      </w:r>
      <w:r w:rsidR="00AA1DE6" w:rsidRPr="00AA1DE6">
        <w:rPr>
          <w:rFonts w:eastAsia="Times New Roman"/>
          <w:lang w:val="en-US"/>
        </w:rPr>
        <w:t xml:space="preserve"> for necessary side control information to maintain proper NCR operation are:  </w:t>
      </w:r>
    </w:p>
    <w:p w14:paraId="2E546889" w14:textId="77777777" w:rsidR="00AA1DE6" w:rsidRPr="004D1136" w:rsidRDefault="00AA1DE6" w:rsidP="00AA1DE6">
      <w:pPr>
        <w:spacing w:after="0"/>
        <w:ind w:left="1560" w:hanging="1276"/>
        <w:rPr>
          <w:b/>
          <w:bCs/>
          <w:i/>
          <w:iCs/>
          <w:lang w:val="en-US"/>
        </w:rPr>
      </w:pPr>
      <w:r w:rsidRPr="004D1136">
        <w:rPr>
          <w:b/>
          <w:bCs/>
          <w:i/>
          <w:iCs/>
          <w:lang w:val="en-US"/>
        </w:rPr>
        <w:t>Proposal 2.1:</w:t>
      </w:r>
      <w:r w:rsidRPr="004D1136">
        <w:rPr>
          <w:b/>
          <w:bCs/>
          <w:i/>
          <w:iCs/>
          <w:lang w:val="en-US"/>
        </w:rPr>
        <w:tab/>
        <w:t>When C-link and backhaul link are being transmitted simultaneously in UL or DL in a time domain resource, backhaul link transmission is performed using the same TCI state or spatial relation as indicated for the NCR-MT in that resource.</w:t>
      </w:r>
    </w:p>
    <w:p w14:paraId="0330072E" w14:textId="77777777" w:rsidR="00AA1DE6" w:rsidRPr="004D1136" w:rsidRDefault="00AA1DE6" w:rsidP="00AA1DE6">
      <w:pPr>
        <w:spacing w:after="0"/>
        <w:ind w:left="1560" w:hanging="1276"/>
        <w:rPr>
          <w:b/>
          <w:bCs/>
          <w:i/>
          <w:iCs/>
          <w:lang w:val="en-US"/>
        </w:rPr>
      </w:pPr>
    </w:p>
    <w:p w14:paraId="6F871BA5" w14:textId="23DD5598" w:rsidR="00AA1DE6" w:rsidRPr="004D1136" w:rsidRDefault="00AA1DE6" w:rsidP="00AA1DE6">
      <w:pPr>
        <w:spacing w:after="0"/>
        <w:ind w:left="1560" w:hanging="1276"/>
        <w:rPr>
          <w:b/>
          <w:bCs/>
          <w:i/>
          <w:iCs/>
          <w:lang w:val="en-US"/>
        </w:rPr>
      </w:pPr>
      <w:r w:rsidRPr="004D1136">
        <w:rPr>
          <w:b/>
          <w:bCs/>
          <w:i/>
          <w:iCs/>
          <w:lang w:val="en-US"/>
        </w:rPr>
        <w:t>Proposal 2.2:</w:t>
      </w:r>
      <w:r w:rsidRPr="004D1136">
        <w:rPr>
          <w:b/>
          <w:bCs/>
          <w:i/>
          <w:iCs/>
          <w:lang w:val="en-US"/>
        </w:rPr>
        <w:tab/>
        <w:t>When the backhaul link is being transmitted without a corresponding C-link transmission in UL or DL, the NCR-Fwd transmits or receives in the indicated TCI state or spatial relation for the last UL or DL transmission respectively.</w:t>
      </w:r>
    </w:p>
    <w:p w14:paraId="7D295FBD" w14:textId="77777777" w:rsidR="00AA1DE6" w:rsidRPr="004D1136" w:rsidRDefault="00AA1DE6" w:rsidP="00AA1DE6">
      <w:pPr>
        <w:spacing w:after="0"/>
        <w:ind w:left="1560" w:hanging="1276"/>
        <w:rPr>
          <w:b/>
          <w:bCs/>
          <w:i/>
          <w:iCs/>
          <w:lang w:val="en-US"/>
        </w:rPr>
      </w:pPr>
    </w:p>
    <w:p w14:paraId="51CF96E9" w14:textId="6EA15848" w:rsidR="00AA1DE6" w:rsidRPr="004D1136" w:rsidRDefault="00AA1DE6" w:rsidP="00AA1DE6">
      <w:pPr>
        <w:spacing w:after="0"/>
        <w:ind w:left="1560" w:hanging="1276"/>
        <w:rPr>
          <w:b/>
          <w:bCs/>
          <w:i/>
          <w:iCs/>
          <w:lang w:val="en-US"/>
        </w:rPr>
      </w:pPr>
      <w:r w:rsidRPr="004D1136">
        <w:rPr>
          <w:b/>
          <w:bCs/>
          <w:i/>
          <w:iCs/>
          <w:lang w:val="en-US"/>
        </w:rPr>
        <w:t>Proposal 2.3:</w:t>
      </w:r>
      <w:r w:rsidR="00E618C0" w:rsidRPr="004D1136">
        <w:rPr>
          <w:b/>
          <w:bCs/>
          <w:i/>
          <w:iCs/>
          <w:lang w:val="en-US"/>
        </w:rPr>
        <w:tab/>
      </w:r>
      <w:r w:rsidRPr="004D1136">
        <w:rPr>
          <w:b/>
          <w:bCs/>
          <w:i/>
          <w:iCs/>
          <w:lang w:val="en-US"/>
        </w:rPr>
        <w:t>New signaling for physical beam characterization for NCR-Fwd access link is not supported.</w:t>
      </w:r>
    </w:p>
    <w:p w14:paraId="713824F7" w14:textId="77777777" w:rsidR="00AA1DE6" w:rsidRPr="004D1136" w:rsidRDefault="00AA1DE6" w:rsidP="00AA1DE6">
      <w:pPr>
        <w:spacing w:after="0"/>
        <w:ind w:left="1560" w:hanging="1276"/>
        <w:rPr>
          <w:b/>
          <w:bCs/>
          <w:i/>
          <w:iCs/>
          <w:lang w:val="en-US"/>
        </w:rPr>
      </w:pPr>
    </w:p>
    <w:p w14:paraId="582A36F1" w14:textId="0FC1C71F" w:rsidR="00AA1DE6" w:rsidRPr="004D1136" w:rsidRDefault="00AA1DE6" w:rsidP="00AA1DE6">
      <w:pPr>
        <w:spacing w:after="0"/>
        <w:ind w:left="1560" w:hanging="1276"/>
        <w:rPr>
          <w:b/>
          <w:bCs/>
          <w:i/>
          <w:iCs/>
          <w:lang w:val="en-US"/>
        </w:rPr>
      </w:pPr>
      <w:r w:rsidRPr="004D1136">
        <w:rPr>
          <w:b/>
          <w:bCs/>
          <w:i/>
          <w:iCs/>
          <w:lang w:val="en-US"/>
        </w:rPr>
        <w:t>Proposal 2.4:</w:t>
      </w:r>
      <w:r w:rsidR="00E618C0" w:rsidRPr="004D1136">
        <w:rPr>
          <w:b/>
          <w:bCs/>
          <w:i/>
          <w:iCs/>
          <w:lang w:val="en-US"/>
        </w:rPr>
        <w:tab/>
      </w:r>
      <w:r w:rsidRPr="004D1136">
        <w:rPr>
          <w:b/>
          <w:bCs/>
          <w:i/>
          <w:iCs/>
          <w:lang w:val="en-US"/>
        </w:rPr>
        <w:t>The reference SCS for the NCR-Fwd beam indication is configured explicitly by the parent gNB.</w:t>
      </w:r>
    </w:p>
    <w:p w14:paraId="1590815C" w14:textId="77777777" w:rsidR="00AA1DE6" w:rsidRPr="004D1136" w:rsidRDefault="00AA1DE6" w:rsidP="00AA1DE6">
      <w:pPr>
        <w:spacing w:after="0"/>
        <w:ind w:left="1560" w:hanging="1276"/>
        <w:rPr>
          <w:b/>
          <w:bCs/>
          <w:i/>
          <w:iCs/>
          <w:lang w:val="en-US"/>
        </w:rPr>
      </w:pPr>
    </w:p>
    <w:p w14:paraId="45B576F5" w14:textId="5DA1719D" w:rsidR="00AA1DE6" w:rsidRPr="004D1136" w:rsidRDefault="00AA1DE6" w:rsidP="00AA1DE6">
      <w:pPr>
        <w:spacing w:after="0"/>
        <w:ind w:left="1560" w:hanging="1276"/>
        <w:rPr>
          <w:b/>
          <w:bCs/>
          <w:i/>
          <w:iCs/>
          <w:lang w:val="en-US"/>
        </w:rPr>
      </w:pPr>
      <w:r w:rsidRPr="004D1136">
        <w:rPr>
          <w:b/>
          <w:bCs/>
          <w:i/>
          <w:iCs/>
          <w:lang w:val="en-US"/>
        </w:rPr>
        <w:t>Proposal 2.5:</w:t>
      </w:r>
      <w:r w:rsidRPr="004D1136">
        <w:rPr>
          <w:b/>
          <w:bCs/>
          <w:i/>
          <w:iCs/>
          <w:lang w:val="en-US"/>
        </w:rPr>
        <w:tab/>
        <w:t xml:space="preserve">Semi-static indication of access link beam is configured with, periodicity P, and duration d, similar to the configuration of </w:t>
      </w:r>
      <w:r w:rsidRPr="004D1136">
        <w:rPr>
          <w:i/>
          <w:iCs/>
          <w:lang w:val="en-US"/>
        </w:rPr>
        <w:t>tdd-UL-DL-ConfigurationCommon</w:t>
      </w:r>
      <w:r w:rsidRPr="004D1136">
        <w:rPr>
          <w:b/>
          <w:bCs/>
          <w:i/>
          <w:iCs/>
          <w:lang w:val="en-US"/>
        </w:rPr>
        <w:t>.</w:t>
      </w:r>
    </w:p>
    <w:p w14:paraId="53E94ABF" w14:textId="77777777" w:rsidR="00AA1DE6" w:rsidRPr="004D1136" w:rsidRDefault="00AA1DE6" w:rsidP="00AA1DE6">
      <w:pPr>
        <w:spacing w:after="0"/>
        <w:ind w:left="1560" w:hanging="1276"/>
        <w:rPr>
          <w:b/>
          <w:bCs/>
          <w:i/>
          <w:iCs/>
          <w:lang w:val="en-US"/>
        </w:rPr>
      </w:pPr>
    </w:p>
    <w:p w14:paraId="36A6F6BF" w14:textId="3E54BD27" w:rsidR="00AA1DE6" w:rsidRPr="004D1136" w:rsidRDefault="00AA1DE6" w:rsidP="00AA1DE6">
      <w:pPr>
        <w:spacing w:after="0"/>
        <w:ind w:left="1560" w:hanging="1276"/>
        <w:rPr>
          <w:b/>
          <w:bCs/>
          <w:i/>
          <w:iCs/>
          <w:lang w:val="en-US"/>
        </w:rPr>
      </w:pPr>
      <w:r w:rsidRPr="004D1136">
        <w:rPr>
          <w:b/>
          <w:bCs/>
          <w:i/>
          <w:iCs/>
          <w:lang w:val="en-US"/>
        </w:rPr>
        <w:t>Proposal 2.6:</w:t>
      </w:r>
      <w:r w:rsidRPr="004D1136">
        <w:rPr>
          <w:b/>
          <w:bCs/>
          <w:i/>
          <w:iCs/>
          <w:lang w:val="en-US"/>
        </w:rPr>
        <w:tab/>
        <w:t>Semi-static indication of access link beam is applied at the end of a configured modification period for the NCR.</w:t>
      </w:r>
    </w:p>
    <w:p w14:paraId="702195A4" w14:textId="77777777" w:rsidR="00E618C0" w:rsidRPr="004D1136" w:rsidRDefault="00E618C0" w:rsidP="00E618C0">
      <w:pPr>
        <w:spacing w:after="0"/>
        <w:ind w:left="1560" w:hanging="1276"/>
        <w:rPr>
          <w:b/>
          <w:bCs/>
          <w:i/>
          <w:iCs/>
          <w:lang w:val="en-US"/>
        </w:rPr>
      </w:pPr>
    </w:p>
    <w:p w14:paraId="0B2BA717" w14:textId="24B5DE65" w:rsidR="00E618C0" w:rsidRPr="004D1136" w:rsidRDefault="00E618C0" w:rsidP="00E618C0">
      <w:pPr>
        <w:spacing w:after="0"/>
        <w:ind w:left="1560" w:hanging="1276"/>
        <w:rPr>
          <w:b/>
          <w:bCs/>
          <w:i/>
          <w:iCs/>
          <w:lang w:val="en-US"/>
        </w:rPr>
      </w:pPr>
      <w:r w:rsidRPr="004D1136">
        <w:rPr>
          <w:b/>
          <w:bCs/>
          <w:i/>
          <w:iCs/>
          <w:lang w:val="en-US"/>
        </w:rPr>
        <w:t>Proposal 2.7:</w:t>
      </w:r>
      <w:r w:rsidRPr="004D1136">
        <w:rPr>
          <w:b/>
          <w:bCs/>
          <w:i/>
          <w:iCs/>
          <w:lang w:val="en-US"/>
        </w:rPr>
        <w:tab/>
        <w:t>An NCR is not expected to receive conflicting beam indications (e.g., semi-static and dynamic) in a time domain resource.</w:t>
      </w:r>
    </w:p>
    <w:p w14:paraId="1F25DBA5" w14:textId="77777777" w:rsidR="00E618C0" w:rsidRPr="004D1136" w:rsidRDefault="00E618C0" w:rsidP="00E618C0">
      <w:pPr>
        <w:spacing w:after="0"/>
        <w:ind w:left="1560" w:hanging="1276"/>
        <w:rPr>
          <w:b/>
          <w:bCs/>
          <w:i/>
          <w:iCs/>
          <w:lang w:val="en-US"/>
        </w:rPr>
      </w:pPr>
    </w:p>
    <w:p w14:paraId="71AAD80A" w14:textId="29B7256F" w:rsidR="00E618C0" w:rsidRPr="004D1136" w:rsidRDefault="00E618C0" w:rsidP="00E618C0">
      <w:pPr>
        <w:spacing w:after="0"/>
        <w:ind w:left="1560" w:hanging="1276"/>
        <w:rPr>
          <w:b/>
          <w:bCs/>
          <w:i/>
          <w:iCs/>
          <w:lang w:val="en-US"/>
        </w:rPr>
      </w:pPr>
      <w:r w:rsidRPr="004D1136">
        <w:rPr>
          <w:b/>
          <w:bCs/>
          <w:i/>
          <w:iCs/>
          <w:lang w:val="en-US"/>
        </w:rPr>
        <w:t>Proposal 2.8:</w:t>
      </w:r>
      <w:r w:rsidRPr="004D1136">
        <w:rPr>
          <w:b/>
          <w:bCs/>
          <w:i/>
          <w:iCs/>
          <w:lang w:val="en-US"/>
        </w:rPr>
        <w:tab/>
        <w:t>In any time domain resource in which an access link beam has not been indicated, the NCR-Fwd is expected to be ‘off’.</w:t>
      </w:r>
    </w:p>
    <w:p w14:paraId="3C29C04C" w14:textId="77777777" w:rsidR="00E618C0" w:rsidRPr="004D1136" w:rsidRDefault="00E618C0" w:rsidP="00E618C0">
      <w:pPr>
        <w:spacing w:after="0"/>
        <w:ind w:left="1560" w:hanging="1276"/>
        <w:rPr>
          <w:b/>
          <w:bCs/>
          <w:i/>
          <w:iCs/>
          <w:lang w:val="en-US"/>
        </w:rPr>
      </w:pPr>
    </w:p>
    <w:p w14:paraId="65B3286C" w14:textId="6F88BF0D" w:rsidR="00E618C0" w:rsidRPr="004D1136" w:rsidRDefault="00E618C0" w:rsidP="00E618C0">
      <w:pPr>
        <w:spacing w:after="0"/>
        <w:ind w:left="1560" w:hanging="1276"/>
        <w:rPr>
          <w:b/>
          <w:bCs/>
          <w:i/>
          <w:iCs/>
          <w:lang w:val="en-US"/>
        </w:rPr>
      </w:pPr>
      <w:r w:rsidRPr="004D1136">
        <w:rPr>
          <w:b/>
          <w:bCs/>
          <w:i/>
          <w:iCs/>
          <w:lang w:val="en-US"/>
        </w:rPr>
        <w:t>Proposal 2.9:</w:t>
      </w:r>
      <w:r w:rsidRPr="004D1136">
        <w:rPr>
          <w:b/>
          <w:bCs/>
          <w:i/>
          <w:iCs/>
          <w:lang w:val="en-US"/>
        </w:rPr>
        <w:tab/>
        <w:t>NCR-Fwd can support forwarding over TDD ‘flexible’ symbols by capability.</w:t>
      </w:r>
    </w:p>
    <w:p w14:paraId="2DAC50B6" w14:textId="7E733430" w:rsidR="00E618C0" w:rsidRPr="004D1136" w:rsidRDefault="00E618C0" w:rsidP="00E618C0">
      <w:pPr>
        <w:spacing w:after="0"/>
        <w:ind w:left="1560" w:hanging="1276"/>
        <w:rPr>
          <w:b/>
          <w:bCs/>
          <w:i/>
          <w:iCs/>
          <w:lang w:val="en-US"/>
        </w:rPr>
      </w:pPr>
      <w:r w:rsidRPr="004D1136">
        <w:rPr>
          <w:b/>
          <w:bCs/>
          <w:i/>
          <w:iCs/>
          <w:lang w:val="en-US"/>
        </w:rPr>
        <w:t>Proposal 2.10:</w:t>
      </w:r>
      <w:r w:rsidRPr="004D1136">
        <w:rPr>
          <w:b/>
          <w:bCs/>
          <w:i/>
          <w:iCs/>
          <w:lang w:val="en-US"/>
        </w:rPr>
        <w:tab/>
        <w:t>NCR-Fwd is expected to follow the TDD UL/DL state of the NCR-MT.</w:t>
      </w:r>
    </w:p>
    <w:p w14:paraId="6C1646F0" w14:textId="77777777" w:rsidR="00E618C0" w:rsidRPr="004D1136" w:rsidRDefault="00E618C0" w:rsidP="00E618C0">
      <w:pPr>
        <w:spacing w:after="0"/>
        <w:ind w:left="1560" w:hanging="1276"/>
        <w:rPr>
          <w:b/>
          <w:bCs/>
          <w:i/>
          <w:iCs/>
          <w:lang w:val="en-US"/>
        </w:rPr>
      </w:pPr>
    </w:p>
    <w:p w14:paraId="06C3F7C7" w14:textId="712FA916" w:rsidR="00E618C0" w:rsidRPr="004D1136" w:rsidRDefault="00E618C0" w:rsidP="00E618C0">
      <w:pPr>
        <w:spacing w:after="0"/>
        <w:ind w:left="1560" w:hanging="1276"/>
        <w:rPr>
          <w:b/>
          <w:bCs/>
          <w:i/>
          <w:iCs/>
          <w:lang w:val="en-US"/>
        </w:rPr>
      </w:pPr>
      <w:r w:rsidRPr="004D1136">
        <w:rPr>
          <w:b/>
          <w:bCs/>
          <w:i/>
          <w:iCs/>
          <w:lang w:val="en-US"/>
        </w:rPr>
        <w:lastRenderedPageBreak/>
        <w:t>Proposal 2.11:</w:t>
      </w:r>
      <w:r w:rsidRPr="004D1136">
        <w:rPr>
          <w:b/>
          <w:bCs/>
          <w:i/>
          <w:iCs/>
          <w:lang w:val="en-US"/>
        </w:rPr>
        <w:tab/>
        <w:t>The NCR-Fwd is assumed to be ‘on’ over time domain resources in which an explicit beam indication has been provided for the NCR-Fwd.</w:t>
      </w:r>
    </w:p>
    <w:p w14:paraId="53CD9119" w14:textId="5206E1F5" w:rsidR="00885580" w:rsidRPr="004D1136" w:rsidRDefault="00885580" w:rsidP="00885580">
      <w:pPr>
        <w:pStyle w:val="Heading1"/>
        <w:numPr>
          <w:ilvl w:val="0"/>
          <w:numId w:val="0"/>
        </w:numPr>
        <w:rPr>
          <w:lang w:val="en-US"/>
        </w:rPr>
      </w:pPr>
      <w:r w:rsidRPr="004D1136">
        <w:rPr>
          <w:lang w:val="en-US"/>
        </w:rPr>
        <w:t>References</w:t>
      </w:r>
    </w:p>
    <w:p w14:paraId="42156CC8" w14:textId="3242E171" w:rsidR="00320DCA" w:rsidRPr="004D1136" w:rsidRDefault="00320DCA" w:rsidP="00320DCA">
      <w:pPr>
        <w:pStyle w:val="ListParagraph"/>
        <w:numPr>
          <w:ilvl w:val="0"/>
          <w:numId w:val="27"/>
        </w:numPr>
        <w:rPr>
          <w:sz w:val="20"/>
          <w:szCs w:val="20"/>
          <w:lang w:val="en-US"/>
        </w:rPr>
      </w:pPr>
      <w:r w:rsidRPr="004D1136">
        <w:rPr>
          <w:sz w:val="20"/>
          <w:szCs w:val="20"/>
          <w:lang w:val="en-US"/>
        </w:rPr>
        <w:t>RP-222673, “</w:t>
      </w:r>
      <w:r w:rsidRPr="004D1136">
        <w:rPr>
          <w:lang w:val="en-US"/>
        </w:rPr>
        <w:t>New</w:t>
      </w:r>
      <w:r w:rsidRPr="004D1136">
        <w:rPr>
          <w:sz w:val="20"/>
          <w:szCs w:val="20"/>
          <w:lang w:val="en-US"/>
        </w:rPr>
        <w:t xml:space="preserve"> WID on NR network-controlled repeaters”, 3GPP TSG RAN Meeting #97e, </w:t>
      </w:r>
    </w:p>
    <w:p w14:paraId="4AFB0940" w14:textId="77777777" w:rsidR="00320DCA" w:rsidRPr="004D1136" w:rsidRDefault="00320DCA" w:rsidP="00320DCA">
      <w:pPr>
        <w:pStyle w:val="ListParagraph"/>
        <w:numPr>
          <w:ilvl w:val="0"/>
          <w:numId w:val="27"/>
        </w:numPr>
        <w:rPr>
          <w:rStyle w:val="normaltextrun"/>
          <w:sz w:val="20"/>
          <w:szCs w:val="20"/>
          <w:lang w:val="en-US"/>
        </w:rPr>
      </w:pPr>
      <w:r w:rsidRPr="004D1136">
        <w:rPr>
          <w:rStyle w:val="normaltextrun"/>
          <w:sz w:val="20"/>
          <w:szCs w:val="20"/>
          <w:lang w:val="en-US"/>
        </w:rPr>
        <w:t>3GPP TS 38.213 v17.1.0, “NR; Physical layer procedures for control (Rel-17),” Mar. 2022</w:t>
      </w:r>
    </w:p>
    <w:p w14:paraId="1B9EB8DD" w14:textId="77777777" w:rsidR="00320DCA" w:rsidRPr="004D1136" w:rsidRDefault="00320DCA" w:rsidP="00320DCA">
      <w:pPr>
        <w:pStyle w:val="ListParagraph"/>
        <w:numPr>
          <w:ilvl w:val="0"/>
          <w:numId w:val="27"/>
        </w:numPr>
        <w:rPr>
          <w:sz w:val="20"/>
          <w:szCs w:val="20"/>
          <w:lang w:val="en-US"/>
        </w:rPr>
      </w:pPr>
      <w:r w:rsidRPr="004D1136">
        <w:rPr>
          <w:sz w:val="20"/>
          <w:szCs w:val="20"/>
          <w:lang w:val="en-US"/>
        </w:rPr>
        <w:t>3GPP TR 38.867 v18.0.0, “Study on NR network-controlled repeaters (Rel-18),” Sep. 2022</w:t>
      </w:r>
    </w:p>
    <w:p w14:paraId="627AB2A4" w14:textId="00180AAA" w:rsidR="00320DCA" w:rsidRPr="004D1136" w:rsidRDefault="00320DCA" w:rsidP="00DA0EA7">
      <w:pPr>
        <w:pStyle w:val="ListParagraph"/>
        <w:numPr>
          <w:ilvl w:val="0"/>
          <w:numId w:val="27"/>
        </w:numPr>
        <w:rPr>
          <w:sz w:val="20"/>
          <w:szCs w:val="20"/>
          <w:lang w:val="en-US"/>
        </w:rPr>
      </w:pPr>
      <w:r w:rsidRPr="004D1136">
        <w:rPr>
          <w:sz w:val="20"/>
          <w:szCs w:val="20"/>
          <w:lang w:val="en-US"/>
        </w:rPr>
        <w:t xml:space="preserve">R1-2210364, </w:t>
      </w:r>
      <w:r w:rsidR="004D1136" w:rsidRPr="004D1136">
        <w:rPr>
          <w:sz w:val="20"/>
          <w:szCs w:val="20"/>
          <w:lang w:val="en-US"/>
        </w:rPr>
        <w:t>“</w:t>
      </w:r>
      <w:r w:rsidRPr="004D1136">
        <w:rPr>
          <w:sz w:val="20"/>
          <w:szCs w:val="20"/>
          <w:lang w:val="en-US"/>
        </w:rPr>
        <w:t>Summary#1 of discussion on side control information,” Moderator (ZTE)</w:t>
      </w:r>
    </w:p>
    <w:p w14:paraId="46AEA375" w14:textId="6A378A3A" w:rsidR="00320DCA" w:rsidRPr="004D1136" w:rsidRDefault="00466F02" w:rsidP="00DA0EA7">
      <w:pPr>
        <w:pStyle w:val="ListParagraph"/>
        <w:numPr>
          <w:ilvl w:val="0"/>
          <w:numId w:val="27"/>
        </w:numPr>
        <w:rPr>
          <w:sz w:val="20"/>
          <w:szCs w:val="20"/>
          <w:lang w:val="en-US"/>
        </w:rPr>
      </w:pPr>
      <w:r w:rsidRPr="004D1136">
        <w:rPr>
          <w:sz w:val="20"/>
          <w:szCs w:val="20"/>
          <w:lang w:val="en-US"/>
        </w:rPr>
        <w:t>R1-2210343</w:t>
      </w:r>
      <w:r w:rsidR="004D1136">
        <w:rPr>
          <w:sz w:val="20"/>
          <w:szCs w:val="20"/>
          <w:lang w:val="en-US"/>
        </w:rPr>
        <w:t xml:space="preserve">, </w:t>
      </w:r>
      <w:r w:rsidR="004D1136" w:rsidRPr="004D1136">
        <w:rPr>
          <w:sz w:val="20"/>
          <w:szCs w:val="20"/>
          <w:lang w:val="en-US"/>
        </w:rPr>
        <w:t>“</w:t>
      </w:r>
      <w:r w:rsidR="00320DCA" w:rsidRPr="004D1136">
        <w:rPr>
          <w:sz w:val="20"/>
          <w:szCs w:val="20"/>
          <w:lang w:val="en-US"/>
        </w:rPr>
        <w:t>Summary#1 of discussion on side control information,” Moderator (ZTE)</w:t>
      </w:r>
    </w:p>
    <w:p w14:paraId="093EE10C" w14:textId="05858413" w:rsidR="00205A4B" w:rsidRPr="004D1136" w:rsidRDefault="00320DCA" w:rsidP="00320DCA">
      <w:pPr>
        <w:pStyle w:val="ListParagraph"/>
        <w:numPr>
          <w:ilvl w:val="0"/>
          <w:numId w:val="27"/>
        </w:numPr>
        <w:rPr>
          <w:sz w:val="20"/>
          <w:szCs w:val="20"/>
          <w:lang w:val="en-US"/>
        </w:rPr>
      </w:pPr>
      <w:r w:rsidRPr="004D1136">
        <w:rPr>
          <w:sz w:val="20"/>
          <w:szCs w:val="20"/>
          <w:lang w:val="en-US"/>
        </w:rPr>
        <w:t xml:space="preserve">R1-2210483, </w:t>
      </w:r>
      <w:r w:rsidR="004D1136" w:rsidRPr="004D1136">
        <w:rPr>
          <w:sz w:val="20"/>
          <w:szCs w:val="20"/>
          <w:lang w:val="en-US"/>
        </w:rPr>
        <w:t>“</w:t>
      </w:r>
      <w:r w:rsidRPr="004D1136">
        <w:rPr>
          <w:sz w:val="20"/>
          <w:szCs w:val="20"/>
          <w:lang w:val="en-US"/>
        </w:rPr>
        <w:t>Summary#3 of discussion on side control information,” Moderator (ZTE)</w:t>
      </w:r>
    </w:p>
    <w:p w14:paraId="54FB35B1" w14:textId="207BF5D0" w:rsidR="00320DCA" w:rsidRPr="004D1136" w:rsidRDefault="00320DCA" w:rsidP="00320DCA">
      <w:pPr>
        <w:pStyle w:val="ListParagraph"/>
        <w:numPr>
          <w:ilvl w:val="0"/>
          <w:numId w:val="27"/>
        </w:numPr>
        <w:rPr>
          <w:sz w:val="20"/>
          <w:szCs w:val="20"/>
          <w:lang w:val="en-US"/>
        </w:rPr>
      </w:pPr>
      <w:r w:rsidRPr="004D1136">
        <w:rPr>
          <w:sz w:val="20"/>
          <w:szCs w:val="20"/>
          <w:lang w:val="en-US"/>
        </w:rPr>
        <w:t xml:space="preserve">R1-2210484, </w:t>
      </w:r>
      <w:r w:rsidR="004D1136" w:rsidRPr="004D1136">
        <w:rPr>
          <w:sz w:val="20"/>
          <w:szCs w:val="20"/>
          <w:lang w:val="en-US"/>
        </w:rPr>
        <w:t>“</w:t>
      </w:r>
      <w:r w:rsidRPr="004D1136">
        <w:rPr>
          <w:sz w:val="20"/>
          <w:szCs w:val="20"/>
          <w:lang w:val="en-US"/>
        </w:rPr>
        <w:t>Summary#4 of discussion on side control information,” Moderator (ZTE)</w:t>
      </w:r>
    </w:p>
    <w:p w14:paraId="48CBFBDF" w14:textId="560D1473" w:rsidR="000C5B5B" w:rsidRPr="004D1136" w:rsidRDefault="000C5B5B">
      <w:pPr>
        <w:overflowPunct/>
        <w:autoSpaceDE/>
        <w:autoSpaceDN/>
        <w:adjustRightInd/>
        <w:spacing w:after="0"/>
        <w:textAlignment w:val="auto"/>
        <w:rPr>
          <w:lang w:val="en-US"/>
        </w:rPr>
      </w:pPr>
    </w:p>
    <w:sectPr w:rsidR="000C5B5B" w:rsidRPr="004D113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0C146" w14:textId="77777777" w:rsidR="00092913" w:rsidRDefault="00092913">
      <w:r>
        <w:separator/>
      </w:r>
    </w:p>
  </w:endnote>
  <w:endnote w:type="continuationSeparator" w:id="0">
    <w:p w14:paraId="4B430B80" w14:textId="77777777" w:rsidR="00092913" w:rsidRDefault="00092913">
      <w:r>
        <w:continuationSeparator/>
      </w:r>
    </w:p>
  </w:endnote>
  <w:endnote w:type="continuationNotice" w:id="1">
    <w:p w14:paraId="04DFED10" w14:textId="77777777" w:rsidR="00092913" w:rsidRDefault="00092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ADFE9" w14:textId="77777777" w:rsidR="00092913" w:rsidRDefault="00092913">
      <w:r>
        <w:separator/>
      </w:r>
    </w:p>
  </w:footnote>
  <w:footnote w:type="continuationSeparator" w:id="0">
    <w:p w14:paraId="522B4E3A" w14:textId="77777777" w:rsidR="00092913" w:rsidRDefault="00092913">
      <w:r>
        <w:continuationSeparator/>
      </w:r>
    </w:p>
  </w:footnote>
  <w:footnote w:type="continuationNotice" w:id="1">
    <w:p w14:paraId="5396767F" w14:textId="77777777" w:rsidR="00092913" w:rsidRDefault="000929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D7075F"/>
    <w:multiLevelType w:val="multilevel"/>
    <w:tmpl w:val="D786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420F4C"/>
    <w:multiLevelType w:val="hybridMultilevel"/>
    <w:tmpl w:val="2E2A80C0"/>
    <w:lvl w:ilvl="0" w:tplc="B95A461A">
      <w:start w:val="1"/>
      <w:numFmt w:val="bullet"/>
      <w:lvlText w:val=""/>
      <w:lvlJc w:val="left"/>
      <w:pPr>
        <w:tabs>
          <w:tab w:val="num" w:pos="720"/>
        </w:tabs>
        <w:ind w:left="720" w:hanging="360"/>
      </w:pPr>
      <w:rPr>
        <w:rFonts w:ascii="Symbol" w:hAnsi="Symbol" w:hint="default"/>
      </w:rPr>
    </w:lvl>
    <w:lvl w:ilvl="1" w:tplc="DC7E512A">
      <w:numFmt w:val="bullet"/>
      <w:lvlText w:val="o"/>
      <w:lvlJc w:val="left"/>
      <w:pPr>
        <w:tabs>
          <w:tab w:val="num" w:pos="1440"/>
        </w:tabs>
        <w:ind w:left="1440" w:hanging="360"/>
      </w:pPr>
      <w:rPr>
        <w:rFonts w:ascii="Courier New" w:hAnsi="Courier New" w:hint="default"/>
      </w:rPr>
    </w:lvl>
    <w:lvl w:ilvl="2" w:tplc="09BE056C" w:tentative="1">
      <w:start w:val="1"/>
      <w:numFmt w:val="bullet"/>
      <w:lvlText w:val=""/>
      <w:lvlJc w:val="left"/>
      <w:pPr>
        <w:tabs>
          <w:tab w:val="num" w:pos="2160"/>
        </w:tabs>
        <w:ind w:left="2160" w:hanging="360"/>
      </w:pPr>
      <w:rPr>
        <w:rFonts w:ascii="Symbol" w:hAnsi="Symbol" w:hint="default"/>
      </w:rPr>
    </w:lvl>
    <w:lvl w:ilvl="3" w:tplc="65248BF2" w:tentative="1">
      <w:start w:val="1"/>
      <w:numFmt w:val="bullet"/>
      <w:lvlText w:val=""/>
      <w:lvlJc w:val="left"/>
      <w:pPr>
        <w:tabs>
          <w:tab w:val="num" w:pos="2880"/>
        </w:tabs>
        <w:ind w:left="2880" w:hanging="360"/>
      </w:pPr>
      <w:rPr>
        <w:rFonts w:ascii="Symbol" w:hAnsi="Symbol" w:hint="default"/>
      </w:rPr>
    </w:lvl>
    <w:lvl w:ilvl="4" w:tplc="6B5AD948" w:tentative="1">
      <w:start w:val="1"/>
      <w:numFmt w:val="bullet"/>
      <w:lvlText w:val=""/>
      <w:lvlJc w:val="left"/>
      <w:pPr>
        <w:tabs>
          <w:tab w:val="num" w:pos="3600"/>
        </w:tabs>
        <w:ind w:left="3600" w:hanging="360"/>
      </w:pPr>
      <w:rPr>
        <w:rFonts w:ascii="Symbol" w:hAnsi="Symbol" w:hint="default"/>
      </w:rPr>
    </w:lvl>
    <w:lvl w:ilvl="5" w:tplc="306AD1E0" w:tentative="1">
      <w:start w:val="1"/>
      <w:numFmt w:val="bullet"/>
      <w:lvlText w:val=""/>
      <w:lvlJc w:val="left"/>
      <w:pPr>
        <w:tabs>
          <w:tab w:val="num" w:pos="4320"/>
        </w:tabs>
        <w:ind w:left="4320" w:hanging="360"/>
      </w:pPr>
      <w:rPr>
        <w:rFonts w:ascii="Symbol" w:hAnsi="Symbol" w:hint="default"/>
      </w:rPr>
    </w:lvl>
    <w:lvl w:ilvl="6" w:tplc="FB884394" w:tentative="1">
      <w:start w:val="1"/>
      <w:numFmt w:val="bullet"/>
      <w:lvlText w:val=""/>
      <w:lvlJc w:val="left"/>
      <w:pPr>
        <w:tabs>
          <w:tab w:val="num" w:pos="5040"/>
        </w:tabs>
        <w:ind w:left="5040" w:hanging="360"/>
      </w:pPr>
      <w:rPr>
        <w:rFonts w:ascii="Symbol" w:hAnsi="Symbol" w:hint="default"/>
      </w:rPr>
    </w:lvl>
    <w:lvl w:ilvl="7" w:tplc="E0FCA9F0" w:tentative="1">
      <w:start w:val="1"/>
      <w:numFmt w:val="bullet"/>
      <w:lvlText w:val=""/>
      <w:lvlJc w:val="left"/>
      <w:pPr>
        <w:tabs>
          <w:tab w:val="num" w:pos="5760"/>
        </w:tabs>
        <w:ind w:left="5760" w:hanging="360"/>
      </w:pPr>
      <w:rPr>
        <w:rFonts w:ascii="Symbol" w:hAnsi="Symbol" w:hint="default"/>
      </w:rPr>
    </w:lvl>
    <w:lvl w:ilvl="8" w:tplc="D948622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9309AE"/>
    <w:multiLevelType w:val="hybridMultilevel"/>
    <w:tmpl w:val="17DA60EC"/>
    <w:lvl w:ilvl="0" w:tplc="989E6D88">
      <w:start w:val="1"/>
      <w:numFmt w:val="bullet"/>
      <w:lvlText w:val=""/>
      <w:lvlJc w:val="left"/>
      <w:pPr>
        <w:tabs>
          <w:tab w:val="num" w:pos="720"/>
        </w:tabs>
        <w:ind w:left="720" w:hanging="360"/>
      </w:pPr>
      <w:rPr>
        <w:rFonts w:ascii="Symbol" w:hAnsi="Symbol" w:hint="default"/>
      </w:rPr>
    </w:lvl>
    <w:lvl w:ilvl="1" w:tplc="893A05A4" w:tentative="1">
      <w:start w:val="1"/>
      <w:numFmt w:val="bullet"/>
      <w:lvlText w:val=""/>
      <w:lvlJc w:val="left"/>
      <w:pPr>
        <w:tabs>
          <w:tab w:val="num" w:pos="1440"/>
        </w:tabs>
        <w:ind w:left="1440" w:hanging="360"/>
      </w:pPr>
      <w:rPr>
        <w:rFonts w:ascii="Symbol" w:hAnsi="Symbol" w:hint="default"/>
      </w:rPr>
    </w:lvl>
    <w:lvl w:ilvl="2" w:tplc="B3682F92" w:tentative="1">
      <w:start w:val="1"/>
      <w:numFmt w:val="bullet"/>
      <w:lvlText w:val=""/>
      <w:lvlJc w:val="left"/>
      <w:pPr>
        <w:tabs>
          <w:tab w:val="num" w:pos="2160"/>
        </w:tabs>
        <w:ind w:left="2160" w:hanging="360"/>
      </w:pPr>
      <w:rPr>
        <w:rFonts w:ascii="Symbol" w:hAnsi="Symbol" w:hint="default"/>
      </w:rPr>
    </w:lvl>
    <w:lvl w:ilvl="3" w:tplc="5A4A1E86" w:tentative="1">
      <w:start w:val="1"/>
      <w:numFmt w:val="bullet"/>
      <w:lvlText w:val=""/>
      <w:lvlJc w:val="left"/>
      <w:pPr>
        <w:tabs>
          <w:tab w:val="num" w:pos="2880"/>
        </w:tabs>
        <w:ind w:left="2880" w:hanging="360"/>
      </w:pPr>
      <w:rPr>
        <w:rFonts w:ascii="Symbol" w:hAnsi="Symbol" w:hint="default"/>
      </w:rPr>
    </w:lvl>
    <w:lvl w:ilvl="4" w:tplc="718A4C5E" w:tentative="1">
      <w:start w:val="1"/>
      <w:numFmt w:val="bullet"/>
      <w:lvlText w:val=""/>
      <w:lvlJc w:val="left"/>
      <w:pPr>
        <w:tabs>
          <w:tab w:val="num" w:pos="3600"/>
        </w:tabs>
        <w:ind w:left="3600" w:hanging="360"/>
      </w:pPr>
      <w:rPr>
        <w:rFonts w:ascii="Symbol" w:hAnsi="Symbol" w:hint="default"/>
      </w:rPr>
    </w:lvl>
    <w:lvl w:ilvl="5" w:tplc="24AC1B94" w:tentative="1">
      <w:start w:val="1"/>
      <w:numFmt w:val="bullet"/>
      <w:lvlText w:val=""/>
      <w:lvlJc w:val="left"/>
      <w:pPr>
        <w:tabs>
          <w:tab w:val="num" w:pos="4320"/>
        </w:tabs>
        <w:ind w:left="4320" w:hanging="360"/>
      </w:pPr>
      <w:rPr>
        <w:rFonts w:ascii="Symbol" w:hAnsi="Symbol" w:hint="default"/>
      </w:rPr>
    </w:lvl>
    <w:lvl w:ilvl="6" w:tplc="4768E774" w:tentative="1">
      <w:start w:val="1"/>
      <w:numFmt w:val="bullet"/>
      <w:lvlText w:val=""/>
      <w:lvlJc w:val="left"/>
      <w:pPr>
        <w:tabs>
          <w:tab w:val="num" w:pos="5040"/>
        </w:tabs>
        <w:ind w:left="5040" w:hanging="360"/>
      </w:pPr>
      <w:rPr>
        <w:rFonts w:ascii="Symbol" w:hAnsi="Symbol" w:hint="default"/>
      </w:rPr>
    </w:lvl>
    <w:lvl w:ilvl="7" w:tplc="027CB9C0" w:tentative="1">
      <w:start w:val="1"/>
      <w:numFmt w:val="bullet"/>
      <w:lvlText w:val=""/>
      <w:lvlJc w:val="left"/>
      <w:pPr>
        <w:tabs>
          <w:tab w:val="num" w:pos="5760"/>
        </w:tabs>
        <w:ind w:left="5760" w:hanging="360"/>
      </w:pPr>
      <w:rPr>
        <w:rFonts w:ascii="Symbol" w:hAnsi="Symbol" w:hint="default"/>
      </w:rPr>
    </w:lvl>
    <w:lvl w:ilvl="8" w:tplc="9BCC56E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C22580"/>
    <w:multiLevelType w:val="multilevel"/>
    <w:tmpl w:val="CECE4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CB6A66"/>
    <w:multiLevelType w:val="hybridMultilevel"/>
    <w:tmpl w:val="45FC5DCE"/>
    <w:lvl w:ilvl="0" w:tplc="FCDC43F6">
      <w:start w:val="1"/>
      <w:numFmt w:val="bullet"/>
      <w:lvlText w:val=""/>
      <w:lvlJc w:val="left"/>
      <w:pPr>
        <w:tabs>
          <w:tab w:val="num" w:pos="720"/>
        </w:tabs>
        <w:ind w:left="720" w:hanging="360"/>
      </w:pPr>
      <w:rPr>
        <w:rFonts w:ascii="Symbol" w:hAnsi="Symbol" w:hint="default"/>
      </w:rPr>
    </w:lvl>
    <w:lvl w:ilvl="1" w:tplc="92646F9A" w:tentative="1">
      <w:start w:val="1"/>
      <w:numFmt w:val="bullet"/>
      <w:lvlText w:val=""/>
      <w:lvlJc w:val="left"/>
      <w:pPr>
        <w:tabs>
          <w:tab w:val="num" w:pos="1440"/>
        </w:tabs>
        <w:ind w:left="1440" w:hanging="360"/>
      </w:pPr>
      <w:rPr>
        <w:rFonts w:ascii="Symbol" w:hAnsi="Symbol" w:hint="default"/>
      </w:rPr>
    </w:lvl>
    <w:lvl w:ilvl="2" w:tplc="CD0A72EC" w:tentative="1">
      <w:start w:val="1"/>
      <w:numFmt w:val="bullet"/>
      <w:lvlText w:val=""/>
      <w:lvlJc w:val="left"/>
      <w:pPr>
        <w:tabs>
          <w:tab w:val="num" w:pos="2160"/>
        </w:tabs>
        <w:ind w:left="2160" w:hanging="360"/>
      </w:pPr>
      <w:rPr>
        <w:rFonts w:ascii="Symbol" w:hAnsi="Symbol" w:hint="default"/>
      </w:rPr>
    </w:lvl>
    <w:lvl w:ilvl="3" w:tplc="4D982C86" w:tentative="1">
      <w:start w:val="1"/>
      <w:numFmt w:val="bullet"/>
      <w:lvlText w:val=""/>
      <w:lvlJc w:val="left"/>
      <w:pPr>
        <w:tabs>
          <w:tab w:val="num" w:pos="2880"/>
        </w:tabs>
        <w:ind w:left="2880" w:hanging="360"/>
      </w:pPr>
      <w:rPr>
        <w:rFonts w:ascii="Symbol" w:hAnsi="Symbol" w:hint="default"/>
      </w:rPr>
    </w:lvl>
    <w:lvl w:ilvl="4" w:tplc="56B0F49A" w:tentative="1">
      <w:start w:val="1"/>
      <w:numFmt w:val="bullet"/>
      <w:lvlText w:val=""/>
      <w:lvlJc w:val="left"/>
      <w:pPr>
        <w:tabs>
          <w:tab w:val="num" w:pos="3600"/>
        </w:tabs>
        <w:ind w:left="3600" w:hanging="360"/>
      </w:pPr>
      <w:rPr>
        <w:rFonts w:ascii="Symbol" w:hAnsi="Symbol" w:hint="default"/>
      </w:rPr>
    </w:lvl>
    <w:lvl w:ilvl="5" w:tplc="3B0EFC18" w:tentative="1">
      <w:start w:val="1"/>
      <w:numFmt w:val="bullet"/>
      <w:lvlText w:val=""/>
      <w:lvlJc w:val="left"/>
      <w:pPr>
        <w:tabs>
          <w:tab w:val="num" w:pos="4320"/>
        </w:tabs>
        <w:ind w:left="4320" w:hanging="360"/>
      </w:pPr>
      <w:rPr>
        <w:rFonts w:ascii="Symbol" w:hAnsi="Symbol" w:hint="default"/>
      </w:rPr>
    </w:lvl>
    <w:lvl w:ilvl="6" w:tplc="AE06C1D6" w:tentative="1">
      <w:start w:val="1"/>
      <w:numFmt w:val="bullet"/>
      <w:lvlText w:val=""/>
      <w:lvlJc w:val="left"/>
      <w:pPr>
        <w:tabs>
          <w:tab w:val="num" w:pos="5040"/>
        </w:tabs>
        <w:ind w:left="5040" w:hanging="360"/>
      </w:pPr>
      <w:rPr>
        <w:rFonts w:ascii="Symbol" w:hAnsi="Symbol" w:hint="default"/>
      </w:rPr>
    </w:lvl>
    <w:lvl w:ilvl="7" w:tplc="CE9CF2BE" w:tentative="1">
      <w:start w:val="1"/>
      <w:numFmt w:val="bullet"/>
      <w:lvlText w:val=""/>
      <w:lvlJc w:val="left"/>
      <w:pPr>
        <w:tabs>
          <w:tab w:val="num" w:pos="5760"/>
        </w:tabs>
        <w:ind w:left="5760" w:hanging="360"/>
      </w:pPr>
      <w:rPr>
        <w:rFonts w:ascii="Symbol" w:hAnsi="Symbol" w:hint="default"/>
      </w:rPr>
    </w:lvl>
    <w:lvl w:ilvl="8" w:tplc="1B80851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722C7"/>
    <w:multiLevelType w:val="multilevel"/>
    <w:tmpl w:val="CA94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567B8"/>
    <w:multiLevelType w:val="hybridMultilevel"/>
    <w:tmpl w:val="76B8EC36"/>
    <w:lvl w:ilvl="0" w:tplc="678A7B90">
      <w:start w:val="1"/>
      <w:numFmt w:val="bullet"/>
      <w:lvlText w:val=""/>
      <w:lvlJc w:val="left"/>
      <w:pPr>
        <w:tabs>
          <w:tab w:val="num" w:pos="720"/>
        </w:tabs>
        <w:ind w:left="720" w:hanging="360"/>
      </w:pPr>
      <w:rPr>
        <w:rFonts w:ascii="Symbol" w:hAnsi="Symbol" w:hint="default"/>
      </w:rPr>
    </w:lvl>
    <w:lvl w:ilvl="1" w:tplc="A0C2AFF2">
      <w:numFmt w:val="bullet"/>
      <w:lvlText w:val="o"/>
      <w:lvlJc w:val="left"/>
      <w:pPr>
        <w:tabs>
          <w:tab w:val="num" w:pos="1440"/>
        </w:tabs>
        <w:ind w:left="1440" w:hanging="360"/>
      </w:pPr>
      <w:rPr>
        <w:rFonts w:ascii="Courier New" w:hAnsi="Courier New" w:hint="default"/>
      </w:rPr>
    </w:lvl>
    <w:lvl w:ilvl="2" w:tplc="5B428030" w:tentative="1">
      <w:start w:val="1"/>
      <w:numFmt w:val="bullet"/>
      <w:lvlText w:val=""/>
      <w:lvlJc w:val="left"/>
      <w:pPr>
        <w:tabs>
          <w:tab w:val="num" w:pos="2160"/>
        </w:tabs>
        <w:ind w:left="2160" w:hanging="360"/>
      </w:pPr>
      <w:rPr>
        <w:rFonts w:ascii="Symbol" w:hAnsi="Symbol" w:hint="default"/>
      </w:rPr>
    </w:lvl>
    <w:lvl w:ilvl="3" w:tplc="1C1A743E" w:tentative="1">
      <w:start w:val="1"/>
      <w:numFmt w:val="bullet"/>
      <w:lvlText w:val=""/>
      <w:lvlJc w:val="left"/>
      <w:pPr>
        <w:tabs>
          <w:tab w:val="num" w:pos="2880"/>
        </w:tabs>
        <w:ind w:left="2880" w:hanging="360"/>
      </w:pPr>
      <w:rPr>
        <w:rFonts w:ascii="Symbol" w:hAnsi="Symbol" w:hint="default"/>
      </w:rPr>
    </w:lvl>
    <w:lvl w:ilvl="4" w:tplc="DD12B20C" w:tentative="1">
      <w:start w:val="1"/>
      <w:numFmt w:val="bullet"/>
      <w:lvlText w:val=""/>
      <w:lvlJc w:val="left"/>
      <w:pPr>
        <w:tabs>
          <w:tab w:val="num" w:pos="3600"/>
        </w:tabs>
        <w:ind w:left="3600" w:hanging="360"/>
      </w:pPr>
      <w:rPr>
        <w:rFonts w:ascii="Symbol" w:hAnsi="Symbol" w:hint="default"/>
      </w:rPr>
    </w:lvl>
    <w:lvl w:ilvl="5" w:tplc="E8884372" w:tentative="1">
      <w:start w:val="1"/>
      <w:numFmt w:val="bullet"/>
      <w:lvlText w:val=""/>
      <w:lvlJc w:val="left"/>
      <w:pPr>
        <w:tabs>
          <w:tab w:val="num" w:pos="4320"/>
        </w:tabs>
        <w:ind w:left="4320" w:hanging="360"/>
      </w:pPr>
      <w:rPr>
        <w:rFonts w:ascii="Symbol" w:hAnsi="Symbol" w:hint="default"/>
      </w:rPr>
    </w:lvl>
    <w:lvl w:ilvl="6" w:tplc="FD8C7A82" w:tentative="1">
      <w:start w:val="1"/>
      <w:numFmt w:val="bullet"/>
      <w:lvlText w:val=""/>
      <w:lvlJc w:val="left"/>
      <w:pPr>
        <w:tabs>
          <w:tab w:val="num" w:pos="5040"/>
        </w:tabs>
        <w:ind w:left="5040" w:hanging="360"/>
      </w:pPr>
      <w:rPr>
        <w:rFonts w:ascii="Symbol" w:hAnsi="Symbol" w:hint="default"/>
      </w:rPr>
    </w:lvl>
    <w:lvl w:ilvl="7" w:tplc="34B2026E" w:tentative="1">
      <w:start w:val="1"/>
      <w:numFmt w:val="bullet"/>
      <w:lvlText w:val=""/>
      <w:lvlJc w:val="left"/>
      <w:pPr>
        <w:tabs>
          <w:tab w:val="num" w:pos="5760"/>
        </w:tabs>
        <w:ind w:left="5760" w:hanging="360"/>
      </w:pPr>
      <w:rPr>
        <w:rFonts w:ascii="Symbol" w:hAnsi="Symbol" w:hint="default"/>
      </w:rPr>
    </w:lvl>
    <w:lvl w:ilvl="8" w:tplc="A23C881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DFF20FB"/>
    <w:multiLevelType w:val="hybridMultilevel"/>
    <w:tmpl w:val="C4D6ECCE"/>
    <w:lvl w:ilvl="0" w:tplc="32E6EA48">
      <w:start w:val="1"/>
      <w:numFmt w:val="bullet"/>
      <w:lvlText w:val=""/>
      <w:lvlJc w:val="left"/>
      <w:pPr>
        <w:tabs>
          <w:tab w:val="num" w:pos="720"/>
        </w:tabs>
        <w:ind w:left="720" w:hanging="360"/>
      </w:pPr>
      <w:rPr>
        <w:rFonts w:ascii="Symbol" w:hAnsi="Symbol" w:hint="default"/>
      </w:rPr>
    </w:lvl>
    <w:lvl w:ilvl="1" w:tplc="7A405080" w:tentative="1">
      <w:start w:val="1"/>
      <w:numFmt w:val="bullet"/>
      <w:lvlText w:val=""/>
      <w:lvlJc w:val="left"/>
      <w:pPr>
        <w:tabs>
          <w:tab w:val="num" w:pos="1440"/>
        </w:tabs>
        <w:ind w:left="1440" w:hanging="360"/>
      </w:pPr>
      <w:rPr>
        <w:rFonts w:ascii="Symbol" w:hAnsi="Symbol" w:hint="default"/>
      </w:rPr>
    </w:lvl>
    <w:lvl w:ilvl="2" w:tplc="C6BCC5AA" w:tentative="1">
      <w:start w:val="1"/>
      <w:numFmt w:val="bullet"/>
      <w:lvlText w:val=""/>
      <w:lvlJc w:val="left"/>
      <w:pPr>
        <w:tabs>
          <w:tab w:val="num" w:pos="2160"/>
        </w:tabs>
        <w:ind w:left="2160" w:hanging="360"/>
      </w:pPr>
      <w:rPr>
        <w:rFonts w:ascii="Symbol" w:hAnsi="Symbol" w:hint="default"/>
      </w:rPr>
    </w:lvl>
    <w:lvl w:ilvl="3" w:tplc="9DC4F164" w:tentative="1">
      <w:start w:val="1"/>
      <w:numFmt w:val="bullet"/>
      <w:lvlText w:val=""/>
      <w:lvlJc w:val="left"/>
      <w:pPr>
        <w:tabs>
          <w:tab w:val="num" w:pos="2880"/>
        </w:tabs>
        <w:ind w:left="2880" w:hanging="360"/>
      </w:pPr>
      <w:rPr>
        <w:rFonts w:ascii="Symbol" w:hAnsi="Symbol" w:hint="default"/>
      </w:rPr>
    </w:lvl>
    <w:lvl w:ilvl="4" w:tplc="38D47378" w:tentative="1">
      <w:start w:val="1"/>
      <w:numFmt w:val="bullet"/>
      <w:lvlText w:val=""/>
      <w:lvlJc w:val="left"/>
      <w:pPr>
        <w:tabs>
          <w:tab w:val="num" w:pos="3600"/>
        </w:tabs>
        <w:ind w:left="3600" w:hanging="360"/>
      </w:pPr>
      <w:rPr>
        <w:rFonts w:ascii="Symbol" w:hAnsi="Symbol" w:hint="default"/>
      </w:rPr>
    </w:lvl>
    <w:lvl w:ilvl="5" w:tplc="33B897F0" w:tentative="1">
      <w:start w:val="1"/>
      <w:numFmt w:val="bullet"/>
      <w:lvlText w:val=""/>
      <w:lvlJc w:val="left"/>
      <w:pPr>
        <w:tabs>
          <w:tab w:val="num" w:pos="4320"/>
        </w:tabs>
        <w:ind w:left="4320" w:hanging="360"/>
      </w:pPr>
      <w:rPr>
        <w:rFonts w:ascii="Symbol" w:hAnsi="Symbol" w:hint="default"/>
      </w:rPr>
    </w:lvl>
    <w:lvl w:ilvl="6" w:tplc="3FCE49CC" w:tentative="1">
      <w:start w:val="1"/>
      <w:numFmt w:val="bullet"/>
      <w:lvlText w:val=""/>
      <w:lvlJc w:val="left"/>
      <w:pPr>
        <w:tabs>
          <w:tab w:val="num" w:pos="5040"/>
        </w:tabs>
        <w:ind w:left="5040" w:hanging="360"/>
      </w:pPr>
      <w:rPr>
        <w:rFonts w:ascii="Symbol" w:hAnsi="Symbol" w:hint="default"/>
      </w:rPr>
    </w:lvl>
    <w:lvl w:ilvl="7" w:tplc="AB14A2CA" w:tentative="1">
      <w:start w:val="1"/>
      <w:numFmt w:val="bullet"/>
      <w:lvlText w:val=""/>
      <w:lvlJc w:val="left"/>
      <w:pPr>
        <w:tabs>
          <w:tab w:val="num" w:pos="5760"/>
        </w:tabs>
        <w:ind w:left="5760" w:hanging="360"/>
      </w:pPr>
      <w:rPr>
        <w:rFonts w:ascii="Symbol" w:hAnsi="Symbol" w:hint="default"/>
      </w:rPr>
    </w:lvl>
    <w:lvl w:ilvl="8" w:tplc="ACEEC47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2738F"/>
    <w:multiLevelType w:val="hybridMultilevel"/>
    <w:tmpl w:val="E5D4BCC6"/>
    <w:lvl w:ilvl="0" w:tplc="6A722B7A">
      <w:start w:val="1"/>
      <w:numFmt w:val="bullet"/>
      <w:lvlText w:val=""/>
      <w:lvlJc w:val="left"/>
      <w:pPr>
        <w:tabs>
          <w:tab w:val="num" w:pos="720"/>
        </w:tabs>
        <w:ind w:left="720" w:hanging="360"/>
      </w:pPr>
      <w:rPr>
        <w:rFonts w:ascii="Symbol" w:hAnsi="Symbol" w:hint="default"/>
      </w:rPr>
    </w:lvl>
    <w:lvl w:ilvl="1" w:tplc="3A5EAE1C">
      <w:numFmt w:val="bullet"/>
      <w:lvlText w:val="o"/>
      <w:lvlJc w:val="left"/>
      <w:pPr>
        <w:tabs>
          <w:tab w:val="num" w:pos="1440"/>
        </w:tabs>
        <w:ind w:left="1440" w:hanging="360"/>
      </w:pPr>
      <w:rPr>
        <w:rFonts w:ascii="Courier New" w:hAnsi="Courier New" w:hint="default"/>
      </w:rPr>
    </w:lvl>
    <w:lvl w:ilvl="2" w:tplc="D8167202" w:tentative="1">
      <w:start w:val="1"/>
      <w:numFmt w:val="bullet"/>
      <w:lvlText w:val=""/>
      <w:lvlJc w:val="left"/>
      <w:pPr>
        <w:tabs>
          <w:tab w:val="num" w:pos="2160"/>
        </w:tabs>
        <w:ind w:left="2160" w:hanging="360"/>
      </w:pPr>
      <w:rPr>
        <w:rFonts w:ascii="Symbol" w:hAnsi="Symbol" w:hint="default"/>
      </w:rPr>
    </w:lvl>
    <w:lvl w:ilvl="3" w:tplc="3D60F1DE" w:tentative="1">
      <w:start w:val="1"/>
      <w:numFmt w:val="bullet"/>
      <w:lvlText w:val=""/>
      <w:lvlJc w:val="left"/>
      <w:pPr>
        <w:tabs>
          <w:tab w:val="num" w:pos="2880"/>
        </w:tabs>
        <w:ind w:left="2880" w:hanging="360"/>
      </w:pPr>
      <w:rPr>
        <w:rFonts w:ascii="Symbol" w:hAnsi="Symbol" w:hint="default"/>
      </w:rPr>
    </w:lvl>
    <w:lvl w:ilvl="4" w:tplc="7CA4361C" w:tentative="1">
      <w:start w:val="1"/>
      <w:numFmt w:val="bullet"/>
      <w:lvlText w:val=""/>
      <w:lvlJc w:val="left"/>
      <w:pPr>
        <w:tabs>
          <w:tab w:val="num" w:pos="3600"/>
        </w:tabs>
        <w:ind w:left="3600" w:hanging="360"/>
      </w:pPr>
      <w:rPr>
        <w:rFonts w:ascii="Symbol" w:hAnsi="Symbol" w:hint="default"/>
      </w:rPr>
    </w:lvl>
    <w:lvl w:ilvl="5" w:tplc="47A2691E" w:tentative="1">
      <w:start w:val="1"/>
      <w:numFmt w:val="bullet"/>
      <w:lvlText w:val=""/>
      <w:lvlJc w:val="left"/>
      <w:pPr>
        <w:tabs>
          <w:tab w:val="num" w:pos="4320"/>
        </w:tabs>
        <w:ind w:left="4320" w:hanging="360"/>
      </w:pPr>
      <w:rPr>
        <w:rFonts w:ascii="Symbol" w:hAnsi="Symbol" w:hint="default"/>
      </w:rPr>
    </w:lvl>
    <w:lvl w:ilvl="6" w:tplc="2BB2C8B8" w:tentative="1">
      <w:start w:val="1"/>
      <w:numFmt w:val="bullet"/>
      <w:lvlText w:val=""/>
      <w:lvlJc w:val="left"/>
      <w:pPr>
        <w:tabs>
          <w:tab w:val="num" w:pos="5040"/>
        </w:tabs>
        <w:ind w:left="5040" w:hanging="360"/>
      </w:pPr>
      <w:rPr>
        <w:rFonts w:ascii="Symbol" w:hAnsi="Symbol" w:hint="default"/>
      </w:rPr>
    </w:lvl>
    <w:lvl w:ilvl="7" w:tplc="B6A6988A" w:tentative="1">
      <w:start w:val="1"/>
      <w:numFmt w:val="bullet"/>
      <w:lvlText w:val=""/>
      <w:lvlJc w:val="left"/>
      <w:pPr>
        <w:tabs>
          <w:tab w:val="num" w:pos="5760"/>
        </w:tabs>
        <w:ind w:left="5760" w:hanging="360"/>
      </w:pPr>
      <w:rPr>
        <w:rFonts w:ascii="Symbol" w:hAnsi="Symbol" w:hint="default"/>
      </w:rPr>
    </w:lvl>
    <w:lvl w:ilvl="8" w:tplc="8806B2C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74317"/>
    <w:multiLevelType w:val="multilevel"/>
    <w:tmpl w:val="35E86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0C6EA7"/>
    <w:multiLevelType w:val="multilevel"/>
    <w:tmpl w:val="887C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4C17F23"/>
    <w:multiLevelType w:val="multilevel"/>
    <w:tmpl w:val="4EE2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094B51"/>
    <w:multiLevelType w:val="hybridMultilevel"/>
    <w:tmpl w:val="446C5852"/>
    <w:lvl w:ilvl="0" w:tplc="BFB07780">
      <w:start w:val="1"/>
      <w:numFmt w:val="bullet"/>
      <w:lvlText w:val=""/>
      <w:lvlJc w:val="left"/>
      <w:pPr>
        <w:tabs>
          <w:tab w:val="num" w:pos="720"/>
        </w:tabs>
        <w:ind w:left="720" w:hanging="360"/>
      </w:pPr>
      <w:rPr>
        <w:rFonts w:ascii="Symbol" w:hAnsi="Symbol" w:hint="default"/>
      </w:rPr>
    </w:lvl>
    <w:lvl w:ilvl="1" w:tplc="CF3E11FA">
      <w:numFmt w:val="bullet"/>
      <w:lvlText w:val="o"/>
      <w:lvlJc w:val="left"/>
      <w:pPr>
        <w:tabs>
          <w:tab w:val="num" w:pos="1440"/>
        </w:tabs>
        <w:ind w:left="1440" w:hanging="360"/>
      </w:pPr>
      <w:rPr>
        <w:rFonts w:ascii="Courier New" w:hAnsi="Courier New" w:hint="default"/>
      </w:rPr>
    </w:lvl>
    <w:lvl w:ilvl="2" w:tplc="1CBCAC44" w:tentative="1">
      <w:start w:val="1"/>
      <w:numFmt w:val="bullet"/>
      <w:lvlText w:val=""/>
      <w:lvlJc w:val="left"/>
      <w:pPr>
        <w:tabs>
          <w:tab w:val="num" w:pos="2160"/>
        </w:tabs>
        <w:ind w:left="2160" w:hanging="360"/>
      </w:pPr>
      <w:rPr>
        <w:rFonts w:ascii="Symbol" w:hAnsi="Symbol" w:hint="default"/>
      </w:rPr>
    </w:lvl>
    <w:lvl w:ilvl="3" w:tplc="54440DBE" w:tentative="1">
      <w:start w:val="1"/>
      <w:numFmt w:val="bullet"/>
      <w:lvlText w:val=""/>
      <w:lvlJc w:val="left"/>
      <w:pPr>
        <w:tabs>
          <w:tab w:val="num" w:pos="2880"/>
        </w:tabs>
        <w:ind w:left="2880" w:hanging="360"/>
      </w:pPr>
      <w:rPr>
        <w:rFonts w:ascii="Symbol" w:hAnsi="Symbol" w:hint="default"/>
      </w:rPr>
    </w:lvl>
    <w:lvl w:ilvl="4" w:tplc="773A81D6" w:tentative="1">
      <w:start w:val="1"/>
      <w:numFmt w:val="bullet"/>
      <w:lvlText w:val=""/>
      <w:lvlJc w:val="left"/>
      <w:pPr>
        <w:tabs>
          <w:tab w:val="num" w:pos="3600"/>
        </w:tabs>
        <w:ind w:left="3600" w:hanging="360"/>
      </w:pPr>
      <w:rPr>
        <w:rFonts w:ascii="Symbol" w:hAnsi="Symbol" w:hint="default"/>
      </w:rPr>
    </w:lvl>
    <w:lvl w:ilvl="5" w:tplc="66F6563C" w:tentative="1">
      <w:start w:val="1"/>
      <w:numFmt w:val="bullet"/>
      <w:lvlText w:val=""/>
      <w:lvlJc w:val="left"/>
      <w:pPr>
        <w:tabs>
          <w:tab w:val="num" w:pos="4320"/>
        </w:tabs>
        <w:ind w:left="4320" w:hanging="360"/>
      </w:pPr>
      <w:rPr>
        <w:rFonts w:ascii="Symbol" w:hAnsi="Symbol" w:hint="default"/>
      </w:rPr>
    </w:lvl>
    <w:lvl w:ilvl="6" w:tplc="B1602DE6" w:tentative="1">
      <w:start w:val="1"/>
      <w:numFmt w:val="bullet"/>
      <w:lvlText w:val=""/>
      <w:lvlJc w:val="left"/>
      <w:pPr>
        <w:tabs>
          <w:tab w:val="num" w:pos="5040"/>
        </w:tabs>
        <w:ind w:left="5040" w:hanging="360"/>
      </w:pPr>
      <w:rPr>
        <w:rFonts w:ascii="Symbol" w:hAnsi="Symbol" w:hint="default"/>
      </w:rPr>
    </w:lvl>
    <w:lvl w:ilvl="7" w:tplc="2F8A4830" w:tentative="1">
      <w:start w:val="1"/>
      <w:numFmt w:val="bullet"/>
      <w:lvlText w:val=""/>
      <w:lvlJc w:val="left"/>
      <w:pPr>
        <w:tabs>
          <w:tab w:val="num" w:pos="5760"/>
        </w:tabs>
        <w:ind w:left="5760" w:hanging="360"/>
      </w:pPr>
      <w:rPr>
        <w:rFonts w:ascii="Symbol" w:hAnsi="Symbol" w:hint="default"/>
      </w:rPr>
    </w:lvl>
    <w:lvl w:ilvl="8" w:tplc="C20849B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4"/>
  </w:num>
  <w:num w:numId="3">
    <w:abstractNumId w:val="0"/>
  </w:num>
  <w:num w:numId="4">
    <w:abstractNumId w:val="3"/>
  </w:num>
  <w:num w:numId="5">
    <w:abstractNumId w:val="19"/>
  </w:num>
  <w:num w:numId="6">
    <w:abstractNumId w:val="35"/>
  </w:num>
  <w:num w:numId="7">
    <w:abstractNumId w:val="23"/>
  </w:num>
  <w:num w:numId="8">
    <w:abstractNumId w:val="18"/>
  </w:num>
  <w:num w:numId="9">
    <w:abstractNumId w:val="40"/>
  </w:num>
  <w:num w:numId="10">
    <w:abstractNumId w:val="7"/>
  </w:num>
  <w:num w:numId="11">
    <w:abstractNumId w:val="26"/>
  </w:num>
  <w:num w:numId="12">
    <w:abstractNumId w:val="6"/>
  </w:num>
  <w:num w:numId="13">
    <w:abstractNumId w:val="15"/>
  </w:num>
  <w:num w:numId="14">
    <w:abstractNumId w:val="32"/>
  </w:num>
  <w:num w:numId="15">
    <w:abstractNumId w:val="20"/>
  </w:num>
  <w:num w:numId="16">
    <w:abstractNumId w:val="2"/>
  </w:num>
  <w:num w:numId="17">
    <w:abstractNumId w:val="30"/>
  </w:num>
  <w:num w:numId="18">
    <w:abstractNumId w:val="16"/>
  </w:num>
  <w:num w:numId="19">
    <w:abstractNumId w:val="25"/>
  </w:num>
  <w:num w:numId="20">
    <w:abstractNumId w:val="39"/>
  </w:num>
  <w:num w:numId="21">
    <w:abstractNumId w:val="41"/>
  </w:num>
  <w:num w:numId="22">
    <w:abstractNumId w:val="28"/>
  </w:num>
  <w:num w:numId="23">
    <w:abstractNumId w:val="14"/>
  </w:num>
  <w:num w:numId="24">
    <w:abstractNumId w:val="9"/>
  </w:num>
  <w:num w:numId="25">
    <w:abstractNumId w:val="38"/>
  </w:num>
  <w:num w:numId="26">
    <w:abstractNumId w:val="33"/>
  </w:num>
  <w:num w:numId="27">
    <w:abstractNumId w:val="12"/>
  </w:num>
  <w:num w:numId="28">
    <w:abstractNumId w:val="11"/>
  </w:num>
  <w:num w:numId="29">
    <w:abstractNumId w:val="31"/>
  </w:num>
  <w:num w:numId="30">
    <w:abstractNumId w:val="8"/>
  </w:num>
  <w:num w:numId="31">
    <w:abstractNumId w:val="1"/>
  </w:num>
  <w:num w:numId="32">
    <w:abstractNumId w:val="27"/>
  </w:num>
  <w:num w:numId="33">
    <w:abstractNumId w:val="29"/>
  </w:num>
  <w:num w:numId="34">
    <w:abstractNumId w:val="17"/>
  </w:num>
  <w:num w:numId="35">
    <w:abstractNumId w:val="36"/>
  </w:num>
  <w:num w:numId="36">
    <w:abstractNumId w:val="37"/>
  </w:num>
  <w:num w:numId="37">
    <w:abstractNumId w:val="21"/>
  </w:num>
  <w:num w:numId="38">
    <w:abstractNumId w:val="5"/>
  </w:num>
  <w:num w:numId="39">
    <w:abstractNumId w:val="13"/>
  </w:num>
  <w:num w:numId="40">
    <w:abstractNumId w:val="4"/>
  </w:num>
  <w:num w:numId="41">
    <w:abstractNumId w:val="22"/>
  </w:num>
  <w:num w:numId="42">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C9A"/>
    <w:rsid w:val="00015F98"/>
    <w:rsid w:val="000166AC"/>
    <w:rsid w:val="00017B7F"/>
    <w:rsid w:val="00017EDA"/>
    <w:rsid w:val="000212A5"/>
    <w:rsid w:val="00022B8C"/>
    <w:rsid w:val="0002355D"/>
    <w:rsid w:val="00023742"/>
    <w:rsid w:val="00024AEF"/>
    <w:rsid w:val="00026C65"/>
    <w:rsid w:val="00027755"/>
    <w:rsid w:val="00027864"/>
    <w:rsid w:val="0002789E"/>
    <w:rsid w:val="00030048"/>
    <w:rsid w:val="0003072D"/>
    <w:rsid w:val="000310AF"/>
    <w:rsid w:val="000314CD"/>
    <w:rsid w:val="000324C0"/>
    <w:rsid w:val="00032626"/>
    <w:rsid w:val="0003332B"/>
    <w:rsid w:val="00033544"/>
    <w:rsid w:val="0003479E"/>
    <w:rsid w:val="00035691"/>
    <w:rsid w:val="0003767C"/>
    <w:rsid w:val="000409C9"/>
    <w:rsid w:val="00040F4F"/>
    <w:rsid w:val="0004132D"/>
    <w:rsid w:val="00041C9D"/>
    <w:rsid w:val="00044CFA"/>
    <w:rsid w:val="000459C7"/>
    <w:rsid w:val="00046630"/>
    <w:rsid w:val="00046C80"/>
    <w:rsid w:val="00050112"/>
    <w:rsid w:val="00050276"/>
    <w:rsid w:val="00050466"/>
    <w:rsid w:val="000505CC"/>
    <w:rsid w:val="000511F9"/>
    <w:rsid w:val="00051397"/>
    <w:rsid w:val="00051B32"/>
    <w:rsid w:val="0005230E"/>
    <w:rsid w:val="00052850"/>
    <w:rsid w:val="000528A2"/>
    <w:rsid w:val="00052BBA"/>
    <w:rsid w:val="000533E0"/>
    <w:rsid w:val="00053588"/>
    <w:rsid w:val="00054B05"/>
    <w:rsid w:val="00054D9D"/>
    <w:rsid w:val="00055676"/>
    <w:rsid w:val="00056544"/>
    <w:rsid w:val="00056BDE"/>
    <w:rsid w:val="00060D8E"/>
    <w:rsid w:val="00062159"/>
    <w:rsid w:val="000639B8"/>
    <w:rsid w:val="00063D9E"/>
    <w:rsid w:val="00064739"/>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2913"/>
    <w:rsid w:val="00093C49"/>
    <w:rsid w:val="00095A80"/>
    <w:rsid w:val="000973E1"/>
    <w:rsid w:val="000A1402"/>
    <w:rsid w:val="000A20BA"/>
    <w:rsid w:val="000A262C"/>
    <w:rsid w:val="000A3C8D"/>
    <w:rsid w:val="000A3DFE"/>
    <w:rsid w:val="000A40EC"/>
    <w:rsid w:val="000A4D26"/>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367"/>
    <w:rsid w:val="000C2B09"/>
    <w:rsid w:val="000C30CF"/>
    <w:rsid w:val="000C501D"/>
    <w:rsid w:val="000C5B5B"/>
    <w:rsid w:val="000C5CBA"/>
    <w:rsid w:val="000C74BA"/>
    <w:rsid w:val="000C7531"/>
    <w:rsid w:val="000C7A47"/>
    <w:rsid w:val="000C7BA7"/>
    <w:rsid w:val="000C7C3F"/>
    <w:rsid w:val="000D0518"/>
    <w:rsid w:val="000D0BD6"/>
    <w:rsid w:val="000D0C61"/>
    <w:rsid w:val="000D1440"/>
    <w:rsid w:val="000D1789"/>
    <w:rsid w:val="000D27AD"/>
    <w:rsid w:val="000D29D1"/>
    <w:rsid w:val="000D2B0A"/>
    <w:rsid w:val="000D3286"/>
    <w:rsid w:val="000D344D"/>
    <w:rsid w:val="000D40E7"/>
    <w:rsid w:val="000D584F"/>
    <w:rsid w:val="000D76BC"/>
    <w:rsid w:val="000D7750"/>
    <w:rsid w:val="000E071E"/>
    <w:rsid w:val="000E0DEE"/>
    <w:rsid w:val="000E181D"/>
    <w:rsid w:val="000E1D46"/>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0F786C"/>
    <w:rsid w:val="0010170B"/>
    <w:rsid w:val="00101C4F"/>
    <w:rsid w:val="00102241"/>
    <w:rsid w:val="00102C9F"/>
    <w:rsid w:val="00102D17"/>
    <w:rsid w:val="00103FC9"/>
    <w:rsid w:val="001068D2"/>
    <w:rsid w:val="001069F2"/>
    <w:rsid w:val="001103BD"/>
    <w:rsid w:val="00111208"/>
    <w:rsid w:val="001115E4"/>
    <w:rsid w:val="00111808"/>
    <w:rsid w:val="00112220"/>
    <w:rsid w:val="0011339F"/>
    <w:rsid w:val="00113B8F"/>
    <w:rsid w:val="00113EC8"/>
    <w:rsid w:val="00114DD8"/>
    <w:rsid w:val="00114E96"/>
    <w:rsid w:val="001152C7"/>
    <w:rsid w:val="00115C88"/>
    <w:rsid w:val="0011644A"/>
    <w:rsid w:val="00117332"/>
    <w:rsid w:val="0011784B"/>
    <w:rsid w:val="001204DD"/>
    <w:rsid w:val="00122839"/>
    <w:rsid w:val="001237AC"/>
    <w:rsid w:val="00124E12"/>
    <w:rsid w:val="00124E75"/>
    <w:rsid w:val="0012673D"/>
    <w:rsid w:val="001269B8"/>
    <w:rsid w:val="00126A1E"/>
    <w:rsid w:val="00127099"/>
    <w:rsid w:val="00132830"/>
    <w:rsid w:val="00132B71"/>
    <w:rsid w:val="001332E1"/>
    <w:rsid w:val="001337A5"/>
    <w:rsid w:val="0013427A"/>
    <w:rsid w:val="001348FE"/>
    <w:rsid w:val="00134B36"/>
    <w:rsid w:val="00134D55"/>
    <w:rsid w:val="001360F3"/>
    <w:rsid w:val="001362C2"/>
    <w:rsid w:val="00136344"/>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1A0"/>
    <w:rsid w:val="001467B1"/>
    <w:rsid w:val="00150175"/>
    <w:rsid w:val="001502C8"/>
    <w:rsid w:val="00151011"/>
    <w:rsid w:val="00151224"/>
    <w:rsid w:val="0015130F"/>
    <w:rsid w:val="001532BA"/>
    <w:rsid w:val="00153FED"/>
    <w:rsid w:val="001543BF"/>
    <w:rsid w:val="00154F3D"/>
    <w:rsid w:val="00155088"/>
    <w:rsid w:val="00155BFD"/>
    <w:rsid w:val="00156ABA"/>
    <w:rsid w:val="00157390"/>
    <w:rsid w:val="00160998"/>
    <w:rsid w:val="00160CD6"/>
    <w:rsid w:val="00160F5F"/>
    <w:rsid w:val="00161283"/>
    <w:rsid w:val="00162308"/>
    <w:rsid w:val="0016316A"/>
    <w:rsid w:val="00163227"/>
    <w:rsid w:val="00163539"/>
    <w:rsid w:val="0016381F"/>
    <w:rsid w:val="00163D1D"/>
    <w:rsid w:val="00164171"/>
    <w:rsid w:val="00164E58"/>
    <w:rsid w:val="00165033"/>
    <w:rsid w:val="00165926"/>
    <w:rsid w:val="001665EB"/>
    <w:rsid w:val="001670EA"/>
    <w:rsid w:val="001674A0"/>
    <w:rsid w:val="00167683"/>
    <w:rsid w:val="00170A50"/>
    <w:rsid w:val="0017426A"/>
    <w:rsid w:val="00174FFD"/>
    <w:rsid w:val="001759CA"/>
    <w:rsid w:val="0017726A"/>
    <w:rsid w:val="00177DD3"/>
    <w:rsid w:val="00180278"/>
    <w:rsid w:val="001807F2"/>
    <w:rsid w:val="0018111A"/>
    <w:rsid w:val="001818A7"/>
    <w:rsid w:val="00181E85"/>
    <w:rsid w:val="00181F3B"/>
    <w:rsid w:val="00182725"/>
    <w:rsid w:val="001829C8"/>
    <w:rsid w:val="00182CC3"/>
    <w:rsid w:val="0018362F"/>
    <w:rsid w:val="0018573A"/>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95E"/>
    <w:rsid w:val="001A5510"/>
    <w:rsid w:val="001A58D8"/>
    <w:rsid w:val="001A5C7B"/>
    <w:rsid w:val="001A5E19"/>
    <w:rsid w:val="001A6299"/>
    <w:rsid w:val="001A63D8"/>
    <w:rsid w:val="001B01FA"/>
    <w:rsid w:val="001B0832"/>
    <w:rsid w:val="001B18A7"/>
    <w:rsid w:val="001B2762"/>
    <w:rsid w:val="001B36FC"/>
    <w:rsid w:val="001B38EE"/>
    <w:rsid w:val="001B41ED"/>
    <w:rsid w:val="001B4607"/>
    <w:rsid w:val="001B7E0C"/>
    <w:rsid w:val="001B7FBE"/>
    <w:rsid w:val="001C0674"/>
    <w:rsid w:val="001C1405"/>
    <w:rsid w:val="001C1B93"/>
    <w:rsid w:val="001C226F"/>
    <w:rsid w:val="001C38D8"/>
    <w:rsid w:val="001C5296"/>
    <w:rsid w:val="001C66AC"/>
    <w:rsid w:val="001C6754"/>
    <w:rsid w:val="001C77F0"/>
    <w:rsid w:val="001D30C9"/>
    <w:rsid w:val="001D445B"/>
    <w:rsid w:val="001D46A0"/>
    <w:rsid w:val="001D4A58"/>
    <w:rsid w:val="001D50C2"/>
    <w:rsid w:val="001D692E"/>
    <w:rsid w:val="001D753C"/>
    <w:rsid w:val="001D7CA4"/>
    <w:rsid w:val="001D7E58"/>
    <w:rsid w:val="001E0425"/>
    <w:rsid w:val="001E13B3"/>
    <w:rsid w:val="001E279B"/>
    <w:rsid w:val="001E30A0"/>
    <w:rsid w:val="001E3DE1"/>
    <w:rsid w:val="001E4D4F"/>
    <w:rsid w:val="001E54F9"/>
    <w:rsid w:val="001E5655"/>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0F5"/>
    <w:rsid w:val="001F51C5"/>
    <w:rsid w:val="001F65B0"/>
    <w:rsid w:val="001F67AA"/>
    <w:rsid w:val="001F6AFD"/>
    <w:rsid w:val="001F6E6B"/>
    <w:rsid w:val="001F738D"/>
    <w:rsid w:val="001F7599"/>
    <w:rsid w:val="00201ADB"/>
    <w:rsid w:val="002028F1"/>
    <w:rsid w:val="00203ABE"/>
    <w:rsid w:val="00203B87"/>
    <w:rsid w:val="00204A2A"/>
    <w:rsid w:val="00204B22"/>
    <w:rsid w:val="00204B3A"/>
    <w:rsid w:val="0020535A"/>
    <w:rsid w:val="002055CB"/>
    <w:rsid w:val="002059EF"/>
    <w:rsid w:val="00205A4B"/>
    <w:rsid w:val="00205BDB"/>
    <w:rsid w:val="00205F76"/>
    <w:rsid w:val="002060A2"/>
    <w:rsid w:val="00206955"/>
    <w:rsid w:val="00206A79"/>
    <w:rsid w:val="002079BB"/>
    <w:rsid w:val="00210309"/>
    <w:rsid w:val="00211519"/>
    <w:rsid w:val="0021224B"/>
    <w:rsid w:val="00212950"/>
    <w:rsid w:val="00212FB8"/>
    <w:rsid w:val="00213709"/>
    <w:rsid w:val="002149AF"/>
    <w:rsid w:val="00214A86"/>
    <w:rsid w:val="00215AAA"/>
    <w:rsid w:val="00216289"/>
    <w:rsid w:val="0021683C"/>
    <w:rsid w:val="00216F5F"/>
    <w:rsid w:val="00220615"/>
    <w:rsid w:val="002218A2"/>
    <w:rsid w:val="00221985"/>
    <w:rsid w:val="00221EC5"/>
    <w:rsid w:val="00222A7A"/>
    <w:rsid w:val="00224A2C"/>
    <w:rsid w:val="00225217"/>
    <w:rsid w:val="002256D9"/>
    <w:rsid w:val="00226577"/>
    <w:rsid w:val="0022687C"/>
    <w:rsid w:val="00226F92"/>
    <w:rsid w:val="002306F8"/>
    <w:rsid w:val="002312F4"/>
    <w:rsid w:val="002313A2"/>
    <w:rsid w:val="00231FC7"/>
    <w:rsid w:val="00232930"/>
    <w:rsid w:val="00232A95"/>
    <w:rsid w:val="00232C3F"/>
    <w:rsid w:val="00232DD9"/>
    <w:rsid w:val="00232E76"/>
    <w:rsid w:val="0023308F"/>
    <w:rsid w:val="00233403"/>
    <w:rsid w:val="00233440"/>
    <w:rsid w:val="00233D0E"/>
    <w:rsid w:val="00234E13"/>
    <w:rsid w:val="00236450"/>
    <w:rsid w:val="00236559"/>
    <w:rsid w:val="0023765A"/>
    <w:rsid w:val="00237921"/>
    <w:rsid w:val="00240342"/>
    <w:rsid w:val="00240B4C"/>
    <w:rsid w:val="00241311"/>
    <w:rsid w:val="002418E8"/>
    <w:rsid w:val="00242E22"/>
    <w:rsid w:val="0024336B"/>
    <w:rsid w:val="00244194"/>
    <w:rsid w:val="0024424F"/>
    <w:rsid w:val="00244D28"/>
    <w:rsid w:val="002455CC"/>
    <w:rsid w:val="00245689"/>
    <w:rsid w:val="00245720"/>
    <w:rsid w:val="00245A6F"/>
    <w:rsid w:val="00245FD5"/>
    <w:rsid w:val="002477DF"/>
    <w:rsid w:val="00251AD6"/>
    <w:rsid w:val="00252C17"/>
    <w:rsid w:val="0025307F"/>
    <w:rsid w:val="002551BD"/>
    <w:rsid w:val="002568D0"/>
    <w:rsid w:val="00260770"/>
    <w:rsid w:val="00260AEE"/>
    <w:rsid w:val="002621A6"/>
    <w:rsid w:val="00262661"/>
    <w:rsid w:val="00262BEB"/>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3C49"/>
    <w:rsid w:val="00284E32"/>
    <w:rsid w:val="002851EB"/>
    <w:rsid w:val="00285510"/>
    <w:rsid w:val="00285BD1"/>
    <w:rsid w:val="00285DE2"/>
    <w:rsid w:val="0028616D"/>
    <w:rsid w:val="00286965"/>
    <w:rsid w:val="0029136E"/>
    <w:rsid w:val="00292399"/>
    <w:rsid w:val="00293883"/>
    <w:rsid w:val="002938BD"/>
    <w:rsid w:val="00294445"/>
    <w:rsid w:val="00294B4D"/>
    <w:rsid w:val="0029537E"/>
    <w:rsid w:val="002960D5"/>
    <w:rsid w:val="00297926"/>
    <w:rsid w:val="002A02C9"/>
    <w:rsid w:val="002A1062"/>
    <w:rsid w:val="002A2012"/>
    <w:rsid w:val="002A2413"/>
    <w:rsid w:val="002A2F5E"/>
    <w:rsid w:val="002A352A"/>
    <w:rsid w:val="002A563F"/>
    <w:rsid w:val="002A607D"/>
    <w:rsid w:val="002B132E"/>
    <w:rsid w:val="002B1499"/>
    <w:rsid w:val="002B1CCD"/>
    <w:rsid w:val="002B21ED"/>
    <w:rsid w:val="002B2813"/>
    <w:rsid w:val="002B2D29"/>
    <w:rsid w:val="002B3B31"/>
    <w:rsid w:val="002B3BBD"/>
    <w:rsid w:val="002B79DC"/>
    <w:rsid w:val="002C0C4B"/>
    <w:rsid w:val="002C1EEA"/>
    <w:rsid w:val="002C47AD"/>
    <w:rsid w:val="002C5510"/>
    <w:rsid w:val="002C6034"/>
    <w:rsid w:val="002C635B"/>
    <w:rsid w:val="002C7276"/>
    <w:rsid w:val="002C770F"/>
    <w:rsid w:val="002C7CFF"/>
    <w:rsid w:val="002D0BC6"/>
    <w:rsid w:val="002D12DB"/>
    <w:rsid w:val="002D17C5"/>
    <w:rsid w:val="002D365F"/>
    <w:rsid w:val="002D4825"/>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1998"/>
    <w:rsid w:val="002F22FF"/>
    <w:rsid w:val="002F2D8F"/>
    <w:rsid w:val="002F488A"/>
    <w:rsid w:val="002F5BE4"/>
    <w:rsid w:val="002F667C"/>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DF"/>
    <w:rsid w:val="003062E6"/>
    <w:rsid w:val="003068B6"/>
    <w:rsid w:val="003071F6"/>
    <w:rsid w:val="00307FE0"/>
    <w:rsid w:val="003107EB"/>
    <w:rsid w:val="00310E66"/>
    <w:rsid w:val="00311C08"/>
    <w:rsid w:val="003125E0"/>
    <w:rsid w:val="00312ECE"/>
    <w:rsid w:val="0031393C"/>
    <w:rsid w:val="00313CB0"/>
    <w:rsid w:val="00313F96"/>
    <w:rsid w:val="00314829"/>
    <w:rsid w:val="00314B0A"/>
    <w:rsid w:val="003150CE"/>
    <w:rsid w:val="00315AAB"/>
    <w:rsid w:val="0031646B"/>
    <w:rsid w:val="003175E1"/>
    <w:rsid w:val="00320299"/>
    <w:rsid w:val="00320DCA"/>
    <w:rsid w:val="00321154"/>
    <w:rsid w:val="003211B0"/>
    <w:rsid w:val="00321EDA"/>
    <w:rsid w:val="003224AA"/>
    <w:rsid w:val="003224E7"/>
    <w:rsid w:val="003236EE"/>
    <w:rsid w:val="00325D7A"/>
    <w:rsid w:val="00326145"/>
    <w:rsid w:val="00327163"/>
    <w:rsid w:val="00327305"/>
    <w:rsid w:val="00327531"/>
    <w:rsid w:val="00330187"/>
    <w:rsid w:val="00331C77"/>
    <w:rsid w:val="00331DB6"/>
    <w:rsid w:val="00331F96"/>
    <w:rsid w:val="00332B55"/>
    <w:rsid w:val="00333600"/>
    <w:rsid w:val="003336B9"/>
    <w:rsid w:val="0033476C"/>
    <w:rsid w:val="00335EA8"/>
    <w:rsid w:val="003363DD"/>
    <w:rsid w:val="00337810"/>
    <w:rsid w:val="003379A4"/>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563"/>
    <w:rsid w:val="00374848"/>
    <w:rsid w:val="003756CA"/>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59D9"/>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5D22"/>
    <w:rsid w:val="003A6F19"/>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CFB"/>
    <w:rsid w:val="003B6EC0"/>
    <w:rsid w:val="003B75B9"/>
    <w:rsid w:val="003C087B"/>
    <w:rsid w:val="003C0DA2"/>
    <w:rsid w:val="003C1A18"/>
    <w:rsid w:val="003C448B"/>
    <w:rsid w:val="003C5C41"/>
    <w:rsid w:val="003C669D"/>
    <w:rsid w:val="003C6877"/>
    <w:rsid w:val="003C7062"/>
    <w:rsid w:val="003C7461"/>
    <w:rsid w:val="003D0788"/>
    <w:rsid w:val="003D0F1A"/>
    <w:rsid w:val="003D132A"/>
    <w:rsid w:val="003D1517"/>
    <w:rsid w:val="003D1D50"/>
    <w:rsid w:val="003D232D"/>
    <w:rsid w:val="003D286B"/>
    <w:rsid w:val="003D2938"/>
    <w:rsid w:val="003D362E"/>
    <w:rsid w:val="003D3FBA"/>
    <w:rsid w:val="003D402B"/>
    <w:rsid w:val="003D54B0"/>
    <w:rsid w:val="003D764F"/>
    <w:rsid w:val="003D76EF"/>
    <w:rsid w:val="003E0042"/>
    <w:rsid w:val="003E0667"/>
    <w:rsid w:val="003E0BCE"/>
    <w:rsid w:val="003E0DF3"/>
    <w:rsid w:val="003E13E0"/>
    <w:rsid w:val="003E1660"/>
    <w:rsid w:val="003E1CD1"/>
    <w:rsid w:val="003E2691"/>
    <w:rsid w:val="003E2A2D"/>
    <w:rsid w:val="003E3743"/>
    <w:rsid w:val="003E47D4"/>
    <w:rsid w:val="003E50B9"/>
    <w:rsid w:val="003E64A9"/>
    <w:rsid w:val="003E6B35"/>
    <w:rsid w:val="003E7905"/>
    <w:rsid w:val="003F0336"/>
    <w:rsid w:val="003F25F5"/>
    <w:rsid w:val="003F3FCC"/>
    <w:rsid w:val="003F49AD"/>
    <w:rsid w:val="003F5547"/>
    <w:rsid w:val="003F5C40"/>
    <w:rsid w:val="003F6E12"/>
    <w:rsid w:val="003F6F8B"/>
    <w:rsid w:val="003F75ED"/>
    <w:rsid w:val="004002B7"/>
    <w:rsid w:val="00400F31"/>
    <w:rsid w:val="00401C0C"/>
    <w:rsid w:val="004023BA"/>
    <w:rsid w:val="004038A1"/>
    <w:rsid w:val="00406B4D"/>
    <w:rsid w:val="0041443C"/>
    <w:rsid w:val="00414756"/>
    <w:rsid w:val="0041488F"/>
    <w:rsid w:val="004154F7"/>
    <w:rsid w:val="00416D44"/>
    <w:rsid w:val="004176FF"/>
    <w:rsid w:val="00417A1E"/>
    <w:rsid w:val="00421A27"/>
    <w:rsid w:val="00421D0A"/>
    <w:rsid w:val="004226C3"/>
    <w:rsid w:val="004228BA"/>
    <w:rsid w:val="004241C5"/>
    <w:rsid w:val="00424672"/>
    <w:rsid w:val="00424FA7"/>
    <w:rsid w:val="0042507D"/>
    <w:rsid w:val="00425D2C"/>
    <w:rsid w:val="00426A87"/>
    <w:rsid w:val="00427007"/>
    <w:rsid w:val="004309D8"/>
    <w:rsid w:val="004313D1"/>
    <w:rsid w:val="00432110"/>
    <w:rsid w:val="00432739"/>
    <w:rsid w:val="004328EE"/>
    <w:rsid w:val="00433EBE"/>
    <w:rsid w:val="00434406"/>
    <w:rsid w:val="00435929"/>
    <w:rsid w:val="00435B0D"/>
    <w:rsid w:val="00440FED"/>
    <w:rsid w:val="00441B92"/>
    <w:rsid w:val="00443A9F"/>
    <w:rsid w:val="0044474B"/>
    <w:rsid w:val="00445FF7"/>
    <w:rsid w:val="00447963"/>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4EA1"/>
    <w:rsid w:val="00465299"/>
    <w:rsid w:val="00466A0F"/>
    <w:rsid w:val="00466F02"/>
    <w:rsid w:val="0046795B"/>
    <w:rsid w:val="004708C0"/>
    <w:rsid w:val="0047115F"/>
    <w:rsid w:val="004715CB"/>
    <w:rsid w:val="00471863"/>
    <w:rsid w:val="00473777"/>
    <w:rsid w:val="00473A14"/>
    <w:rsid w:val="004745A9"/>
    <w:rsid w:val="00474871"/>
    <w:rsid w:val="00474CA8"/>
    <w:rsid w:val="00474E43"/>
    <w:rsid w:val="00475708"/>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EF2"/>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2E7"/>
    <w:rsid w:val="004C0401"/>
    <w:rsid w:val="004C0C49"/>
    <w:rsid w:val="004C1096"/>
    <w:rsid w:val="004C15D6"/>
    <w:rsid w:val="004C183D"/>
    <w:rsid w:val="004C394F"/>
    <w:rsid w:val="004C3EC7"/>
    <w:rsid w:val="004C3EEE"/>
    <w:rsid w:val="004C483D"/>
    <w:rsid w:val="004C49EA"/>
    <w:rsid w:val="004C4D15"/>
    <w:rsid w:val="004C57A0"/>
    <w:rsid w:val="004C6DA5"/>
    <w:rsid w:val="004C795A"/>
    <w:rsid w:val="004C7F93"/>
    <w:rsid w:val="004D1136"/>
    <w:rsid w:val="004D2629"/>
    <w:rsid w:val="004D26B8"/>
    <w:rsid w:val="004D2C2C"/>
    <w:rsid w:val="004D38C2"/>
    <w:rsid w:val="004D41DC"/>
    <w:rsid w:val="004D4FBD"/>
    <w:rsid w:val="004D4FC0"/>
    <w:rsid w:val="004D5CE7"/>
    <w:rsid w:val="004D6381"/>
    <w:rsid w:val="004D7DA8"/>
    <w:rsid w:val="004E019F"/>
    <w:rsid w:val="004E10CD"/>
    <w:rsid w:val="004E1401"/>
    <w:rsid w:val="004E2892"/>
    <w:rsid w:val="004E362B"/>
    <w:rsid w:val="004E3681"/>
    <w:rsid w:val="004E3D74"/>
    <w:rsid w:val="004E4F80"/>
    <w:rsid w:val="004E5DE1"/>
    <w:rsid w:val="004E784B"/>
    <w:rsid w:val="004F0224"/>
    <w:rsid w:val="004F0DB4"/>
    <w:rsid w:val="004F0E04"/>
    <w:rsid w:val="004F1CD3"/>
    <w:rsid w:val="004F1EBC"/>
    <w:rsid w:val="004F20E8"/>
    <w:rsid w:val="004F3172"/>
    <w:rsid w:val="004F3B71"/>
    <w:rsid w:val="004F3FE5"/>
    <w:rsid w:val="004F4CF7"/>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FD0"/>
    <w:rsid w:val="00510ABC"/>
    <w:rsid w:val="00511079"/>
    <w:rsid w:val="00511411"/>
    <w:rsid w:val="00511A02"/>
    <w:rsid w:val="00511CDF"/>
    <w:rsid w:val="00512829"/>
    <w:rsid w:val="00513839"/>
    <w:rsid w:val="00513DEF"/>
    <w:rsid w:val="0051423C"/>
    <w:rsid w:val="005148D4"/>
    <w:rsid w:val="00514946"/>
    <w:rsid w:val="00514C91"/>
    <w:rsid w:val="005153CE"/>
    <w:rsid w:val="00515C8B"/>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A2D"/>
    <w:rsid w:val="00527FB1"/>
    <w:rsid w:val="00530423"/>
    <w:rsid w:val="0053107E"/>
    <w:rsid w:val="005312CB"/>
    <w:rsid w:val="0053162F"/>
    <w:rsid w:val="00531777"/>
    <w:rsid w:val="0053281C"/>
    <w:rsid w:val="00532AD0"/>
    <w:rsid w:val="0053311D"/>
    <w:rsid w:val="00533B93"/>
    <w:rsid w:val="005340C9"/>
    <w:rsid w:val="00536698"/>
    <w:rsid w:val="00536BD8"/>
    <w:rsid w:val="005375FE"/>
    <w:rsid w:val="00540BFC"/>
    <w:rsid w:val="0054195A"/>
    <w:rsid w:val="005420DE"/>
    <w:rsid w:val="00542249"/>
    <w:rsid w:val="00542FAA"/>
    <w:rsid w:val="005431F5"/>
    <w:rsid w:val="00543707"/>
    <w:rsid w:val="005439D2"/>
    <w:rsid w:val="00543EBB"/>
    <w:rsid w:val="00544213"/>
    <w:rsid w:val="0054486D"/>
    <w:rsid w:val="00544938"/>
    <w:rsid w:val="005453F3"/>
    <w:rsid w:val="00545549"/>
    <w:rsid w:val="005469F5"/>
    <w:rsid w:val="00546F36"/>
    <w:rsid w:val="005518ED"/>
    <w:rsid w:val="00552093"/>
    <w:rsid w:val="005523D3"/>
    <w:rsid w:val="00552AF9"/>
    <w:rsid w:val="00554C49"/>
    <w:rsid w:val="00554E06"/>
    <w:rsid w:val="00554E4B"/>
    <w:rsid w:val="0055519C"/>
    <w:rsid w:val="005554C1"/>
    <w:rsid w:val="00555F67"/>
    <w:rsid w:val="00556E32"/>
    <w:rsid w:val="0055798E"/>
    <w:rsid w:val="005604F1"/>
    <w:rsid w:val="005606A4"/>
    <w:rsid w:val="005607B8"/>
    <w:rsid w:val="00560CF5"/>
    <w:rsid w:val="005611D9"/>
    <w:rsid w:val="0056272D"/>
    <w:rsid w:val="00562BAB"/>
    <w:rsid w:val="00563047"/>
    <w:rsid w:val="0056308E"/>
    <w:rsid w:val="00563678"/>
    <w:rsid w:val="005638C1"/>
    <w:rsid w:val="00563F16"/>
    <w:rsid w:val="0056415C"/>
    <w:rsid w:val="005649BF"/>
    <w:rsid w:val="005650ED"/>
    <w:rsid w:val="005651B5"/>
    <w:rsid w:val="00565869"/>
    <w:rsid w:val="00567415"/>
    <w:rsid w:val="00567610"/>
    <w:rsid w:val="00570D9F"/>
    <w:rsid w:val="0057185C"/>
    <w:rsid w:val="00571CA8"/>
    <w:rsid w:val="00572947"/>
    <w:rsid w:val="00573138"/>
    <w:rsid w:val="005734A7"/>
    <w:rsid w:val="005738A0"/>
    <w:rsid w:val="005746C4"/>
    <w:rsid w:val="00574B50"/>
    <w:rsid w:val="00577835"/>
    <w:rsid w:val="00580793"/>
    <w:rsid w:val="00581470"/>
    <w:rsid w:val="00581B62"/>
    <w:rsid w:val="00581BAD"/>
    <w:rsid w:val="00581D62"/>
    <w:rsid w:val="00582087"/>
    <w:rsid w:val="00582F21"/>
    <w:rsid w:val="005831DD"/>
    <w:rsid w:val="00584320"/>
    <w:rsid w:val="005845BF"/>
    <w:rsid w:val="00584CB8"/>
    <w:rsid w:val="00584EA8"/>
    <w:rsid w:val="00585484"/>
    <w:rsid w:val="00587229"/>
    <w:rsid w:val="00587503"/>
    <w:rsid w:val="00587A4E"/>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03B5"/>
    <w:rsid w:val="005B38C7"/>
    <w:rsid w:val="005B3C6D"/>
    <w:rsid w:val="005B4045"/>
    <w:rsid w:val="005B609E"/>
    <w:rsid w:val="005B67CC"/>
    <w:rsid w:val="005B6DF6"/>
    <w:rsid w:val="005B7B7D"/>
    <w:rsid w:val="005C04D2"/>
    <w:rsid w:val="005C1948"/>
    <w:rsid w:val="005C22F9"/>
    <w:rsid w:val="005C263C"/>
    <w:rsid w:val="005C2679"/>
    <w:rsid w:val="005C298C"/>
    <w:rsid w:val="005C3039"/>
    <w:rsid w:val="005C4BFB"/>
    <w:rsid w:val="005C5870"/>
    <w:rsid w:val="005C6CC5"/>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6E41"/>
    <w:rsid w:val="005E7088"/>
    <w:rsid w:val="005E7E1B"/>
    <w:rsid w:val="005F0108"/>
    <w:rsid w:val="005F0291"/>
    <w:rsid w:val="005F0312"/>
    <w:rsid w:val="005F0ECC"/>
    <w:rsid w:val="005F21A5"/>
    <w:rsid w:val="005F2470"/>
    <w:rsid w:val="005F28C6"/>
    <w:rsid w:val="005F3F16"/>
    <w:rsid w:val="005F48DE"/>
    <w:rsid w:val="005F4E13"/>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9DD"/>
    <w:rsid w:val="006135BC"/>
    <w:rsid w:val="00613B10"/>
    <w:rsid w:val="00613EA5"/>
    <w:rsid w:val="00614896"/>
    <w:rsid w:val="00614CD1"/>
    <w:rsid w:val="006151F2"/>
    <w:rsid w:val="0061567B"/>
    <w:rsid w:val="00615AC8"/>
    <w:rsid w:val="0062092C"/>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8EA"/>
    <w:rsid w:val="00640FCC"/>
    <w:rsid w:val="00641283"/>
    <w:rsid w:val="006413CF"/>
    <w:rsid w:val="00641413"/>
    <w:rsid w:val="00641465"/>
    <w:rsid w:val="0064165D"/>
    <w:rsid w:val="00642E8C"/>
    <w:rsid w:val="006433BD"/>
    <w:rsid w:val="00643562"/>
    <w:rsid w:val="00643784"/>
    <w:rsid w:val="00644186"/>
    <w:rsid w:val="00644A21"/>
    <w:rsid w:val="006450F8"/>
    <w:rsid w:val="00645C9F"/>
    <w:rsid w:val="00646305"/>
    <w:rsid w:val="00646864"/>
    <w:rsid w:val="00646A6C"/>
    <w:rsid w:val="006475E6"/>
    <w:rsid w:val="006508B9"/>
    <w:rsid w:val="00650CA1"/>
    <w:rsid w:val="00650D9A"/>
    <w:rsid w:val="0065143C"/>
    <w:rsid w:val="00651854"/>
    <w:rsid w:val="00652578"/>
    <w:rsid w:val="0065266E"/>
    <w:rsid w:val="006539E8"/>
    <w:rsid w:val="00656307"/>
    <w:rsid w:val="006565D8"/>
    <w:rsid w:val="00656B96"/>
    <w:rsid w:val="00656F79"/>
    <w:rsid w:val="0065736B"/>
    <w:rsid w:val="006578E4"/>
    <w:rsid w:val="00657AE5"/>
    <w:rsid w:val="006619B0"/>
    <w:rsid w:val="00662012"/>
    <w:rsid w:val="00662543"/>
    <w:rsid w:val="006626D0"/>
    <w:rsid w:val="006628E9"/>
    <w:rsid w:val="006631D2"/>
    <w:rsid w:val="006641F4"/>
    <w:rsid w:val="00664E8C"/>
    <w:rsid w:val="00665F7C"/>
    <w:rsid w:val="0066699A"/>
    <w:rsid w:val="00666DFC"/>
    <w:rsid w:val="00666EBB"/>
    <w:rsid w:val="0066779E"/>
    <w:rsid w:val="00667FAF"/>
    <w:rsid w:val="006707FB"/>
    <w:rsid w:val="0067096D"/>
    <w:rsid w:val="00670AF4"/>
    <w:rsid w:val="006719E0"/>
    <w:rsid w:val="0067269D"/>
    <w:rsid w:val="00672988"/>
    <w:rsid w:val="00672C64"/>
    <w:rsid w:val="00674E6A"/>
    <w:rsid w:val="00675CF4"/>
    <w:rsid w:val="00676380"/>
    <w:rsid w:val="00676A64"/>
    <w:rsid w:val="00677925"/>
    <w:rsid w:val="006779BF"/>
    <w:rsid w:val="00680F46"/>
    <w:rsid w:val="00681FDC"/>
    <w:rsid w:val="00682B53"/>
    <w:rsid w:val="00682F27"/>
    <w:rsid w:val="006859DB"/>
    <w:rsid w:val="0068678D"/>
    <w:rsid w:val="00687488"/>
    <w:rsid w:val="006904ED"/>
    <w:rsid w:val="00690E2E"/>
    <w:rsid w:val="006910B4"/>
    <w:rsid w:val="006915D7"/>
    <w:rsid w:val="00692814"/>
    <w:rsid w:val="006932E7"/>
    <w:rsid w:val="00693347"/>
    <w:rsid w:val="0069334C"/>
    <w:rsid w:val="006948EF"/>
    <w:rsid w:val="00696D63"/>
    <w:rsid w:val="006970D9"/>
    <w:rsid w:val="00697D97"/>
    <w:rsid w:val="006A032F"/>
    <w:rsid w:val="006A0DD3"/>
    <w:rsid w:val="006A146E"/>
    <w:rsid w:val="006A1BEB"/>
    <w:rsid w:val="006A1C6C"/>
    <w:rsid w:val="006A3022"/>
    <w:rsid w:val="006A41AE"/>
    <w:rsid w:val="006A4856"/>
    <w:rsid w:val="006A5474"/>
    <w:rsid w:val="006A564B"/>
    <w:rsid w:val="006A5668"/>
    <w:rsid w:val="006A60AC"/>
    <w:rsid w:val="006A6380"/>
    <w:rsid w:val="006B05B5"/>
    <w:rsid w:val="006B1545"/>
    <w:rsid w:val="006B23B9"/>
    <w:rsid w:val="006B2DA7"/>
    <w:rsid w:val="006B2F4D"/>
    <w:rsid w:val="006B306B"/>
    <w:rsid w:val="006B3682"/>
    <w:rsid w:val="006B3974"/>
    <w:rsid w:val="006B48CB"/>
    <w:rsid w:val="006B564D"/>
    <w:rsid w:val="006C12CD"/>
    <w:rsid w:val="006C1445"/>
    <w:rsid w:val="006C3AB0"/>
    <w:rsid w:val="006C3B24"/>
    <w:rsid w:val="006C4FC1"/>
    <w:rsid w:val="006C51A5"/>
    <w:rsid w:val="006C529D"/>
    <w:rsid w:val="006C5347"/>
    <w:rsid w:val="006C65DE"/>
    <w:rsid w:val="006C6798"/>
    <w:rsid w:val="006C6DF7"/>
    <w:rsid w:val="006D0826"/>
    <w:rsid w:val="006D0C12"/>
    <w:rsid w:val="006D0E6B"/>
    <w:rsid w:val="006D2146"/>
    <w:rsid w:val="006D632E"/>
    <w:rsid w:val="006D6C9C"/>
    <w:rsid w:val="006D74F8"/>
    <w:rsid w:val="006D7AC4"/>
    <w:rsid w:val="006E094A"/>
    <w:rsid w:val="006E12B1"/>
    <w:rsid w:val="006E13D1"/>
    <w:rsid w:val="006E15E7"/>
    <w:rsid w:val="006E245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14A"/>
    <w:rsid w:val="006F7914"/>
    <w:rsid w:val="006F7C0B"/>
    <w:rsid w:val="006F7E46"/>
    <w:rsid w:val="00700AB4"/>
    <w:rsid w:val="00700E87"/>
    <w:rsid w:val="00700FCA"/>
    <w:rsid w:val="007015C6"/>
    <w:rsid w:val="00701645"/>
    <w:rsid w:val="00701BBC"/>
    <w:rsid w:val="00702D5A"/>
    <w:rsid w:val="00702EF7"/>
    <w:rsid w:val="00703571"/>
    <w:rsid w:val="00703989"/>
    <w:rsid w:val="007042E9"/>
    <w:rsid w:val="00704495"/>
    <w:rsid w:val="007070E7"/>
    <w:rsid w:val="007108D3"/>
    <w:rsid w:val="0071118B"/>
    <w:rsid w:val="00711C66"/>
    <w:rsid w:val="00711E13"/>
    <w:rsid w:val="00712EDA"/>
    <w:rsid w:val="007136D0"/>
    <w:rsid w:val="007155A9"/>
    <w:rsid w:val="007158E1"/>
    <w:rsid w:val="00716AA6"/>
    <w:rsid w:val="0071705B"/>
    <w:rsid w:val="00717165"/>
    <w:rsid w:val="00720505"/>
    <w:rsid w:val="007236A3"/>
    <w:rsid w:val="007239B6"/>
    <w:rsid w:val="0072490A"/>
    <w:rsid w:val="00724B64"/>
    <w:rsid w:val="0072517D"/>
    <w:rsid w:val="00726878"/>
    <w:rsid w:val="0073124A"/>
    <w:rsid w:val="00731B79"/>
    <w:rsid w:val="007320A2"/>
    <w:rsid w:val="007327CE"/>
    <w:rsid w:val="00732AE7"/>
    <w:rsid w:val="00733893"/>
    <w:rsid w:val="00734A05"/>
    <w:rsid w:val="00734ECC"/>
    <w:rsid w:val="00735C6F"/>
    <w:rsid w:val="00737A31"/>
    <w:rsid w:val="00742A6A"/>
    <w:rsid w:val="00742B44"/>
    <w:rsid w:val="0074656E"/>
    <w:rsid w:val="007472D5"/>
    <w:rsid w:val="0075240D"/>
    <w:rsid w:val="00752B03"/>
    <w:rsid w:val="00753454"/>
    <w:rsid w:val="00753BB5"/>
    <w:rsid w:val="007544F1"/>
    <w:rsid w:val="00755E4A"/>
    <w:rsid w:val="00756832"/>
    <w:rsid w:val="00757227"/>
    <w:rsid w:val="00757F0B"/>
    <w:rsid w:val="007626D0"/>
    <w:rsid w:val="007651CA"/>
    <w:rsid w:val="00767519"/>
    <w:rsid w:val="007704E1"/>
    <w:rsid w:val="00770E5C"/>
    <w:rsid w:val="00772569"/>
    <w:rsid w:val="00772E8C"/>
    <w:rsid w:val="00772FDB"/>
    <w:rsid w:val="0077316B"/>
    <w:rsid w:val="007736D3"/>
    <w:rsid w:val="0077392E"/>
    <w:rsid w:val="0077500F"/>
    <w:rsid w:val="00775369"/>
    <w:rsid w:val="0077548E"/>
    <w:rsid w:val="00777315"/>
    <w:rsid w:val="007802E4"/>
    <w:rsid w:val="00780919"/>
    <w:rsid w:val="00781589"/>
    <w:rsid w:val="007820D0"/>
    <w:rsid w:val="007826C8"/>
    <w:rsid w:val="00784190"/>
    <w:rsid w:val="0078457B"/>
    <w:rsid w:val="00784669"/>
    <w:rsid w:val="00784756"/>
    <w:rsid w:val="0078539D"/>
    <w:rsid w:val="007856C1"/>
    <w:rsid w:val="00785B0F"/>
    <w:rsid w:val="00787051"/>
    <w:rsid w:val="0079018D"/>
    <w:rsid w:val="007901DC"/>
    <w:rsid w:val="00791A00"/>
    <w:rsid w:val="00791DDB"/>
    <w:rsid w:val="00792CEE"/>
    <w:rsid w:val="007936A8"/>
    <w:rsid w:val="00794C4E"/>
    <w:rsid w:val="007950CC"/>
    <w:rsid w:val="007962B4"/>
    <w:rsid w:val="00796F15"/>
    <w:rsid w:val="00797E22"/>
    <w:rsid w:val="007A138F"/>
    <w:rsid w:val="007A1640"/>
    <w:rsid w:val="007A1AE4"/>
    <w:rsid w:val="007A39DF"/>
    <w:rsid w:val="007A43ED"/>
    <w:rsid w:val="007A4BDD"/>
    <w:rsid w:val="007A5E2D"/>
    <w:rsid w:val="007A6CFD"/>
    <w:rsid w:val="007A72EE"/>
    <w:rsid w:val="007B0397"/>
    <w:rsid w:val="007B0ADB"/>
    <w:rsid w:val="007B26EE"/>
    <w:rsid w:val="007B2E04"/>
    <w:rsid w:val="007B3502"/>
    <w:rsid w:val="007B3668"/>
    <w:rsid w:val="007B3746"/>
    <w:rsid w:val="007B3E6D"/>
    <w:rsid w:val="007B44ED"/>
    <w:rsid w:val="007B491A"/>
    <w:rsid w:val="007B5370"/>
    <w:rsid w:val="007B61F5"/>
    <w:rsid w:val="007B63FA"/>
    <w:rsid w:val="007B7496"/>
    <w:rsid w:val="007C0802"/>
    <w:rsid w:val="007C12BE"/>
    <w:rsid w:val="007C2739"/>
    <w:rsid w:val="007C4B0F"/>
    <w:rsid w:val="007C4DAD"/>
    <w:rsid w:val="007C53BF"/>
    <w:rsid w:val="007C5830"/>
    <w:rsid w:val="007C5933"/>
    <w:rsid w:val="007C599E"/>
    <w:rsid w:val="007C5DB8"/>
    <w:rsid w:val="007C5DCE"/>
    <w:rsid w:val="007C6175"/>
    <w:rsid w:val="007C6CA2"/>
    <w:rsid w:val="007D05B2"/>
    <w:rsid w:val="007D05FA"/>
    <w:rsid w:val="007D0723"/>
    <w:rsid w:val="007D0B67"/>
    <w:rsid w:val="007D0C44"/>
    <w:rsid w:val="007D1972"/>
    <w:rsid w:val="007D1F33"/>
    <w:rsid w:val="007D274D"/>
    <w:rsid w:val="007D3307"/>
    <w:rsid w:val="007D4113"/>
    <w:rsid w:val="007D44CE"/>
    <w:rsid w:val="007D54F8"/>
    <w:rsid w:val="007D5607"/>
    <w:rsid w:val="007D5E27"/>
    <w:rsid w:val="007D6F64"/>
    <w:rsid w:val="007E1782"/>
    <w:rsid w:val="007E25AB"/>
    <w:rsid w:val="007E2F41"/>
    <w:rsid w:val="007E37E5"/>
    <w:rsid w:val="007E44FC"/>
    <w:rsid w:val="007E5AC2"/>
    <w:rsid w:val="007E6BE0"/>
    <w:rsid w:val="007E79C5"/>
    <w:rsid w:val="007F0798"/>
    <w:rsid w:val="007F07A8"/>
    <w:rsid w:val="007F20DB"/>
    <w:rsid w:val="007F2845"/>
    <w:rsid w:val="007F2A69"/>
    <w:rsid w:val="007F38A2"/>
    <w:rsid w:val="007F43BC"/>
    <w:rsid w:val="007F4740"/>
    <w:rsid w:val="007F708B"/>
    <w:rsid w:val="007F76AF"/>
    <w:rsid w:val="008006C6"/>
    <w:rsid w:val="0080092A"/>
    <w:rsid w:val="00800C52"/>
    <w:rsid w:val="0080153E"/>
    <w:rsid w:val="008018C8"/>
    <w:rsid w:val="0080263A"/>
    <w:rsid w:val="0080329D"/>
    <w:rsid w:val="008055A9"/>
    <w:rsid w:val="00807331"/>
    <w:rsid w:val="0080742D"/>
    <w:rsid w:val="008100AC"/>
    <w:rsid w:val="00810C05"/>
    <w:rsid w:val="0081151E"/>
    <w:rsid w:val="00811A5F"/>
    <w:rsid w:val="00812498"/>
    <w:rsid w:val="008127E6"/>
    <w:rsid w:val="0081336E"/>
    <w:rsid w:val="00813928"/>
    <w:rsid w:val="00814FA9"/>
    <w:rsid w:val="008152D4"/>
    <w:rsid w:val="008154EC"/>
    <w:rsid w:val="008207FD"/>
    <w:rsid w:val="00820DC7"/>
    <w:rsid w:val="00820FFB"/>
    <w:rsid w:val="00821698"/>
    <w:rsid w:val="008221FE"/>
    <w:rsid w:val="00822BF5"/>
    <w:rsid w:val="0082328E"/>
    <w:rsid w:val="00824894"/>
    <w:rsid w:val="00824FFF"/>
    <w:rsid w:val="00825366"/>
    <w:rsid w:val="008258C0"/>
    <w:rsid w:val="00825A6C"/>
    <w:rsid w:val="00825E84"/>
    <w:rsid w:val="00826C7B"/>
    <w:rsid w:val="00826DD9"/>
    <w:rsid w:val="00826E01"/>
    <w:rsid w:val="008277A8"/>
    <w:rsid w:val="008278B6"/>
    <w:rsid w:val="008307ED"/>
    <w:rsid w:val="00830B3B"/>
    <w:rsid w:val="0083165D"/>
    <w:rsid w:val="0083350F"/>
    <w:rsid w:val="00834358"/>
    <w:rsid w:val="008346BD"/>
    <w:rsid w:val="00834923"/>
    <w:rsid w:val="008359EB"/>
    <w:rsid w:val="008367E7"/>
    <w:rsid w:val="00836B7A"/>
    <w:rsid w:val="00837B90"/>
    <w:rsid w:val="008409AA"/>
    <w:rsid w:val="00840FB8"/>
    <w:rsid w:val="00842E0C"/>
    <w:rsid w:val="00843A7A"/>
    <w:rsid w:val="008447F5"/>
    <w:rsid w:val="008455D4"/>
    <w:rsid w:val="00846292"/>
    <w:rsid w:val="008506E1"/>
    <w:rsid w:val="00850D96"/>
    <w:rsid w:val="008515EE"/>
    <w:rsid w:val="00851A8E"/>
    <w:rsid w:val="00851EC7"/>
    <w:rsid w:val="008528D3"/>
    <w:rsid w:val="0085421F"/>
    <w:rsid w:val="00854553"/>
    <w:rsid w:val="00855B86"/>
    <w:rsid w:val="008561D5"/>
    <w:rsid w:val="00856D47"/>
    <w:rsid w:val="00860874"/>
    <w:rsid w:val="008609A3"/>
    <w:rsid w:val="00862008"/>
    <w:rsid w:val="00862720"/>
    <w:rsid w:val="0086286B"/>
    <w:rsid w:val="008628C8"/>
    <w:rsid w:val="00862B2A"/>
    <w:rsid w:val="008630B9"/>
    <w:rsid w:val="00863690"/>
    <w:rsid w:val="00863F37"/>
    <w:rsid w:val="0086406B"/>
    <w:rsid w:val="00864C8C"/>
    <w:rsid w:val="008659FB"/>
    <w:rsid w:val="0086709D"/>
    <w:rsid w:val="00867651"/>
    <w:rsid w:val="00867B5A"/>
    <w:rsid w:val="00874009"/>
    <w:rsid w:val="00874158"/>
    <w:rsid w:val="008743F3"/>
    <w:rsid w:val="0087444A"/>
    <w:rsid w:val="00875139"/>
    <w:rsid w:val="00875410"/>
    <w:rsid w:val="008757EE"/>
    <w:rsid w:val="00880EDF"/>
    <w:rsid w:val="00881168"/>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B6D"/>
    <w:rsid w:val="00894B58"/>
    <w:rsid w:val="00894FDC"/>
    <w:rsid w:val="008957D3"/>
    <w:rsid w:val="00895E11"/>
    <w:rsid w:val="00896414"/>
    <w:rsid w:val="0089716F"/>
    <w:rsid w:val="00897C71"/>
    <w:rsid w:val="008A0F54"/>
    <w:rsid w:val="008A16F9"/>
    <w:rsid w:val="008A1D3E"/>
    <w:rsid w:val="008A3038"/>
    <w:rsid w:val="008A4B16"/>
    <w:rsid w:val="008A4D63"/>
    <w:rsid w:val="008A4E11"/>
    <w:rsid w:val="008A68D3"/>
    <w:rsid w:val="008A6D62"/>
    <w:rsid w:val="008B13E9"/>
    <w:rsid w:val="008B2257"/>
    <w:rsid w:val="008B2436"/>
    <w:rsid w:val="008B3B51"/>
    <w:rsid w:val="008B4057"/>
    <w:rsid w:val="008B4145"/>
    <w:rsid w:val="008B5071"/>
    <w:rsid w:val="008B5290"/>
    <w:rsid w:val="008B6A40"/>
    <w:rsid w:val="008B72EC"/>
    <w:rsid w:val="008C15D2"/>
    <w:rsid w:val="008C2B08"/>
    <w:rsid w:val="008C2CFD"/>
    <w:rsid w:val="008C3FDC"/>
    <w:rsid w:val="008C47AD"/>
    <w:rsid w:val="008C603A"/>
    <w:rsid w:val="008C6A06"/>
    <w:rsid w:val="008C71C8"/>
    <w:rsid w:val="008C7261"/>
    <w:rsid w:val="008D167D"/>
    <w:rsid w:val="008D3116"/>
    <w:rsid w:val="008D3E55"/>
    <w:rsid w:val="008D492A"/>
    <w:rsid w:val="008D4B58"/>
    <w:rsid w:val="008D4B7F"/>
    <w:rsid w:val="008D4B8A"/>
    <w:rsid w:val="008D5BCE"/>
    <w:rsid w:val="008D6541"/>
    <w:rsid w:val="008D7D7B"/>
    <w:rsid w:val="008E06C2"/>
    <w:rsid w:val="008E0F52"/>
    <w:rsid w:val="008E14CC"/>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25C"/>
    <w:rsid w:val="00901448"/>
    <w:rsid w:val="00902DD1"/>
    <w:rsid w:val="009036BC"/>
    <w:rsid w:val="00903D30"/>
    <w:rsid w:val="00904414"/>
    <w:rsid w:val="00905197"/>
    <w:rsid w:val="00905C47"/>
    <w:rsid w:val="00906379"/>
    <w:rsid w:val="00906A8C"/>
    <w:rsid w:val="009101EA"/>
    <w:rsid w:val="009106FC"/>
    <w:rsid w:val="009108E5"/>
    <w:rsid w:val="00911137"/>
    <w:rsid w:val="00911617"/>
    <w:rsid w:val="009118BB"/>
    <w:rsid w:val="0091191F"/>
    <w:rsid w:val="00911B1D"/>
    <w:rsid w:val="00911E7D"/>
    <w:rsid w:val="009120A9"/>
    <w:rsid w:val="009134C3"/>
    <w:rsid w:val="00915B81"/>
    <w:rsid w:val="00915D6B"/>
    <w:rsid w:val="009160DF"/>
    <w:rsid w:val="009162C7"/>
    <w:rsid w:val="00916EC2"/>
    <w:rsid w:val="009213BD"/>
    <w:rsid w:val="0092272C"/>
    <w:rsid w:val="009230A6"/>
    <w:rsid w:val="009242C7"/>
    <w:rsid w:val="00924627"/>
    <w:rsid w:val="009250A8"/>
    <w:rsid w:val="00925BE6"/>
    <w:rsid w:val="00926697"/>
    <w:rsid w:val="00926F61"/>
    <w:rsid w:val="00926FA9"/>
    <w:rsid w:val="0093123D"/>
    <w:rsid w:val="00933040"/>
    <w:rsid w:val="009330E9"/>
    <w:rsid w:val="00934D97"/>
    <w:rsid w:val="00935D15"/>
    <w:rsid w:val="00936F06"/>
    <w:rsid w:val="009371FD"/>
    <w:rsid w:val="009411FB"/>
    <w:rsid w:val="009414A9"/>
    <w:rsid w:val="00941B71"/>
    <w:rsid w:val="00941DF9"/>
    <w:rsid w:val="009421AD"/>
    <w:rsid w:val="0094221C"/>
    <w:rsid w:val="0094409C"/>
    <w:rsid w:val="00944159"/>
    <w:rsid w:val="009449B2"/>
    <w:rsid w:val="00944A82"/>
    <w:rsid w:val="00944BA5"/>
    <w:rsid w:val="00945C6C"/>
    <w:rsid w:val="00946C4D"/>
    <w:rsid w:val="0094711A"/>
    <w:rsid w:val="0095019A"/>
    <w:rsid w:val="0095285B"/>
    <w:rsid w:val="00953FE9"/>
    <w:rsid w:val="00954417"/>
    <w:rsid w:val="0095481C"/>
    <w:rsid w:val="0095526F"/>
    <w:rsid w:val="00955FC5"/>
    <w:rsid w:val="009567E6"/>
    <w:rsid w:val="00957076"/>
    <w:rsid w:val="00957132"/>
    <w:rsid w:val="009576FD"/>
    <w:rsid w:val="009578EB"/>
    <w:rsid w:val="009578FF"/>
    <w:rsid w:val="00960446"/>
    <w:rsid w:val="009610ED"/>
    <w:rsid w:val="0096147B"/>
    <w:rsid w:val="00961EE9"/>
    <w:rsid w:val="009633BB"/>
    <w:rsid w:val="00963A36"/>
    <w:rsid w:val="009641D6"/>
    <w:rsid w:val="009643DA"/>
    <w:rsid w:val="0096485F"/>
    <w:rsid w:val="00965C40"/>
    <w:rsid w:val="00967354"/>
    <w:rsid w:val="00971592"/>
    <w:rsid w:val="00971617"/>
    <w:rsid w:val="009717F8"/>
    <w:rsid w:val="00971DDF"/>
    <w:rsid w:val="0097225C"/>
    <w:rsid w:val="009731D6"/>
    <w:rsid w:val="00973BF5"/>
    <w:rsid w:val="00973FC6"/>
    <w:rsid w:val="00974746"/>
    <w:rsid w:val="00975119"/>
    <w:rsid w:val="00975426"/>
    <w:rsid w:val="00976309"/>
    <w:rsid w:val="009763ED"/>
    <w:rsid w:val="00976771"/>
    <w:rsid w:val="00976F04"/>
    <w:rsid w:val="009777F2"/>
    <w:rsid w:val="009777F4"/>
    <w:rsid w:val="00977AD8"/>
    <w:rsid w:val="00980A10"/>
    <w:rsid w:val="00981130"/>
    <w:rsid w:val="0098229C"/>
    <w:rsid w:val="0098289D"/>
    <w:rsid w:val="009835E0"/>
    <w:rsid w:val="00983D0E"/>
    <w:rsid w:val="00983D46"/>
    <w:rsid w:val="00983DCA"/>
    <w:rsid w:val="00984A8C"/>
    <w:rsid w:val="00985EF7"/>
    <w:rsid w:val="00986093"/>
    <w:rsid w:val="00986146"/>
    <w:rsid w:val="00986CF9"/>
    <w:rsid w:val="0098727B"/>
    <w:rsid w:val="00987416"/>
    <w:rsid w:val="00990C0E"/>
    <w:rsid w:val="00990D75"/>
    <w:rsid w:val="00991093"/>
    <w:rsid w:val="00991441"/>
    <w:rsid w:val="0099163B"/>
    <w:rsid w:val="00992343"/>
    <w:rsid w:val="0099383D"/>
    <w:rsid w:val="009938B1"/>
    <w:rsid w:val="00996258"/>
    <w:rsid w:val="00996306"/>
    <w:rsid w:val="00996744"/>
    <w:rsid w:val="00996DCD"/>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92E"/>
    <w:rsid w:val="009C0E9B"/>
    <w:rsid w:val="009C126A"/>
    <w:rsid w:val="009C1D4C"/>
    <w:rsid w:val="009C2584"/>
    <w:rsid w:val="009C2DD2"/>
    <w:rsid w:val="009C3982"/>
    <w:rsid w:val="009C441F"/>
    <w:rsid w:val="009C4A07"/>
    <w:rsid w:val="009C4B8E"/>
    <w:rsid w:val="009C51D5"/>
    <w:rsid w:val="009C543C"/>
    <w:rsid w:val="009C599A"/>
    <w:rsid w:val="009C5EFF"/>
    <w:rsid w:val="009C650E"/>
    <w:rsid w:val="009C70DB"/>
    <w:rsid w:val="009C774A"/>
    <w:rsid w:val="009C7A8C"/>
    <w:rsid w:val="009D19BC"/>
    <w:rsid w:val="009D2348"/>
    <w:rsid w:val="009D2EA8"/>
    <w:rsid w:val="009D2F0C"/>
    <w:rsid w:val="009D3306"/>
    <w:rsid w:val="009D3578"/>
    <w:rsid w:val="009D3A5F"/>
    <w:rsid w:val="009D4F88"/>
    <w:rsid w:val="009D5193"/>
    <w:rsid w:val="009D56CB"/>
    <w:rsid w:val="009D5C32"/>
    <w:rsid w:val="009D5C56"/>
    <w:rsid w:val="009D6472"/>
    <w:rsid w:val="009D79F4"/>
    <w:rsid w:val="009D7D19"/>
    <w:rsid w:val="009E011C"/>
    <w:rsid w:val="009E126D"/>
    <w:rsid w:val="009E33D7"/>
    <w:rsid w:val="009E3CD1"/>
    <w:rsid w:val="009E5520"/>
    <w:rsid w:val="009E5AF5"/>
    <w:rsid w:val="009E5EB5"/>
    <w:rsid w:val="009E74F0"/>
    <w:rsid w:val="009E7F23"/>
    <w:rsid w:val="009F0768"/>
    <w:rsid w:val="009F0985"/>
    <w:rsid w:val="009F102A"/>
    <w:rsid w:val="009F151C"/>
    <w:rsid w:val="009F2A19"/>
    <w:rsid w:val="009F514E"/>
    <w:rsid w:val="009F7867"/>
    <w:rsid w:val="009F7D66"/>
    <w:rsid w:val="00A00BD2"/>
    <w:rsid w:val="00A00E56"/>
    <w:rsid w:val="00A027F3"/>
    <w:rsid w:val="00A03978"/>
    <w:rsid w:val="00A03AB1"/>
    <w:rsid w:val="00A048FD"/>
    <w:rsid w:val="00A04D7E"/>
    <w:rsid w:val="00A051D9"/>
    <w:rsid w:val="00A05C72"/>
    <w:rsid w:val="00A05DF3"/>
    <w:rsid w:val="00A07E08"/>
    <w:rsid w:val="00A103D8"/>
    <w:rsid w:val="00A10D79"/>
    <w:rsid w:val="00A11535"/>
    <w:rsid w:val="00A11E56"/>
    <w:rsid w:val="00A11FFC"/>
    <w:rsid w:val="00A12798"/>
    <w:rsid w:val="00A13A09"/>
    <w:rsid w:val="00A153BE"/>
    <w:rsid w:val="00A15DEE"/>
    <w:rsid w:val="00A16462"/>
    <w:rsid w:val="00A1678B"/>
    <w:rsid w:val="00A167B5"/>
    <w:rsid w:val="00A16DBE"/>
    <w:rsid w:val="00A16DE8"/>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758C"/>
    <w:rsid w:val="00A42A85"/>
    <w:rsid w:val="00A42D07"/>
    <w:rsid w:val="00A44B43"/>
    <w:rsid w:val="00A4503E"/>
    <w:rsid w:val="00A450C0"/>
    <w:rsid w:val="00A453FC"/>
    <w:rsid w:val="00A45468"/>
    <w:rsid w:val="00A46EDE"/>
    <w:rsid w:val="00A471A8"/>
    <w:rsid w:val="00A4791B"/>
    <w:rsid w:val="00A50A48"/>
    <w:rsid w:val="00A51180"/>
    <w:rsid w:val="00A51242"/>
    <w:rsid w:val="00A51522"/>
    <w:rsid w:val="00A51573"/>
    <w:rsid w:val="00A51A5E"/>
    <w:rsid w:val="00A522B5"/>
    <w:rsid w:val="00A52895"/>
    <w:rsid w:val="00A52D7D"/>
    <w:rsid w:val="00A539A5"/>
    <w:rsid w:val="00A53DA0"/>
    <w:rsid w:val="00A5404D"/>
    <w:rsid w:val="00A555A7"/>
    <w:rsid w:val="00A5765D"/>
    <w:rsid w:val="00A579BD"/>
    <w:rsid w:val="00A607CB"/>
    <w:rsid w:val="00A60FB5"/>
    <w:rsid w:val="00A61533"/>
    <w:rsid w:val="00A6351F"/>
    <w:rsid w:val="00A63809"/>
    <w:rsid w:val="00A64278"/>
    <w:rsid w:val="00A64A6E"/>
    <w:rsid w:val="00A6519F"/>
    <w:rsid w:val="00A65931"/>
    <w:rsid w:val="00A65A70"/>
    <w:rsid w:val="00A65E0B"/>
    <w:rsid w:val="00A66399"/>
    <w:rsid w:val="00A6665F"/>
    <w:rsid w:val="00A66F36"/>
    <w:rsid w:val="00A676D9"/>
    <w:rsid w:val="00A67EFC"/>
    <w:rsid w:val="00A7031E"/>
    <w:rsid w:val="00A70C78"/>
    <w:rsid w:val="00A71140"/>
    <w:rsid w:val="00A7205E"/>
    <w:rsid w:val="00A74692"/>
    <w:rsid w:val="00A75A52"/>
    <w:rsid w:val="00A75E6F"/>
    <w:rsid w:val="00A7618B"/>
    <w:rsid w:val="00A7640B"/>
    <w:rsid w:val="00A773A8"/>
    <w:rsid w:val="00A7778B"/>
    <w:rsid w:val="00A803BC"/>
    <w:rsid w:val="00A80969"/>
    <w:rsid w:val="00A85798"/>
    <w:rsid w:val="00A85E8D"/>
    <w:rsid w:val="00A8609D"/>
    <w:rsid w:val="00A86769"/>
    <w:rsid w:val="00A86EA7"/>
    <w:rsid w:val="00A91244"/>
    <w:rsid w:val="00A9131F"/>
    <w:rsid w:val="00A91386"/>
    <w:rsid w:val="00A91774"/>
    <w:rsid w:val="00A91C7F"/>
    <w:rsid w:val="00A92066"/>
    <w:rsid w:val="00A92776"/>
    <w:rsid w:val="00A93181"/>
    <w:rsid w:val="00A938E6"/>
    <w:rsid w:val="00A93CCF"/>
    <w:rsid w:val="00A94C94"/>
    <w:rsid w:val="00A94E4E"/>
    <w:rsid w:val="00A95514"/>
    <w:rsid w:val="00A95BD5"/>
    <w:rsid w:val="00A95C53"/>
    <w:rsid w:val="00A96F78"/>
    <w:rsid w:val="00A979E1"/>
    <w:rsid w:val="00AA0B9E"/>
    <w:rsid w:val="00AA1087"/>
    <w:rsid w:val="00AA161A"/>
    <w:rsid w:val="00AA1805"/>
    <w:rsid w:val="00AA1A5E"/>
    <w:rsid w:val="00AA1DE6"/>
    <w:rsid w:val="00AA22E4"/>
    <w:rsid w:val="00AA247C"/>
    <w:rsid w:val="00AA25A9"/>
    <w:rsid w:val="00AA26D9"/>
    <w:rsid w:val="00AA278A"/>
    <w:rsid w:val="00AA27D3"/>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632"/>
    <w:rsid w:val="00AB3A15"/>
    <w:rsid w:val="00AB4ECC"/>
    <w:rsid w:val="00AB4F0F"/>
    <w:rsid w:val="00AB53E3"/>
    <w:rsid w:val="00AB60E2"/>
    <w:rsid w:val="00AB6601"/>
    <w:rsid w:val="00AB674E"/>
    <w:rsid w:val="00AB6D79"/>
    <w:rsid w:val="00AB709E"/>
    <w:rsid w:val="00AB7806"/>
    <w:rsid w:val="00AB788E"/>
    <w:rsid w:val="00AB7930"/>
    <w:rsid w:val="00AC02C1"/>
    <w:rsid w:val="00AC0AB6"/>
    <w:rsid w:val="00AC10AD"/>
    <w:rsid w:val="00AC1E55"/>
    <w:rsid w:val="00AC3D06"/>
    <w:rsid w:val="00AC429F"/>
    <w:rsid w:val="00AC4F63"/>
    <w:rsid w:val="00AC60B4"/>
    <w:rsid w:val="00AC67B6"/>
    <w:rsid w:val="00AC6BB8"/>
    <w:rsid w:val="00AC7D98"/>
    <w:rsid w:val="00AD00C5"/>
    <w:rsid w:val="00AD0190"/>
    <w:rsid w:val="00AD165F"/>
    <w:rsid w:val="00AD2794"/>
    <w:rsid w:val="00AD2DC5"/>
    <w:rsid w:val="00AD3455"/>
    <w:rsid w:val="00AD3CAD"/>
    <w:rsid w:val="00AD5A99"/>
    <w:rsid w:val="00AD69FF"/>
    <w:rsid w:val="00AD702B"/>
    <w:rsid w:val="00AD72E6"/>
    <w:rsid w:val="00AD7733"/>
    <w:rsid w:val="00AD7C95"/>
    <w:rsid w:val="00AD7FCD"/>
    <w:rsid w:val="00AE1667"/>
    <w:rsid w:val="00AE2BED"/>
    <w:rsid w:val="00AE3DE1"/>
    <w:rsid w:val="00AE5439"/>
    <w:rsid w:val="00AE61B2"/>
    <w:rsid w:val="00AE78D1"/>
    <w:rsid w:val="00AE7F89"/>
    <w:rsid w:val="00AF0195"/>
    <w:rsid w:val="00AF2D54"/>
    <w:rsid w:val="00AF3458"/>
    <w:rsid w:val="00AF3F7B"/>
    <w:rsid w:val="00AF42B4"/>
    <w:rsid w:val="00AF4B8A"/>
    <w:rsid w:val="00AF4F1B"/>
    <w:rsid w:val="00AF5EC6"/>
    <w:rsid w:val="00AF6C38"/>
    <w:rsid w:val="00AF6E8A"/>
    <w:rsid w:val="00AF7213"/>
    <w:rsid w:val="00AF7771"/>
    <w:rsid w:val="00AF7A39"/>
    <w:rsid w:val="00AF7D92"/>
    <w:rsid w:val="00B0042C"/>
    <w:rsid w:val="00B011CC"/>
    <w:rsid w:val="00B025C6"/>
    <w:rsid w:val="00B04048"/>
    <w:rsid w:val="00B04F3D"/>
    <w:rsid w:val="00B05702"/>
    <w:rsid w:val="00B06DD9"/>
    <w:rsid w:val="00B07CD6"/>
    <w:rsid w:val="00B07E52"/>
    <w:rsid w:val="00B10010"/>
    <w:rsid w:val="00B1021C"/>
    <w:rsid w:val="00B10E31"/>
    <w:rsid w:val="00B1171E"/>
    <w:rsid w:val="00B11775"/>
    <w:rsid w:val="00B12F75"/>
    <w:rsid w:val="00B1302D"/>
    <w:rsid w:val="00B14A79"/>
    <w:rsid w:val="00B1513F"/>
    <w:rsid w:val="00B15B89"/>
    <w:rsid w:val="00B1746F"/>
    <w:rsid w:val="00B20725"/>
    <w:rsid w:val="00B2087E"/>
    <w:rsid w:val="00B20B11"/>
    <w:rsid w:val="00B20B94"/>
    <w:rsid w:val="00B22929"/>
    <w:rsid w:val="00B248D0"/>
    <w:rsid w:val="00B2628E"/>
    <w:rsid w:val="00B266B0"/>
    <w:rsid w:val="00B27921"/>
    <w:rsid w:val="00B3000E"/>
    <w:rsid w:val="00B3094B"/>
    <w:rsid w:val="00B31AFC"/>
    <w:rsid w:val="00B326A8"/>
    <w:rsid w:val="00B3291A"/>
    <w:rsid w:val="00B329EB"/>
    <w:rsid w:val="00B32FCD"/>
    <w:rsid w:val="00B33508"/>
    <w:rsid w:val="00B3377E"/>
    <w:rsid w:val="00B33A1C"/>
    <w:rsid w:val="00B34E63"/>
    <w:rsid w:val="00B35DA4"/>
    <w:rsid w:val="00B40A96"/>
    <w:rsid w:val="00B4184B"/>
    <w:rsid w:val="00B422A7"/>
    <w:rsid w:val="00B42A32"/>
    <w:rsid w:val="00B42FA6"/>
    <w:rsid w:val="00B4399E"/>
    <w:rsid w:val="00B43A16"/>
    <w:rsid w:val="00B44A95"/>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67BA7"/>
    <w:rsid w:val="00B67C8A"/>
    <w:rsid w:val="00B701FE"/>
    <w:rsid w:val="00B71549"/>
    <w:rsid w:val="00B721CD"/>
    <w:rsid w:val="00B7267A"/>
    <w:rsid w:val="00B726FF"/>
    <w:rsid w:val="00B72A5B"/>
    <w:rsid w:val="00B72AA4"/>
    <w:rsid w:val="00B747B1"/>
    <w:rsid w:val="00B75454"/>
    <w:rsid w:val="00B76BCD"/>
    <w:rsid w:val="00B76EE9"/>
    <w:rsid w:val="00B76FCD"/>
    <w:rsid w:val="00B77231"/>
    <w:rsid w:val="00B77880"/>
    <w:rsid w:val="00B77B84"/>
    <w:rsid w:val="00B80D90"/>
    <w:rsid w:val="00B82486"/>
    <w:rsid w:val="00B82613"/>
    <w:rsid w:val="00B828B5"/>
    <w:rsid w:val="00B82ED8"/>
    <w:rsid w:val="00B83E1B"/>
    <w:rsid w:val="00B845D0"/>
    <w:rsid w:val="00B84A80"/>
    <w:rsid w:val="00B84E9C"/>
    <w:rsid w:val="00B853C4"/>
    <w:rsid w:val="00B85522"/>
    <w:rsid w:val="00B90E2A"/>
    <w:rsid w:val="00B90F2A"/>
    <w:rsid w:val="00B9198D"/>
    <w:rsid w:val="00B92D25"/>
    <w:rsid w:val="00B93008"/>
    <w:rsid w:val="00B9406D"/>
    <w:rsid w:val="00B9459D"/>
    <w:rsid w:val="00B94BA7"/>
    <w:rsid w:val="00B94E0E"/>
    <w:rsid w:val="00B96413"/>
    <w:rsid w:val="00B97CA3"/>
    <w:rsid w:val="00BA1104"/>
    <w:rsid w:val="00BA1872"/>
    <w:rsid w:val="00BA1913"/>
    <w:rsid w:val="00BA1A45"/>
    <w:rsid w:val="00BA1FFC"/>
    <w:rsid w:val="00BA2BC9"/>
    <w:rsid w:val="00BA4641"/>
    <w:rsid w:val="00BA4A54"/>
    <w:rsid w:val="00BA5E3B"/>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26D6"/>
    <w:rsid w:val="00BC290B"/>
    <w:rsid w:val="00BC3257"/>
    <w:rsid w:val="00BC32E7"/>
    <w:rsid w:val="00BC4F81"/>
    <w:rsid w:val="00BC5670"/>
    <w:rsid w:val="00BC58B9"/>
    <w:rsid w:val="00BD00A6"/>
    <w:rsid w:val="00BD2F13"/>
    <w:rsid w:val="00BD3056"/>
    <w:rsid w:val="00BD3846"/>
    <w:rsid w:val="00BD3E68"/>
    <w:rsid w:val="00BD4E05"/>
    <w:rsid w:val="00BD598A"/>
    <w:rsid w:val="00BD5C7A"/>
    <w:rsid w:val="00BD698F"/>
    <w:rsid w:val="00BD723F"/>
    <w:rsid w:val="00BD75B4"/>
    <w:rsid w:val="00BD7D14"/>
    <w:rsid w:val="00BE02B4"/>
    <w:rsid w:val="00BE28C1"/>
    <w:rsid w:val="00BE3492"/>
    <w:rsid w:val="00BE3B62"/>
    <w:rsid w:val="00BE4EC9"/>
    <w:rsid w:val="00BE5053"/>
    <w:rsid w:val="00BE631E"/>
    <w:rsid w:val="00BE6BEC"/>
    <w:rsid w:val="00BF0CCF"/>
    <w:rsid w:val="00BF0FC5"/>
    <w:rsid w:val="00BF10BC"/>
    <w:rsid w:val="00BF21AC"/>
    <w:rsid w:val="00BF2E53"/>
    <w:rsid w:val="00BF352A"/>
    <w:rsid w:val="00BF3669"/>
    <w:rsid w:val="00BF3C0D"/>
    <w:rsid w:val="00BF4BC7"/>
    <w:rsid w:val="00BF56CF"/>
    <w:rsid w:val="00BF6252"/>
    <w:rsid w:val="00BF711C"/>
    <w:rsid w:val="00BF748E"/>
    <w:rsid w:val="00BF789B"/>
    <w:rsid w:val="00BF79B5"/>
    <w:rsid w:val="00C03309"/>
    <w:rsid w:val="00C037E0"/>
    <w:rsid w:val="00C072FE"/>
    <w:rsid w:val="00C11ADE"/>
    <w:rsid w:val="00C126E0"/>
    <w:rsid w:val="00C128BC"/>
    <w:rsid w:val="00C12E39"/>
    <w:rsid w:val="00C13D47"/>
    <w:rsid w:val="00C14164"/>
    <w:rsid w:val="00C14C53"/>
    <w:rsid w:val="00C15D8E"/>
    <w:rsid w:val="00C168F2"/>
    <w:rsid w:val="00C16B11"/>
    <w:rsid w:val="00C17012"/>
    <w:rsid w:val="00C178FB"/>
    <w:rsid w:val="00C17DF9"/>
    <w:rsid w:val="00C201EB"/>
    <w:rsid w:val="00C20ACC"/>
    <w:rsid w:val="00C22B28"/>
    <w:rsid w:val="00C23D92"/>
    <w:rsid w:val="00C257B7"/>
    <w:rsid w:val="00C272E8"/>
    <w:rsid w:val="00C301A9"/>
    <w:rsid w:val="00C30ABC"/>
    <w:rsid w:val="00C30B60"/>
    <w:rsid w:val="00C31053"/>
    <w:rsid w:val="00C31FAA"/>
    <w:rsid w:val="00C33359"/>
    <w:rsid w:val="00C348D6"/>
    <w:rsid w:val="00C3504C"/>
    <w:rsid w:val="00C35FC3"/>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97"/>
    <w:rsid w:val="00C54F35"/>
    <w:rsid w:val="00C55566"/>
    <w:rsid w:val="00C55B3D"/>
    <w:rsid w:val="00C57A01"/>
    <w:rsid w:val="00C57A2D"/>
    <w:rsid w:val="00C60B07"/>
    <w:rsid w:val="00C61D4B"/>
    <w:rsid w:val="00C62B0A"/>
    <w:rsid w:val="00C63C52"/>
    <w:rsid w:val="00C63F08"/>
    <w:rsid w:val="00C642BA"/>
    <w:rsid w:val="00C6528C"/>
    <w:rsid w:val="00C661E8"/>
    <w:rsid w:val="00C70084"/>
    <w:rsid w:val="00C7090B"/>
    <w:rsid w:val="00C7235B"/>
    <w:rsid w:val="00C72E18"/>
    <w:rsid w:val="00C731AD"/>
    <w:rsid w:val="00C7380B"/>
    <w:rsid w:val="00C74421"/>
    <w:rsid w:val="00C74702"/>
    <w:rsid w:val="00C75F2F"/>
    <w:rsid w:val="00C75FEE"/>
    <w:rsid w:val="00C76F1D"/>
    <w:rsid w:val="00C77937"/>
    <w:rsid w:val="00C77CA4"/>
    <w:rsid w:val="00C77D26"/>
    <w:rsid w:val="00C80BDF"/>
    <w:rsid w:val="00C81577"/>
    <w:rsid w:val="00C815DF"/>
    <w:rsid w:val="00C81819"/>
    <w:rsid w:val="00C82FEE"/>
    <w:rsid w:val="00C84D39"/>
    <w:rsid w:val="00C85277"/>
    <w:rsid w:val="00C85806"/>
    <w:rsid w:val="00C85844"/>
    <w:rsid w:val="00C85D76"/>
    <w:rsid w:val="00C873AC"/>
    <w:rsid w:val="00C87DA6"/>
    <w:rsid w:val="00C91857"/>
    <w:rsid w:val="00C9213B"/>
    <w:rsid w:val="00C93462"/>
    <w:rsid w:val="00C93985"/>
    <w:rsid w:val="00C94384"/>
    <w:rsid w:val="00C94A34"/>
    <w:rsid w:val="00C94C2B"/>
    <w:rsid w:val="00C94F73"/>
    <w:rsid w:val="00C951DD"/>
    <w:rsid w:val="00C95609"/>
    <w:rsid w:val="00C96F79"/>
    <w:rsid w:val="00C97CF9"/>
    <w:rsid w:val="00CA10BF"/>
    <w:rsid w:val="00CA17DD"/>
    <w:rsid w:val="00CA1863"/>
    <w:rsid w:val="00CA1941"/>
    <w:rsid w:val="00CA26CE"/>
    <w:rsid w:val="00CA391D"/>
    <w:rsid w:val="00CA3ACD"/>
    <w:rsid w:val="00CA4F8B"/>
    <w:rsid w:val="00CA5445"/>
    <w:rsid w:val="00CB0007"/>
    <w:rsid w:val="00CB0080"/>
    <w:rsid w:val="00CB09DA"/>
    <w:rsid w:val="00CB0BD9"/>
    <w:rsid w:val="00CB1CAC"/>
    <w:rsid w:val="00CB1DE8"/>
    <w:rsid w:val="00CB1E3B"/>
    <w:rsid w:val="00CB1F1D"/>
    <w:rsid w:val="00CB3CB5"/>
    <w:rsid w:val="00CB500E"/>
    <w:rsid w:val="00CB6706"/>
    <w:rsid w:val="00CB6795"/>
    <w:rsid w:val="00CB71F8"/>
    <w:rsid w:val="00CC180A"/>
    <w:rsid w:val="00CC26DB"/>
    <w:rsid w:val="00CC300C"/>
    <w:rsid w:val="00CC3406"/>
    <w:rsid w:val="00CC35AE"/>
    <w:rsid w:val="00CC3DAA"/>
    <w:rsid w:val="00CC4C2C"/>
    <w:rsid w:val="00CC5057"/>
    <w:rsid w:val="00CC5BBC"/>
    <w:rsid w:val="00CC6EBD"/>
    <w:rsid w:val="00CC7A1C"/>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1BB0"/>
    <w:rsid w:val="00CF2483"/>
    <w:rsid w:val="00CF24E2"/>
    <w:rsid w:val="00CF2EF9"/>
    <w:rsid w:val="00CF32B9"/>
    <w:rsid w:val="00CF393D"/>
    <w:rsid w:val="00CF41C7"/>
    <w:rsid w:val="00CF425C"/>
    <w:rsid w:val="00CF47CE"/>
    <w:rsid w:val="00CF4ABD"/>
    <w:rsid w:val="00CF4B2C"/>
    <w:rsid w:val="00CF4CF2"/>
    <w:rsid w:val="00CF5A53"/>
    <w:rsid w:val="00CF5D28"/>
    <w:rsid w:val="00CF5F2B"/>
    <w:rsid w:val="00CF68B8"/>
    <w:rsid w:val="00CF6EAD"/>
    <w:rsid w:val="00CF6F1E"/>
    <w:rsid w:val="00CF7623"/>
    <w:rsid w:val="00D001F9"/>
    <w:rsid w:val="00D0036E"/>
    <w:rsid w:val="00D00BB7"/>
    <w:rsid w:val="00D00F42"/>
    <w:rsid w:val="00D01EAD"/>
    <w:rsid w:val="00D035B9"/>
    <w:rsid w:val="00D040B7"/>
    <w:rsid w:val="00D044CB"/>
    <w:rsid w:val="00D05848"/>
    <w:rsid w:val="00D060FF"/>
    <w:rsid w:val="00D064E8"/>
    <w:rsid w:val="00D06546"/>
    <w:rsid w:val="00D06572"/>
    <w:rsid w:val="00D065CD"/>
    <w:rsid w:val="00D0724B"/>
    <w:rsid w:val="00D07463"/>
    <w:rsid w:val="00D12325"/>
    <w:rsid w:val="00D12761"/>
    <w:rsid w:val="00D130A1"/>
    <w:rsid w:val="00D13D75"/>
    <w:rsid w:val="00D14487"/>
    <w:rsid w:val="00D150F3"/>
    <w:rsid w:val="00D15B3C"/>
    <w:rsid w:val="00D15E7E"/>
    <w:rsid w:val="00D16058"/>
    <w:rsid w:val="00D16FDD"/>
    <w:rsid w:val="00D20016"/>
    <w:rsid w:val="00D207A7"/>
    <w:rsid w:val="00D2279F"/>
    <w:rsid w:val="00D22AF1"/>
    <w:rsid w:val="00D22E93"/>
    <w:rsid w:val="00D234A9"/>
    <w:rsid w:val="00D242DA"/>
    <w:rsid w:val="00D247EC"/>
    <w:rsid w:val="00D25676"/>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C4C"/>
    <w:rsid w:val="00D4081B"/>
    <w:rsid w:val="00D40CA2"/>
    <w:rsid w:val="00D40E1A"/>
    <w:rsid w:val="00D413C3"/>
    <w:rsid w:val="00D41772"/>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EDE"/>
    <w:rsid w:val="00D56B5F"/>
    <w:rsid w:val="00D57A3F"/>
    <w:rsid w:val="00D57AF0"/>
    <w:rsid w:val="00D604DE"/>
    <w:rsid w:val="00D61815"/>
    <w:rsid w:val="00D62291"/>
    <w:rsid w:val="00D627E3"/>
    <w:rsid w:val="00D62EC2"/>
    <w:rsid w:val="00D62ECD"/>
    <w:rsid w:val="00D63891"/>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0F6"/>
    <w:rsid w:val="00D758B3"/>
    <w:rsid w:val="00D76ADC"/>
    <w:rsid w:val="00D76EEF"/>
    <w:rsid w:val="00D77413"/>
    <w:rsid w:val="00D80B04"/>
    <w:rsid w:val="00D81F10"/>
    <w:rsid w:val="00D82798"/>
    <w:rsid w:val="00D82BF2"/>
    <w:rsid w:val="00D83C98"/>
    <w:rsid w:val="00D844D9"/>
    <w:rsid w:val="00D84A57"/>
    <w:rsid w:val="00D86232"/>
    <w:rsid w:val="00D87307"/>
    <w:rsid w:val="00D874DF"/>
    <w:rsid w:val="00D875F0"/>
    <w:rsid w:val="00D87A12"/>
    <w:rsid w:val="00D87EE2"/>
    <w:rsid w:val="00D930E1"/>
    <w:rsid w:val="00D9354D"/>
    <w:rsid w:val="00D9415C"/>
    <w:rsid w:val="00D942CC"/>
    <w:rsid w:val="00D944E4"/>
    <w:rsid w:val="00D94D87"/>
    <w:rsid w:val="00D95B31"/>
    <w:rsid w:val="00D95DCC"/>
    <w:rsid w:val="00D962DC"/>
    <w:rsid w:val="00DA0EA7"/>
    <w:rsid w:val="00DA180C"/>
    <w:rsid w:val="00DA18A2"/>
    <w:rsid w:val="00DA2114"/>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7DE"/>
    <w:rsid w:val="00DB1DAB"/>
    <w:rsid w:val="00DB39D4"/>
    <w:rsid w:val="00DB3A47"/>
    <w:rsid w:val="00DB46D0"/>
    <w:rsid w:val="00DB46DF"/>
    <w:rsid w:val="00DB49B6"/>
    <w:rsid w:val="00DB4E06"/>
    <w:rsid w:val="00DB5228"/>
    <w:rsid w:val="00DB5C0C"/>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37E9"/>
    <w:rsid w:val="00DD55E0"/>
    <w:rsid w:val="00DD7E3B"/>
    <w:rsid w:val="00DD7FE5"/>
    <w:rsid w:val="00DE18A3"/>
    <w:rsid w:val="00DE1904"/>
    <w:rsid w:val="00DE1DAA"/>
    <w:rsid w:val="00DE3181"/>
    <w:rsid w:val="00DE3DBB"/>
    <w:rsid w:val="00DE43A2"/>
    <w:rsid w:val="00DE4A74"/>
    <w:rsid w:val="00DE4B05"/>
    <w:rsid w:val="00DE4EE9"/>
    <w:rsid w:val="00DE541C"/>
    <w:rsid w:val="00DE737B"/>
    <w:rsid w:val="00DF02C1"/>
    <w:rsid w:val="00DF100B"/>
    <w:rsid w:val="00DF11B7"/>
    <w:rsid w:val="00DF4359"/>
    <w:rsid w:val="00DF73C1"/>
    <w:rsid w:val="00DF7511"/>
    <w:rsid w:val="00DF7751"/>
    <w:rsid w:val="00E009B1"/>
    <w:rsid w:val="00E00BC3"/>
    <w:rsid w:val="00E011D7"/>
    <w:rsid w:val="00E03070"/>
    <w:rsid w:val="00E031BB"/>
    <w:rsid w:val="00E0417B"/>
    <w:rsid w:val="00E0576C"/>
    <w:rsid w:val="00E068BC"/>
    <w:rsid w:val="00E073F0"/>
    <w:rsid w:val="00E10761"/>
    <w:rsid w:val="00E11D7A"/>
    <w:rsid w:val="00E11EEB"/>
    <w:rsid w:val="00E128F2"/>
    <w:rsid w:val="00E12B62"/>
    <w:rsid w:val="00E13E5A"/>
    <w:rsid w:val="00E13EE4"/>
    <w:rsid w:val="00E16463"/>
    <w:rsid w:val="00E16897"/>
    <w:rsid w:val="00E168CA"/>
    <w:rsid w:val="00E16F82"/>
    <w:rsid w:val="00E1778F"/>
    <w:rsid w:val="00E17F6F"/>
    <w:rsid w:val="00E20B20"/>
    <w:rsid w:val="00E239D1"/>
    <w:rsid w:val="00E23DAD"/>
    <w:rsid w:val="00E246B9"/>
    <w:rsid w:val="00E250C5"/>
    <w:rsid w:val="00E25B6D"/>
    <w:rsid w:val="00E26727"/>
    <w:rsid w:val="00E26970"/>
    <w:rsid w:val="00E2728F"/>
    <w:rsid w:val="00E27791"/>
    <w:rsid w:val="00E30F2D"/>
    <w:rsid w:val="00E319DB"/>
    <w:rsid w:val="00E31AFC"/>
    <w:rsid w:val="00E3250F"/>
    <w:rsid w:val="00E338D6"/>
    <w:rsid w:val="00E3409E"/>
    <w:rsid w:val="00E34F76"/>
    <w:rsid w:val="00E35BC0"/>
    <w:rsid w:val="00E37BE5"/>
    <w:rsid w:val="00E41A27"/>
    <w:rsid w:val="00E41AB4"/>
    <w:rsid w:val="00E42737"/>
    <w:rsid w:val="00E42D0D"/>
    <w:rsid w:val="00E44906"/>
    <w:rsid w:val="00E45C77"/>
    <w:rsid w:val="00E4608B"/>
    <w:rsid w:val="00E46D7F"/>
    <w:rsid w:val="00E501D3"/>
    <w:rsid w:val="00E527E5"/>
    <w:rsid w:val="00E53A01"/>
    <w:rsid w:val="00E54CB5"/>
    <w:rsid w:val="00E54CCB"/>
    <w:rsid w:val="00E56412"/>
    <w:rsid w:val="00E564C4"/>
    <w:rsid w:val="00E567C9"/>
    <w:rsid w:val="00E57E1A"/>
    <w:rsid w:val="00E604C4"/>
    <w:rsid w:val="00E60809"/>
    <w:rsid w:val="00E61300"/>
    <w:rsid w:val="00E618C0"/>
    <w:rsid w:val="00E635B9"/>
    <w:rsid w:val="00E65D15"/>
    <w:rsid w:val="00E66CD8"/>
    <w:rsid w:val="00E6706F"/>
    <w:rsid w:val="00E67802"/>
    <w:rsid w:val="00E67EE5"/>
    <w:rsid w:val="00E7013A"/>
    <w:rsid w:val="00E70E9E"/>
    <w:rsid w:val="00E72C6B"/>
    <w:rsid w:val="00E73AB7"/>
    <w:rsid w:val="00E74F5D"/>
    <w:rsid w:val="00E76034"/>
    <w:rsid w:val="00E761DA"/>
    <w:rsid w:val="00E80440"/>
    <w:rsid w:val="00E817E0"/>
    <w:rsid w:val="00E82EE4"/>
    <w:rsid w:val="00E831E7"/>
    <w:rsid w:val="00E83CB1"/>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8B6"/>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A02"/>
    <w:rsid w:val="00EC5F2F"/>
    <w:rsid w:val="00EC651E"/>
    <w:rsid w:val="00EC65E5"/>
    <w:rsid w:val="00EC692E"/>
    <w:rsid w:val="00EC745E"/>
    <w:rsid w:val="00EC775C"/>
    <w:rsid w:val="00EC7EAF"/>
    <w:rsid w:val="00ED000A"/>
    <w:rsid w:val="00ED1327"/>
    <w:rsid w:val="00ED27C3"/>
    <w:rsid w:val="00ED2AE2"/>
    <w:rsid w:val="00ED2C5A"/>
    <w:rsid w:val="00ED33AE"/>
    <w:rsid w:val="00ED3775"/>
    <w:rsid w:val="00ED4A6D"/>
    <w:rsid w:val="00ED4FB8"/>
    <w:rsid w:val="00ED6D4A"/>
    <w:rsid w:val="00ED721A"/>
    <w:rsid w:val="00ED738C"/>
    <w:rsid w:val="00ED7918"/>
    <w:rsid w:val="00ED7FD3"/>
    <w:rsid w:val="00EE0E5D"/>
    <w:rsid w:val="00EE11C2"/>
    <w:rsid w:val="00EE20F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5D"/>
    <w:rsid w:val="00EF2E6B"/>
    <w:rsid w:val="00EF3F22"/>
    <w:rsid w:val="00EF54D1"/>
    <w:rsid w:val="00EF67BB"/>
    <w:rsid w:val="00EF72F9"/>
    <w:rsid w:val="00EF7C44"/>
    <w:rsid w:val="00F0021E"/>
    <w:rsid w:val="00F0030E"/>
    <w:rsid w:val="00F00CD1"/>
    <w:rsid w:val="00F01E6B"/>
    <w:rsid w:val="00F0241C"/>
    <w:rsid w:val="00F031EE"/>
    <w:rsid w:val="00F05759"/>
    <w:rsid w:val="00F064EC"/>
    <w:rsid w:val="00F07F39"/>
    <w:rsid w:val="00F10CB9"/>
    <w:rsid w:val="00F110CD"/>
    <w:rsid w:val="00F110D5"/>
    <w:rsid w:val="00F12351"/>
    <w:rsid w:val="00F14EE0"/>
    <w:rsid w:val="00F15193"/>
    <w:rsid w:val="00F16529"/>
    <w:rsid w:val="00F16739"/>
    <w:rsid w:val="00F16D7F"/>
    <w:rsid w:val="00F16DE2"/>
    <w:rsid w:val="00F20062"/>
    <w:rsid w:val="00F2052B"/>
    <w:rsid w:val="00F22183"/>
    <w:rsid w:val="00F2260F"/>
    <w:rsid w:val="00F242AD"/>
    <w:rsid w:val="00F247F2"/>
    <w:rsid w:val="00F2518F"/>
    <w:rsid w:val="00F252A8"/>
    <w:rsid w:val="00F255D9"/>
    <w:rsid w:val="00F265F7"/>
    <w:rsid w:val="00F27E20"/>
    <w:rsid w:val="00F27FA6"/>
    <w:rsid w:val="00F33DC8"/>
    <w:rsid w:val="00F34444"/>
    <w:rsid w:val="00F378F1"/>
    <w:rsid w:val="00F403A1"/>
    <w:rsid w:val="00F403DB"/>
    <w:rsid w:val="00F4065A"/>
    <w:rsid w:val="00F4150B"/>
    <w:rsid w:val="00F4275C"/>
    <w:rsid w:val="00F434B2"/>
    <w:rsid w:val="00F45693"/>
    <w:rsid w:val="00F4729E"/>
    <w:rsid w:val="00F47EB5"/>
    <w:rsid w:val="00F52339"/>
    <w:rsid w:val="00F5277A"/>
    <w:rsid w:val="00F532E8"/>
    <w:rsid w:val="00F537FF"/>
    <w:rsid w:val="00F54995"/>
    <w:rsid w:val="00F54E36"/>
    <w:rsid w:val="00F560FE"/>
    <w:rsid w:val="00F60699"/>
    <w:rsid w:val="00F60CD6"/>
    <w:rsid w:val="00F6111C"/>
    <w:rsid w:val="00F614C0"/>
    <w:rsid w:val="00F61647"/>
    <w:rsid w:val="00F63A4C"/>
    <w:rsid w:val="00F63E08"/>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E08"/>
    <w:rsid w:val="00F913DC"/>
    <w:rsid w:val="00F91DDA"/>
    <w:rsid w:val="00F92238"/>
    <w:rsid w:val="00F9397A"/>
    <w:rsid w:val="00F93A37"/>
    <w:rsid w:val="00F94182"/>
    <w:rsid w:val="00F9431F"/>
    <w:rsid w:val="00F944D9"/>
    <w:rsid w:val="00F94DB3"/>
    <w:rsid w:val="00F96500"/>
    <w:rsid w:val="00F9675E"/>
    <w:rsid w:val="00FA04C8"/>
    <w:rsid w:val="00FA2C35"/>
    <w:rsid w:val="00FA2DD7"/>
    <w:rsid w:val="00FA31E7"/>
    <w:rsid w:val="00FA413A"/>
    <w:rsid w:val="00FA4144"/>
    <w:rsid w:val="00FA46C8"/>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026F"/>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6C2"/>
    <w:rsid w:val="00FE2398"/>
    <w:rsid w:val="00FE515A"/>
    <w:rsid w:val="00FE5421"/>
    <w:rsid w:val="00FE5624"/>
    <w:rsid w:val="00FE5D2C"/>
    <w:rsid w:val="00FE5FBF"/>
    <w:rsid w:val="00FE6C25"/>
    <w:rsid w:val="00FE7DAE"/>
    <w:rsid w:val="00FF033A"/>
    <w:rsid w:val="00FF0964"/>
    <w:rsid w:val="00FF0F67"/>
    <w:rsid w:val="00FF16F2"/>
    <w:rsid w:val="00FF1F9B"/>
    <w:rsid w:val="00FF2B42"/>
    <w:rsid w:val="00FF2D5B"/>
    <w:rsid w:val="00FF3B7F"/>
    <w:rsid w:val="00FF4F92"/>
    <w:rsid w:val="00FF54EB"/>
    <w:rsid w:val="00FF5B8C"/>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7BE830C-01B4-4D22-8443-CB335B37D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262BEB"/>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62BEB"/>
  </w:style>
  <w:style w:type="character" w:customStyle="1" w:styleId="eop">
    <w:name w:val="eop"/>
    <w:basedOn w:val="DefaultParagraphFont"/>
    <w:rsid w:val="00262BEB"/>
  </w:style>
  <w:style w:type="character" w:customStyle="1" w:styleId="tabchar">
    <w:name w:val="tabchar"/>
    <w:basedOn w:val="DefaultParagraphFont"/>
    <w:rsid w:val="00320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3183291">
      <w:bodyDiv w:val="1"/>
      <w:marLeft w:val="0"/>
      <w:marRight w:val="0"/>
      <w:marTop w:val="0"/>
      <w:marBottom w:val="0"/>
      <w:divBdr>
        <w:top w:val="none" w:sz="0" w:space="0" w:color="auto"/>
        <w:left w:val="none" w:sz="0" w:space="0" w:color="auto"/>
        <w:bottom w:val="none" w:sz="0" w:space="0" w:color="auto"/>
        <w:right w:val="none" w:sz="0" w:space="0" w:color="auto"/>
      </w:divBdr>
      <w:divsChild>
        <w:div w:id="83958983">
          <w:marLeft w:val="1166"/>
          <w:marRight w:val="0"/>
          <w:marTop w:val="0"/>
          <w:marBottom w:val="0"/>
          <w:divBdr>
            <w:top w:val="none" w:sz="0" w:space="0" w:color="auto"/>
            <w:left w:val="none" w:sz="0" w:space="0" w:color="auto"/>
            <w:bottom w:val="none" w:sz="0" w:space="0" w:color="auto"/>
            <w:right w:val="none" w:sz="0" w:space="0" w:color="auto"/>
          </w:divBdr>
        </w:div>
        <w:div w:id="115417469">
          <w:marLeft w:val="533"/>
          <w:marRight w:val="0"/>
          <w:marTop w:val="0"/>
          <w:marBottom w:val="0"/>
          <w:divBdr>
            <w:top w:val="none" w:sz="0" w:space="0" w:color="auto"/>
            <w:left w:val="none" w:sz="0" w:space="0" w:color="auto"/>
            <w:bottom w:val="none" w:sz="0" w:space="0" w:color="auto"/>
            <w:right w:val="none" w:sz="0" w:space="0" w:color="auto"/>
          </w:divBdr>
        </w:div>
        <w:div w:id="507406529">
          <w:marLeft w:val="533"/>
          <w:marRight w:val="0"/>
          <w:marTop w:val="0"/>
          <w:marBottom w:val="0"/>
          <w:divBdr>
            <w:top w:val="none" w:sz="0" w:space="0" w:color="auto"/>
            <w:left w:val="none" w:sz="0" w:space="0" w:color="auto"/>
            <w:bottom w:val="none" w:sz="0" w:space="0" w:color="auto"/>
            <w:right w:val="none" w:sz="0" w:space="0" w:color="auto"/>
          </w:divBdr>
        </w:div>
        <w:div w:id="510878602">
          <w:marLeft w:val="533"/>
          <w:marRight w:val="0"/>
          <w:marTop w:val="0"/>
          <w:marBottom w:val="0"/>
          <w:divBdr>
            <w:top w:val="none" w:sz="0" w:space="0" w:color="auto"/>
            <w:left w:val="none" w:sz="0" w:space="0" w:color="auto"/>
            <w:bottom w:val="none" w:sz="0" w:space="0" w:color="auto"/>
            <w:right w:val="none" w:sz="0" w:space="0" w:color="auto"/>
          </w:divBdr>
        </w:div>
        <w:div w:id="1223446935">
          <w:marLeft w:val="533"/>
          <w:marRight w:val="0"/>
          <w:marTop w:val="0"/>
          <w:marBottom w:val="0"/>
          <w:divBdr>
            <w:top w:val="none" w:sz="0" w:space="0" w:color="auto"/>
            <w:left w:val="none" w:sz="0" w:space="0" w:color="auto"/>
            <w:bottom w:val="none" w:sz="0" w:space="0" w:color="auto"/>
            <w:right w:val="none" w:sz="0" w:space="0" w:color="auto"/>
          </w:divBdr>
        </w:div>
        <w:div w:id="1484809911">
          <w:marLeft w:val="533"/>
          <w:marRight w:val="0"/>
          <w:marTop w:val="0"/>
          <w:marBottom w:val="0"/>
          <w:divBdr>
            <w:top w:val="none" w:sz="0" w:space="0" w:color="auto"/>
            <w:left w:val="none" w:sz="0" w:space="0" w:color="auto"/>
            <w:bottom w:val="none" w:sz="0" w:space="0" w:color="auto"/>
            <w:right w:val="none" w:sz="0" w:space="0" w:color="auto"/>
          </w:divBdr>
        </w:div>
        <w:div w:id="1505785091">
          <w:marLeft w:val="533"/>
          <w:marRight w:val="0"/>
          <w:marTop w:val="0"/>
          <w:marBottom w:val="0"/>
          <w:divBdr>
            <w:top w:val="none" w:sz="0" w:space="0" w:color="auto"/>
            <w:left w:val="none" w:sz="0" w:space="0" w:color="auto"/>
            <w:bottom w:val="none" w:sz="0" w:space="0" w:color="auto"/>
            <w:right w:val="none" w:sz="0" w:space="0" w:color="auto"/>
          </w:divBdr>
        </w:div>
        <w:div w:id="1516068721">
          <w:marLeft w:val="1166"/>
          <w:marRight w:val="0"/>
          <w:marTop w:val="0"/>
          <w:marBottom w:val="0"/>
          <w:divBdr>
            <w:top w:val="none" w:sz="0" w:space="0" w:color="auto"/>
            <w:left w:val="none" w:sz="0" w:space="0" w:color="auto"/>
            <w:bottom w:val="none" w:sz="0" w:space="0" w:color="auto"/>
            <w:right w:val="none" w:sz="0" w:space="0" w:color="auto"/>
          </w:divBdr>
        </w:div>
        <w:div w:id="1685597539">
          <w:marLeft w:val="533"/>
          <w:marRight w:val="0"/>
          <w:marTop w:val="0"/>
          <w:marBottom w:val="0"/>
          <w:divBdr>
            <w:top w:val="none" w:sz="0" w:space="0" w:color="auto"/>
            <w:left w:val="none" w:sz="0" w:space="0" w:color="auto"/>
            <w:bottom w:val="none" w:sz="0" w:space="0" w:color="auto"/>
            <w:right w:val="none" w:sz="0" w:space="0" w:color="auto"/>
          </w:divBdr>
        </w:div>
        <w:div w:id="1977249760">
          <w:marLeft w:val="1166"/>
          <w:marRight w:val="0"/>
          <w:marTop w:val="0"/>
          <w:marBottom w:val="0"/>
          <w:divBdr>
            <w:top w:val="none" w:sz="0" w:space="0" w:color="auto"/>
            <w:left w:val="none" w:sz="0" w:space="0" w:color="auto"/>
            <w:bottom w:val="none" w:sz="0" w:space="0" w:color="auto"/>
            <w:right w:val="none" w:sz="0" w:space="0" w:color="auto"/>
          </w:divBdr>
        </w:div>
        <w:div w:id="2049065543">
          <w:marLeft w:val="533"/>
          <w:marRight w:val="0"/>
          <w:marTop w:val="0"/>
          <w:marBottom w:val="0"/>
          <w:divBdr>
            <w:top w:val="none" w:sz="0" w:space="0" w:color="auto"/>
            <w:left w:val="none" w:sz="0" w:space="0" w:color="auto"/>
            <w:bottom w:val="none" w:sz="0" w:space="0" w:color="auto"/>
            <w:right w:val="none" w:sz="0" w:space="0" w:color="auto"/>
          </w:divBdr>
        </w:div>
        <w:div w:id="2120905893">
          <w:marLeft w:val="533"/>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404659">
      <w:bodyDiv w:val="1"/>
      <w:marLeft w:val="0"/>
      <w:marRight w:val="0"/>
      <w:marTop w:val="0"/>
      <w:marBottom w:val="0"/>
      <w:divBdr>
        <w:top w:val="none" w:sz="0" w:space="0" w:color="auto"/>
        <w:left w:val="none" w:sz="0" w:space="0" w:color="auto"/>
        <w:bottom w:val="none" w:sz="0" w:space="0" w:color="auto"/>
        <w:right w:val="none" w:sz="0" w:space="0" w:color="auto"/>
      </w:divBdr>
      <w:divsChild>
        <w:div w:id="250554160">
          <w:marLeft w:val="533"/>
          <w:marRight w:val="0"/>
          <w:marTop w:val="0"/>
          <w:marBottom w:val="0"/>
          <w:divBdr>
            <w:top w:val="none" w:sz="0" w:space="0" w:color="auto"/>
            <w:left w:val="none" w:sz="0" w:space="0" w:color="auto"/>
            <w:bottom w:val="none" w:sz="0" w:space="0" w:color="auto"/>
            <w:right w:val="none" w:sz="0" w:space="0" w:color="auto"/>
          </w:divBdr>
        </w:div>
        <w:div w:id="263658999">
          <w:marLeft w:val="1166"/>
          <w:marRight w:val="0"/>
          <w:marTop w:val="0"/>
          <w:marBottom w:val="0"/>
          <w:divBdr>
            <w:top w:val="none" w:sz="0" w:space="0" w:color="auto"/>
            <w:left w:val="none" w:sz="0" w:space="0" w:color="auto"/>
            <w:bottom w:val="none" w:sz="0" w:space="0" w:color="auto"/>
            <w:right w:val="none" w:sz="0" w:space="0" w:color="auto"/>
          </w:divBdr>
        </w:div>
        <w:div w:id="545146354">
          <w:marLeft w:val="533"/>
          <w:marRight w:val="0"/>
          <w:marTop w:val="0"/>
          <w:marBottom w:val="0"/>
          <w:divBdr>
            <w:top w:val="none" w:sz="0" w:space="0" w:color="auto"/>
            <w:left w:val="none" w:sz="0" w:space="0" w:color="auto"/>
            <w:bottom w:val="none" w:sz="0" w:space="0" w:color="auto"/>
            <w:right w:val="none" w:sz="0" w:space="0" w:color="auto"/>
          </w:divBdr>
        </w:div>
        <w:div w:id="1153914485">
          <w:marLeft w:val="533"/>
          <w:marRight w:val="0"/>
          <w:marTop w:val="0"/>
          <w:marBottom w:val="0"/>
          <w:divBdr>
            <w:top w:val="none" w:sz="0" w:space="0" w:color="auto"/>
            <w:left w:val="none" w:sz="0" w:space="0" w:color="auto"/>
            <w:bottom w:val="none" w:sz="0" w:space="0" w:color="auto"/>
            <w:right w:val="none" w:sz="0" w:space="0" w:color="auto"/>
          </w:divBdr>
        </w:div>
        <w:div w:id="1157766502">
          <w:marLeft w:val="533"/>
          <w:marRight w:val="0"/>
          <w:marTop w:val="0"/>
          <w:marBottom w:val="0"/>
          <w:divBdr>
            <w:top w:val="none" w:sz="0" w:space="0" w:color="auto"/>
            <w:left w:val="none" w:sz="0" w:space="0" w:color="auto"/>
            <w:bottom w:val="none" w:sz="0" w:space="0" w:color="auto"/>
            <w:right w:val="none" w:sz="0" w:space="0" w:color="auto"/>
          </w:divBdr>
        </w:div>
        <w:div w:id="1213539689">
          <w:marLeft w:val="533"/>
          <w:marRight w:val="0"/>
          <w:marTop w:val="0"/>
          <w:marBottom w:val="0"/>
          <w:divBdr>
            <w:top w:val="none" w:sz="0" w:space="0" w:color="auto"/>
            <w:left w:val="none" w:sz="0" w:space="0" w:color="auto"/>
            <w:bottom w:val="none" w:sz="0" w:space="0" w:color="auto"/>
            <w:right w:val="none" w:sz="0" w:space="0" w:color="auto"/>
          </w:divBdr>
        </w:div>
        <w:div w:id="1365592975">
          <w:marLeft w:val="533"/>
          <w:marRight w:val="0"/>
          <w:marTop w:val="0"/>
          <w:marBottom w:val="0"/>
          <w:divBdr>
            <w:top w:val="none" w:sz="0" w:space="0" w:color="auto"/>
            <w:left w:val="none" w:sz="0" w:space="0" w:color="auto"/>
            <w:bottom w:val="none" w:sz="0" w:space="0" w:color="auto"/>
            <w:right w:val="none" w:sz="0" w:space="0" w:color="auto"/>
          </w:divBdr>
        </w:div>
        <w:div w:id="1380666385">
          <w:marLeft w:val="533"/>
          <w:marRight w:val="0"/>
          <w:marTop w:val="0"/>
          <w:marBottom w:val="0"/>
          <w:divBdr>
            <w:top w:val="none" w:sz="0" w:space="0" w:color="auto"/>
            <w:left w:val="none" w:sz="0" w:space="0" w:color="auto"/>
            <w:bottom w:val="none" w:sz="0" w:space="0" w:color="auto"/>
            <w:right w:val="none" w:sz="0" w:space="0" w:color="auto"/>
          </w:divBdr>
        </w:div>
        <w:div w:id="1423063014">
          <w:marLeft w:val="533"/>
          <w:marRight w:val="0"/>
          <w:marTop w:val="0"/>
          <w:marBottom w:val="0"/>
          <w:divBdr>
            <w:top w:val="none" w:sz="0" w:space="0" w:color="auto"/>
            <w:left w:val="none" w:sz="0" w:space="0" w:color="auto"/>
            <w:bottom w:val="none" w:sz="0" w:space="0" w:color="auto"/>
            <w:right w:val="none" w:sz="0" w:space="0" w:color="auto"/>
          </w:divBdr>
        </w:div>
        <w:div w:id="1614941275">
          <w:marLeft w:val="1166"/>
          <w:marRight w:val="0"/>
          <w:marTop w:val="0"/>
          <w:marBottom w:val="0"/>
          <w:divBdr>
            <w:top w:val="none" w:sz="0" w:space="0" w:color="auto"/>
            <w:left w:val="none" w:sz="0" w:space="0" w:color="auto"/>
            <w:bottom w:val="none" w:sz="0" w:space="0" w:color="auto"/>
            <w:right w:val="none" w:sz="0" w:space="0" w:color="auto"/>
          </w:divBdr>
        </w:div>
        <w:div w:id="2069498485">
          <w:marLeft w:val="1166"/>
          <w:marRight w:val="0"/>
          <w:marTop w:val="0"/>
          <w:marBottom w:val="0"/>
          <w:divBdr>
            <w:top w:val="none" w:sz="0" w:space="0" w:color="auto"/>
            <w:left w:val="none" w:sz="0" w:space="0" w:color="auto"/>
            <w:bottom w:val="none" w:sz="0" w:space="0" w:color="auto"/>
            <w:right w:val="none" w:sz="0" w:space="0" w:color="auto"/>
          </w:divBdr>
        </w:div>
        <w:div w:id="2135440502">
          <w:marLeft w:val="533"/>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6497794">
      <w:bodyDiv w:val="1"/>
      <w:marLeft w:val="0"/>
      <w:marRight w:val="0"/>
      <w:marTop w:val="0"/>
      <w:marBottom w:val="0"/>
      <w:divBdr>
        <w:top w:val="none" w:sz="0" w:space="0" w:color="auto"/>
        <w:left w:val="none" w:sz="0" w:space="0" w:color="auto"/>
        <w:bottom w:val="none" w:sz="0" w:space="0" w:color="auto"/>
        <w:right w:val="none" w:sz="0" w:space="0" w:color="auto"/>
      </w:divBdr>
      <w:divsChild>
        <w:div w:id="736905384">
          <w:marLeft w:val="533"/>
          <w:marRight w:val="0"/>
          <w:marTop w:val="0"/>
          <w:marBottom w:val="0"/>
          <w:divBdr>
            <w:top w:val="none" w:sz="0" w:space="0" w:color="auto"/>
            <w:left w:val="none" w:sz="0" w:space="0" w:color="auto"/>
            <w:bottom w:val="none" w:sz="0" w:space="0" w:color="auto"/>
            <w:right w:val="none" w:sz="0" w:space="0" w:color="auto"/>
          </w:divBdr>
        </w:div>
        <w:div w:id="794296674">
          <w:marLeft w:val="533"/>
          <w:marRight w:val="0"/>
          <w:marTop w:val="0"/>
          <w:marBottom w:val="0"/>
          <w:divBdr>
            <w:top w:val="none" w:sz="0" w:space="0" w:color="auto"/>
            <w:left w:val="none" w:sz="0" w:space="0" w:color="auto"/>
            <w:bottom w:val="none" w:sz="0" w:space="0" w:color="auto"/>
            <w:right w:val="none" w:sz="0" w:space="0" w:color="auto"/>
          </w:divBdr>
        </w:div>
        <w:div w:id="886722937">
          <w:marLeft w:val="533"/>
          <w:marRight w:val="0"/>
          <w:marTop w:val="0"/>
          <w:marBottom w:val="0"/>
          <w:divBdr>
            <w:top w:val="none" w:sz="0" w:space="0" w:color="auto"/>
            <w:left w:val="none" w:sz="0" w:space="0" w:color="auto"/>
            <w:bottom w:val="none" w:sz="0" w:space="0" w:color="auto"/>
            <w:right w:val="none" w:sz="0" w:space="0" w:color="auto"/>
          </w:divBdr>
        </w:div>
        <w:div w:id="1183326539">
          <w:marLeft w:val="1166"/>
          <w:marRight w:val="0"/>
          <w:marTop w:val="0"/>
          <w:marBottom w:val="0"/>
          <w:divBdr>
            <w:top w:val="none" w:sz="0" w:space="0" w:color="auto"/>
            <w:left w:val="none" w:sz="0" w:space="0" w:color="auto"/>
            <w:bottom w:val="none" w:sz="0" w:space="0" w:color="auto"/>
            <w:right w:val="none" w:sz="0" w:space="0" w:color="auto"/>
          </w:divBdr>
        </w:div>
        <w:div w:id="1241527702">
          <w:marLeft w:val="533"/>
          <w:marRight w:val="0"/>
          <w:marTop w:val="0"/>
          <w:marBottom w:val="0"/>
          <w:divBdr>
            <w:top w:val="none" w:sz="0" w:space="0" w:color="auto"/>
            <w:left w:val="none" w:sz="0" w:space="0" w:color="auto"/>
            <w:bottom w:val="none" w:sz="0" w:space="0" w:color="auto"/>
            <w:right w:val="none" w:sz="0" w:space="0" w:color="auto"/>
          </w:divBdr>
        </w:div>
        <w:div w:id="1493447882">
          <w:marLeft w:val="533"/>
          <w:marRight w:val="0"/>
          <w:marTop w:val="0"/>
          <w:marBottom w:val="0"/>
          <w:divBdr>
            <w:top w:val="none" w:sz="0" w:space="0" w:color="auto"/>
            <w:left w:val="none" w:sz="0" w:space="0" w:color="auto"/>
            <w:bottom w:val="none" w:sz="0" w:space="0" w:color="auto"/>
            <w:right w:val="none" w:sz="0" w:space="0" w:color="auto"/>
          </w:divBdr>
        </w:div>
        <w:div w:id="1602369808">
          <w:marLeft w:val="533"/>
          <w:marRight w:val="0"/>
          <w:marTop w:val="0"/>
          <w:marBottom w:val="0"/>
          <w:divBdr>
            <w:top w:val="none" w:sz="0" w:space="0" w:color="auto"/>
            <w:left w:val="none" w:sz="0" w:space="0" w:color="auto"/>
            <w:bottom w:val="none" w:sz="0" w:space="0" w:color="auto"/>
            <w:right w:val="none" w:sz="0" w:space="0" w:color="auto"/>
          </w:divBdr>
        </w:div>
        <w:div w:id="1730416978">
          <w:marLeft w:val="1166"/>
          <w:marRight w:val="0"/>
          <w:marTop w:val="0"/>
          <w:marBottom w:val="0"/>
          <w:divBdr>
            <w:top w:val="none" w:sz="0" w:space="0" w:color="auto"/>
            <w:left w:val="none" w:sz="0" w:space="0" w:color="auto"/>
            <w:bottom w:val="none" w:sz="0" w:space="0" w:color="auto"/>
            <w:right w:val="none" w:sz="0" w:space="0" w:color="auto"/>
          </w:divBdr>
        </w:div>
        <w:div w:id="1835798377">
          <w:marLeft w:val="533"/>
          <w:marRight w:val="0"/>
          <w:marTop w:val="0"/>
          <w:marBottom w:val="0"/>
          <w:divBdr>
            <w:top w:val="none" w:sz="0" w:space="0" w:color="auto"/>
            <w:left w:val="none" w:sz="0" w:space="0" w:color="auto"/>
            <w:bottom w:val="none" w:sz="0" w:space="0" w:color="auto"/>
            <w:right w:val="none" w:sz="0" w:space="0" w:color="auto"/>
          </w:divBdr>
        </w:div>
        <w:div w:id="2144155744">
          <w:marLeft w:val="533"/>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43964">
      <w:bodyDiv w:val="1"/>
      <w:marLeft w:val="0"/>
      <w:marRight w:val="0"/>
      <w:marTop w:val="0"/>
      <w:marBottom w:val="0"/>
      <w:divBdr>
        <w:top w:val="none" w:sz="0" w:space="0" w:color="auto"/>
        <w:left w:val="none" w:sz="0" w:space="0" w:color="auto"/>
        <w:bottom w:val="none" w:sz="0" w:space="0" w:color="auto"/>
        <w:right w:val="none" w:sz="0" w:space="0" w:color="auto"/>
      </w:divBdr>
      <w:divsChild>
        <w:div w:id="310253041">
          <w:marLeft w:val="533"/>
          <w:marRight w:val="0"/>
          <w:marTop w:val="0"/>
          <w:marBottom w:val="0"/>
          <w:divBdr>
            <w:top w:val="none" w:sz="0" w:space="0" w:color="auto"/>
            <w:left w:val="none" w:sz="0" w:space="0" w:color="auto"/>
            <w:bottom w:val="none" w:sz="0" w:space="0" w:color="auto"/>
            <w:right w:val="none" w:sz="0" w:space="0" w:color="auto"/>
          </w:divBdr>
        </w:div>
        <w:div w:id="390233601">
          <w:marLeft w:val="533"/>
          <w:marRight w:val="0"/>
          <w:marTop w:val="0"/>
          <w:marBottom w:val="0"/>
          <w:divBdr>
            <w:top w:val="none" w:sz="0" w:space="0" w:color="auto"/>
            <w:left w:val="none" w:sz="0" w:space="0" w:color="auto"/>
            <w:bottom w:val="none" w:sz="0" w:space="0" w:color="auto"/>
            <w:right w:val="none" w:sz="0" w:space="0" w:color="auto"/>
          </w:divBdr>
        </w:div>
        <w:div w:id="628557139">
          <w:marLeft w:val="533"/>
          <w:marRight w:val="0"/>
          <w:marTop w:val="0"/>
          <w:marBottom w:val="0"/>
          <w:divBdr>
            <w:top w:val="none" w:sz="0" w:space="0" w:color="auto"/>
            <w:left w:val="none" w:sz="0" w:space="0" w:color="auto"/>
            <w:bottom w:val="none" w:sz="0" w:space="0" w:color="auto"/>
            <w:right w:val="none" w:sz="0" w:space="0" w:color="auto"/>
          </w:divBdr>
        </w:div>
        <w:div w:id="666329603">
          <w:marLeft w:val="533"/>
          <w:marRight w:val="0"/>
          <w:marTop w:val="0"/>
          <w:marBottom w:val="0"/>
          <w:divBdr>
            <w:top w:val="none" w:sz="0" w:space="0" w:color="auto"/>
            <w:left w:val="none" w:sz="0" w:space="0" w:color="auto"/>
            <w:bottom w:val="none" w:sz="0" w:space="0" w:color="auto"/>
            <w:right w:val="none" w:sz="0" w:space="0" w:color="auto"/>
          </w:divBdr>
        </w:div>
        <w:div w:id="1001618808">
          <w:marLeft w:val="533"/>
          <w:marRight w:val="0"/>
          <w:marTop w:val="0"/>
          <w:marBottom w:val="0"/>
          <w:divBdr>
            <w:top w:val="none" w:sz="0" w:space="0" w:color="auto"/>
            <w:left w:val="none" w:sz="0" w:space="0" w:color="auto"/>
            <w:bottom w:val="none" w:sz="0" w:space="0" w:color="auto"/>
            <w:right w:val="none" w:sz="0" w:space="0" w:color="auto"/>
          </w:divBdr>
        </w:div>
        <w:div w:id="1085880217">
          <w:marLeft w:val="533"/>
          <w:marRight w:val="0"/>
          <w:marTop w:val="0"/>
          <w:marBottom w:val="0"/>
          <w:divBdr>
            <w:top w:val="none" w:sz="0" w:space="0" w:color="auto"/>
            <w:left w:val="none" w:sz="0" w:space="0" w:color="auto"/>
            <w:bottom w:val="none" w:sz="0" w:space="0" w:color="auto"/>
            <w:right w:val="none" w:sz="0" w:space="0" w:color="auto"/>
          </w:divBdr>
        </w:div>
        <w:div w:id="1496998083">
          <w:marLeft w:val="1166"/>
          <w:marRight w:val="0"/>
          <w:marTop w:val="0"/>
          <w:marBottom w:val="0"/>
          <w:divBdr>
            <w:top w:val="none" w:sz="0" w:space="0" w:color="auto"/>
            <w:left w:val="none" w:sz="0" w:space="0" w:color="auto"/>
            <w:bottom w:val="none" w:sz="0" w:space="0" w:color="auto"/>
            <w:right w:val="none" w:sz="0" w:space="0" w:color="auto"/>
          </w:divBdr>
        </w:div>
        <w:div w:id="1608388052">
          <w:marLeft w:val="533"/>
          <w:marRight w:val="0"/>
          <w:marTop w:val="0"/>
          <w:marBottom w:val="0"/>
          <w:divBdr>
            <w:top w:val="none" w:sz="0" w:space="0" w:color="auto"/>
            <w:left w:val="none" w:sz="0" w:space="0" w:color="auto"/>
            <w:bottom w:val="none" w:sz="0" w:space="0" w:color="auto"/>
            <w:right w:val="none" w:sz="0" w:space="0" w:color="auto"/>
          </w:divBdr>
        </w:div>
        <w:div w:id="1710521285">
          <w:marLeft w:val="533"/>
          <w:marRight w:val="0"/>
          <w:marTop w:val="0"/>
          <w:marBottom w:val="0"/>
          <w:divBdr>
            <w:top w:val="none" w:sz="0" w:space="0" w:color="auto"/>
            <w:left w:val="none" w:sz="0" w:space="0" w:color="auto"/>
            <w:bottom w:val="none" w:sz="0" w:space="0" w:color="auto"/>
            <w:right w:val="none" w:sz="0" w:space="0" w:color="auto"/>
          </w:divBdr>
        </w:div>
        <w:div w:id="1754080303">
          <w:marLeft w:val="533"/>
          <w:marRight w:val="0"/>
          <w:marTop w:val="0"/>
          <w:marBottom w:val="0"/>
          <w:divBdr>
            <w:top w:val="none" w:sz="0" w:space="0" w:color="auto"/>
            <w:left w:val="none" w:sz="0" w:space="0" w:color="auto"/>
            <w:bottom w:val="none" w:sz="0" w:space="0" w:color="auto"/>
            <w:right w:val="none" w:sz="0" w:space="0" w:color="auto"/>
          </w:divBdr>
        </w:div>
        <w:div w:id="1807352907">
          <w:marLeft w:val="1166"/>
          <w:marRight w:val="0"/>
          <w:marTop w:val="0"/>
          <w:marBottom w:val="0"/>
          <w:divBdr>
            <w:top w:val="none" w:sz="0" w:space="0" w:color="auto"/>
            <w:left w:val="none" w:sz="0" w:space="0" w:color="auto"/>
            <w:bottom w:val="none" w:sz="0" w:space="0" w:color="auto"/>
            <w:right w:val="none" w:sz="0" w:space="0" w:color="auto"/>
          </w:divBdr>
        </w:div>
        <w:div w:id="2097438837">
          <w:marLeft w:val="1166"/>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722532">
      <w:bodyDiv w:val="1"/>
      <w:marLeft w:val="0"/>
      <w:marRight w:val="0"/>
      <w:marTop w:val="0"/>
      <w:marBottom w:val="0"/>
      <w:divBdr>
        <w:top w:val="none" w:sz="0" w:space="0" w:color="auto"/>
        <w:left w:val="none" w:sz="0" w:space="0" w:color="auto"/>
        <w:bottom w:val="none" w:sz="0" w:space="0" w:color="auto"/>
        <w:right w:val="none" w:sz="0" w:space="0" w:color="auto"/>
      </w:divBdr>
      <w:divsChild>
        <w:div w:id="1912740424">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850360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6102951">
      <w:bodyDiv w:val="1"/>
      <w:marLeft w:val="0"/>
      <w:marRight w:val="0"/>
      <w:marTop w:val="0"/>
      <w:marBottom w:val="0"/>
      <w:divBdr>
        <w:top w:val="none" w:sz="0" w:space="0" w:color="auto"/>
        <w:left w:val="none" w:sz="0" w:space="0" w:color="auto"/>
        <w:bottom w:val="none" w:sz="0" w:space="0" w:color="auto"/>
        <w:right w:val="none" w:sz="0" w:space="0" w:color="auto"/>
      </w:divBdr>
      <w:divsChild>
        <w:div w:id="1284918566">
          <w:marLeft w:val="0"/>
          <w:marRight w:val="0"/>
          <w:marTop w:val="0"/>
          <w:marBottom w:val="0"/>
          <w:divBdr>
            <w:top w:val="none" w:sz="0" w:space="0" w:color="auto"/>
            <w:left w:val="none" w:sz="0" w:space="0" w:color="auto"/>
            <w:bottom w:val="none" w:sz="0" w:space="0" w:color="auto"/>
            <w:right w:val="none" w:sz="0" w:space="0" w:color="auto"/>
          </w:divBdr>
          <w:divsChild>
            <w:div w:id="17588058">
              <w:marLeft w:val="0"/>
              <w:marRight w:val="0"/>
              <w:marTop w:val="0"/>
              <w:marBottom w:val="0"/>
              <w:divBdr>
                <w:top w:val="none" w:sz="0" w:space="0" w:color="auto"/>
                <w:left w:val="none" w:sz="0" w:space="0" w:color="auto"/>
                <w:bottom w:val="none" w:sz="0" w:space="0" w:color="auto"/>
                <w:right w:val="none" w:sz="0" w:space="0" w:color="auto"/>
              </w:divBdr>
              <w:divsChild>
                <w:div w:id="334918297">
                  <w:marLeft w:val="0"/>
                  <w:marRight w:val="0"/>
                  <w:marTop w:val="0"/>
                  <w:marBottom w:val="0"/>
                  <w:divBdr>
                    <w:top w:val="none" w:sz="0" w:space="0" w:color="auto"/>
                    <w:left w:val="none" w:sz="0" w:space="0" w:color="auto"/>
                    <w:bottom w:val="none" w:sz="0" w:space="0" w:color="auto"/>
                    <w:right w:val="none" w:sz="0" w:space="0" w:color="auto"/>
                  </w:divBdr>
                </w:div>
                <w:div w:id="415327967">
                  <w:marLeft w:val="0"/>
                  <w:marRight w:val="0"/>
                  <w:marTop w:val="0"/>
                  <w:marBottom w:val="0"/>
                  <w:divBdr>
                    <w:top w:val="none" w:sz="0" w:space="0" w:color="auto"/>
                    <w:left w:val="none" w:sz="0" w:space="0" w:color="auto"/>
                    <w:bottom w:val="none" w:sz="0" w:space="0" w:color="auto"/>
                    <w:right w:val="none" w:sz="0" w:space="0" w:color="auto"/>
                  </w:divBdr>
                </w:div>
                <w:div w:id="2109694817">
                  <w:marLeft w:val="0"/>
                  <w:marRight w:val="0"/>
                  <w:marTop w:val="0"/>
                  <w:marBottom w:val="0"/>
                  <w:divBdr>
                    <w:top w:val="none" w:sz="0" w:space="0" w:color="auto"/>
                    <w:left w:val="none" w:sz="0" w:space="0" w:color="auto"/>
                    <w:bottom w:val="none" w:sz="0" w:space="0" w:color="auto"/>
                    <w:right w:val="none" w:sz="0" w:space="0" w:color="auto"/>
                  </w:divBdr>
                </w:div>
              </w:divsChild>
            </w:div>
            <w:div w:id="98915523">
              <w:marLeft w:val="0"/>
              <w:marRight w:val="0"/>
              <w:marTop w:val="0"/>
              <w:marBottom w:val="0"/>
              <w:divBdr>
                <w:top w:val="none" w:sz="0" w:space="0" w:color="auto"/>
                <w:left w:val="none" w:sz="0" w:space="0" w:color="auto"/>
                <w:bottom w:val="none" w:sz="0" w:space="0" w:color="auto"/>
                <w:right w:val="none" w:sz="0" w:space="0" w:color="auto"/>
              </w:divBdr>
              <w:divsChild>
                <w:div w:id="564683469">
                  <w:marLeft w:val="0"/>
                  <w:marRight w:val="0"/>
                  <w:marTop w:val="0"/>
                  <w:marBottom w:val="0"/>
                  <w:divBdr>
                    <w:top w:val="none" w:sz="0" w:space="0" w:color="auto"/>
                    <w:left w:val="none" w:sz="0" w:space="0" w:color="auto"/>
                    <w:bottom w:val="none" w:sz="0" w:space="0" w:color="auto"/>
                    <w:right w:val="none" w:sz="0" w:space="0" w:color="auto"/>
                  </w:divBdr>
                </w:div>
                <w:div w:id="750009678">
                  <w:marLeft w:val="0"/>
                  <w:marRight w:val="0"/>
                  <w:marTop w:val="0"/>
                  <w:marBottom w:val="0"/>
                  <w:divBdr>
                    <w:top w:val="none" w:sz="0" w:space="0" w:color="auto"/>
                    <w:left w:val="none" w:sz="0" w:space="0" w:color="auto"/>
                    <w:bottom w:val="none" w:sz="0" w:space="0" w:color="auto"/>
                    <w:right w:val="none" w:sz="0" w:space="0" w:color="auto"/>
                  </w:divBdr>
                </w:div>
                <w:div w:id="1940671873">
                  <w:marLeft w:val="0"/>
                  <w:marRight w:val="0"/>
                  <w:marTop w:val="0"/>
                  <w:marBottom w:val="0"/>
                  <w:divBdr>
                    <w:top w:val="none" w:sz="0" w:space="0" w:color="auto"/>
                    <w:left w:val="none" w:sz="0" w:space="0" w:color="auto"/>
                    <w:bottom w:val="none" w:sz="0" w:space="0" w:color="auto"/>
                    <w:right w:val="none" w:sz="0" w:space="0" w:color="auto"/>
                  </w:divBdr>
                </w:div>
                <w:div w:id="1957519667">
                  <w:marLeft w:val="0"/>
                  <w:marRight w:val="0"/>
                  <w:marTop w:val="0"/>
                  <w:marBottom w:val="0"/>
                  <w:divBdr>
                    <w:top w:val="none" w:sz="0" w:space="0" w:color="auto"/>
                    <w:left w:val="none" w:sz="0" w:space="0" w:color="auto"/>
                    <w:bottom w:val="none" w:sz="0" w:space="0" w:color="auto"/>
                    <w:right w:val="none" w:sz="0" w:space="0" w:color="auto"/>
                  </w:divBdr>
                </w:div>
                <w:div w:id="2015106487">
                  <w:marLeft w:val="0"/>
                  <w:marRight w:val="0"/>
                  <w:marTop w:val="0"/>
                  <w:marBottom w:val="0"/>
                  <w:divBdr>
                    <w:top w:val="none" w:sz="0" w:space="0" w:color="auto"/>
                    <w:left w:val="none" w:sz="0" w:space="0" w:color="auto"/>
                    <w:bottom w:val="none" w:sz="0" w:space="0" w:color="auto"/>
                    <w:right w:val="none" w:sz="0" w:space="0" w:color="auto"/>
                  </w:divBdr>
                </w:div>
              </w:divsChild>
            </w:div>
            <w:div w:id="880822561">
              <w:marLeft w:val="0"/>
              <w:marRight w:val="0"/>
              <w:marTop w:val="0"/>
              <w:marBottom w:val="0"/>
              <w:divBdr>
                <w:top w:val="none" w:sz="0" w:space="0" w:color="auto"/>
                <w:left w:val="none" w:sz="0" w:space="0" w:color="auto"/>
                <w:bottom w:val="none" w:sz="0" w:space="0" w:color="auto"/>
                <w:right w:val="none" w:sz="0" w:space="0" w:color="auto"/>
              </w:divBdr>
              <w:divsChild>
                <w:div w:id="434787002">
                  <w:marLeft w:val="0"/>
                  <w:marRight w:val="0"/>
                  <w:marTop w:val="0"/>
                  <w:marBottom w:val="0"/>
                  <w:divBdr>
                    <w:top w:val="none" w:sz="0" w:space="0" w:color="auto"/>
                    <w:left w:val="none" w:sz="0" w:space="0" w:color="auto"/>
                    <w:bottom w:val="none" w:sz="0" w:space="0" w:color="auto"/>
                    <w:right w:val="none" w:sz="0" w:space="0" w:color="auto"/>
                  </w:divBdr>
                </w:div>
                <w:div w:id="1157309001">
                  <w:marLeft w:val="0"/>
                  <w:marRight w:val="0"/>
                  <w:marTop w:val="0"/>
                  <w:marBottom w:val="0"/>
                  <w:divBdr>
                    <w:top w:val="none" w:sz="0" w:space="0" w:color="auto"/>
                    <w:left w:val="none" w:sz="0" w:space="0" w:color="auto"/>
                    <w:bottom w:val="none" w:sz="0" w:space="0" w:color="auto"/>
                    <w:right w:val="none" w:sz="0" w:space="0" w:color="auto"/>
                  </w:divBdr>
                </w:div>
                <w:div w:id="1392188960">
                  <w:marLeft w:val="0"/>
                  <w:marRight w:val="0"/>
                  <w:marTop w:val="0"/>
                  <w:marBottom w:val="0"/>
                  <w:divBdr>
                    <w:top w:val="none" w:sz="0" w:space="0" w:color="auto"/>
                    <w:left w:val="none" w:sz="0" w:space="0" w:color="auto"/>
                    <w:bottom w:val="none" w:sz="0" w:space="0" w:color="auto"/>
                    <w:right w:val="none" w:sz="0" w:space="0" w:color="auto"/>
                  </w:divBdr>
                </w:div>
              </w:divsChild>
            </w:div>
            <w:div w:id="1832214830">
              <w:marLeft w:val="0"/>
              <w:marRight w:val="0"/>
              <w:marTop w:val="0"/>
              <w:marBottom w:val="0"/>
              <w:divBdr>
                <w:top w:val="none" w:sz="0" w:space="0" w:color="auto"/>
                <w:left w:val="none" w:sz="0" w:space="0" w:color="auto"/>
                <w:bottom w:val="none" w:sz="0" w:space="0" w:color="auto"/>
                <w:right w:val="none" w:sz="0" w:space="0" w:color="auto"/>
              </w:divBdr>
            </w:div>
            <w:div w:id="1898465808">
              <w:marLeft w:val="0"/>
              <w:marRight w:val="0"/>
              <w:marTop w:val="0"/>
              <w:marBottom w:val="0"/>
              <w:divBdr>
                <w:top w:val="none" w:sz="0" w:space="0" w:color="auto"/>
                <w:left w:val="none" w:sz="0" w:space="0" w:color="auto"/>
                <w:bottom w:val="none" w:sz="0" w:space="0" w:color="auto"/>
                <w:right w:val="none" w:sz="0" w:space="0" w:color="auto"/>
              </w:divBdr>
              <w:divsChild>
                <w:div w:id="23481773">
                  <w:marLeft w:val="0"/>
                  <w:marRight w:val="0"/>
                  <w:marTop w:val="0"/>
                  <w:marBottom w:val="0"/>
                  <w:divBdr>
                    <w:top w:val="none" w:sz="0" w:space="0" w:color="auto"/>
                    <w:left w:val="none" w:sz="0" w:space="0" w:color="auto"/>
                    <w:bottom w:val="none" w:sz="0" w:space="0" w:color="auto"/>
                    <w:right w:val="none" w:sz="0" w:space="0" w:color="auto"/>
                  </w:divBdr>
                </w:div>
                <w:div w:id="500242865">
                  <w:marLeft w:val="0"/>
                  <w:marRight w:val="0"/>
                  <w:marTop w:val="0"/>
                  <w:marBottom w:val="0"/>
                  <w:divBdr>
                    <w:top w:val="none" w:sz="0" w:space="0" w:color="auto"/>
                    <w:left w:val="none" w:sz="0" w:space="0" w:color="auto"/>
                    <w:bottom w:val="none" w:sz="0" w:space="0" w:color="auto"/>
                    <w:right w:val="none" w:sz="0" w:space="0" w:color="auto"/>
                  </w:divBdr>
                </w:div>
                <w:div w:id="673842525">
                  <w:marLeft w:val="0"/>
                  <w:marRight w:val="0"/>
                  <w:marTop w:val="0"/>
                  <w:marBottom w:val="0"/>
                  <w:divBdr>
                    <w:top w:val="none" w:sz="0" w:space="0" w:color="auto"/>
                    <w:left w:val="none" w:sz="0" w:space="0" w:color="auto"/>
                    <w:bottom w:val="none" w:sz="0" w:space="0" w:color="auto"/>
                    <w:right w:val="none" w:sz="0" w:space="0" w:color="auto"/>
                  </w:divBdr>
                </w:div>
                <w:div w:id="1101413211">
                  <w:marLeft w:val="0"/>
                  <w:marRight w:val="0"/>
                  <w:marTop w:val="0"/>
                  <w:marBottom w:val="0"/>
                  <w:divBdr>
                    <w:top w:val="none" w:sz="0" w:space="0" w:color="auto"/>
                    <w:left w:val="none" w:sz="0" w:space="0" w:color="auto"/>
                    <w:bottom w:val="none" w:sz="0" w:space="0" w:color="auto"/>
                    <w:right w:val="none" w:sz="0" w:space="0" w:color="auto"/>
                  </w:divBdr>
                </w:div>
                <w:div w:id="1932811257">
                  <w:marLeft w:val="0"/>
                  <w:marRight w:val="0"/>
                  <w:marTop w:val="0"/>
                  <w:marBottom w:val="0"/>
                  <w:divBdr>
                    <w:top w:val="none" w:sz="0" w:space="0" w:color="auto"/>
                    <w:left w:val="none" w:sz="0" w:space="0" w:color="auto"/>
                    <w:bottom w:val="none" w:sz="0" w:space="0" w:color="auto"/>
                    <w:right w:val="none" w:sz="0" w:space="0" w:color="auto"/>
                  </w:divBdr>
                </w:div>
              </w:divsChild>
            </w:div>
            <w:div w:id="1981498176">
              <w:marLeft w:val="0"/>
              <w:marRight w:val="0"/>
              <w:marTop w:val="0"/>
              <w:marBottom w:val="0"/>
              <w:divBdr>
                <w:top w:val="none" w:sz="0" w:space="0" w:color="auto"/>
                <w:left w:val="none" w:sz="0" w:space="0" w:color="auto"/>
                <w:bottom w:val="none" w:sz="0" w:space="0" w:color="auto"/>
                <w:right w:val="none" w:sz="0" w:space="0" w:color="auto"/>
              </w:divBdr>
              <w:divsChild>
                <w:div w:id="739868030">
                  <w:marLeft w:val="0"/>
                  <w:marRight w:val="0"/>
                  <w:marTop w:val="0"/>
                  <w:marBottom w:val="0"/>
                  <w:divBdr>
                    <w:top w:val="none" w:sz="0" w:space="0" w:color="auto"/>
                    <w:left w:val="none" w:sz="0" w:space="0" w:color="auto"/>
                    <w:bottom w:val="none" w:sz="0" w:space="0" w:color="auto"/>
                    <w:right w:val="none" w:sz="0" w:space="0" w:color="auto"/>
                  </w:divBdr>
                </w:div>
                <w:div w:id="165329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2529283">
      <w:bodyDiv w:val="1"/>
      <w:marLeft w:val="0"/>
      <w:marRight w:val="0"/>
      <w:marTop w:val="0"/>
      <w:marBottom w:val="0"/>
      <w:divBdr>
        <w:top w:val="none" w:sz="0" w:space="0" w:color="auto"/>
        <w:left w:val="none" w:sz="0" w:space="0" w:color="auto"/>
        <w:bottom w:val="none" w:sz="0" w:space="0" w:color="auto"/>
        <w:right w:val="none" w:sz="0" w:space="0" w:color="auto"/>
      </w:divBdr>
      <w:divsChild>
        <w:div w:id="1039014372">
          <w:marLeft w:val="0"/>
          <w:marRight w:val="0"/>
          <w:marTop w:val="0"/>
          <w:marBottom w:val="0"/>
          <w:divBdr>
            <w:top w:val="none" w:sz="0" w:space="0" w:color="auto"/>
            <w:left w:val="none" w:sz="0" w:space="0" w:color="auto"/>
            <w:bottom w:val="none" w:sz="0" w:space="0" w:color="auto"/>
            <w:right w:val="none" w:sz="0" w:space="0" w:color="auto"/>
          </w:divBdr>
          <w:divsChild>
            <w:div w:id="21489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918468">
      <w:bodyDiv w:val="1"/>
      <w:marLeft w:val="0"/>
      <w:marRight w:val="0"/>
      <w:marTop w:val="0"/>
      <w:marBottom w:val="0"/>
      <w:divBdr>
        <w:top w:val="none" w:sz="0" w:space="0" w:color="auto"/>
        <w:left w:val="none" w:sz="0" w:space="0" w:color="auto"/>
        <w:bottom w:val="none" w:sz="0" w:space="0" w:color="auto"/>
        <w:right w:val="none" w:sz="0" w:space="0" w:color="auto"/>
      </w:divBdr>
      <w:divsChild>
        <w:div w:id="64644931">
          <w:marLeft w:val="533"/>
          <w:marRight w:val="0"/>
          <w:marTop w:val="0"/>
          <w:marBottom w:val="0"/>
          <w:divBdr>
            <w:top w:val="none" w:sz="0" w:space="0" w:color="auto"/>
            <w:left w:val="none" w:sz="0" w:space="0" w:color="auto"/>
            <w:bottom w:val="none" w:sz="0" w:space="0" w:color="auto"/>
            <w:right w:val="none" w:sz="0" w:space="0" w:color="auto"/>
          </w:divBdr>
        </w:div>
        <w:div w:id="388115640">
          <w:marLeft w:val="533"/>
          <w:marRight w:val="0"/>
          <w:marTop w:val="0"/>
          <w:marBottom w:val="0"/>
          <w:divBdr>
            <w:top w:val="none" w:sz="0" w:space="0" w:color="auto"/>
            <w:left w:val="none" w:sz="0" w:space="0" w:color="auto"/>
            <w:bottom w:val="none" w:sz="0" w:space="0" w:color="auto"/>
            <w:right w:val="none" w:sz="0" w:space="0" w:color="auto"/>
          </w:divBdr>
        </w:div>
        <w:div w:id="573930309">
          <w:marLeft w:val="533"/>
          <w:marRight w:val="0"/>
          <w:marTop w:val="0"/>
          <w:marBottom w:val="0"/>
          <w:divBdr>
            <w:top w:val="none" w:sz="0" w:space="0" w:color="auto"/>
            <w:left w:val="none" w:sz="0" w:space="0" w:color="auto"/>
            <w:bottom w:val="none" w:sz="0" w:space="0" w:color="auto"/>
            <w:right w:val="none" w:sz="0" w:space="0" w:color="auto"/>
          </w:divBdr>
        </w:div>
        <w:div w:id="901212754">
          <w:marLeft w:val="533"/>
          <w:marRight w:val="0"/>
          <w:marTop w:val="0"/>
          <w:marBottom w:val="0"/>
          <w:divBdr>
            <w:top w:val="none" w:sz="0" w:space="0" w:color="auto"/>
            <w:left w:val="none" w:sz="0" w:space="0" w:color="auto"/>
            <w:bottom w:val="none" w:sz="0" w:space="0" w:color="auto"/>
            <w:right w:val="none" w:sz="0" w:space="0" w:color="auto"/>
          </w:divBdr>
        </w:div>
        <w:div w:id="1363940930">
          <w:marLeft w:val="1166"/>
          <w:marRight w:val="0"/>
          <w:marTop w:val="0"/>
          <w:marBottom w:val="0"/>
          <w:divBdr>
            <w:top w:val="none" w:sz="0" w:space="0" w:color="auto"/>
            <w:left w:val="none" w:sz="0" w:space="0" w:color="auto"/>
            <w:bottom w:val="none" w:sz="0" w:space="0" w:color="auto"/>
            <w:right w:val="none" w:sz="0" w:space="0" w:color="auto"/>
          </w:divBdr>
        </w:div>
        <w:div w:id="1497451648">
          <w:marLeft w:val="533"/>
          <w:marRight w:val="0"/>
          <w:marTop w:val="0"/>
          <w:marBottom w:val="0"/>
          <w:divBdr>
            <w:top w:val="none" w:sz="0" w:space="0" w:color="auto"/>
            <w:left w:val="none" w:sz="0" w:space="0" w:color="auto"/>
            <w:bottom w:val="none" w:sz="0" w:space="0" w:color="auto"/>
            <w:right w:val="none" w:sz="0" w:space="0" w:color="auto"/>
          </w:divBdr>
        </w:div>
        <w:div w:id="1556701897">
          <w:marLeft w:val="533"/>
          <w:marRight w:val="0"/>
          <w:marTop w:val="0"/>
          <w:marBottom w:val="0"/>
          <w:divBdr>
            <w:top w:val="none" w:sz="0" w:space="0" w:color="auto"/>
            <w:left w:val="none" w:sz="0" w:space="0" w:color="auto"/>
            <w:bottom w:val="none" w:sz="0" w:space="0" w:color="auto"/>
            <w:right w:val="none" w:sz="0" w:space="0" w:color="auto"/>
          </w:divBdr>
        </w:div>
        <w:div w:id="1645040850">
          <w:marLeft w:val="533"/>
          <w:marRight w:val="0"/>
          <w:marTop w:val="0"/>
          <w:marBottom w:val="0"/>
          <w:divBdr>
            <w:top w:val="none" w:sz="0" w:space="0" w:color="auto"/>
            <w:left w:val="none" w:sz="0" w:space="0" w:color="auto"/>
            <w:bottom w:val="none" w:sz="0" w:space="0" w:color="auto"/>
            <w:right w:val="none" w:sz="0" w:space="0" w:color="auto"/>
          </w:divBdr>
        </w:div>
        <w:div w:id="1662736327">
          <w:marLeft w:val="533"/>
          <w:marRight w:val="0"/>
          <w:marTop w:val="0"/>
          <w:marBottom w:val="0"/>
          <w:divBdr>
            <w:top w:val="none" w:sz="0" w:space="0" w:color="auto"/>
            <w:left w:val="none" w:sz="0" w:space="0" w:color="auto"/>
            <w:bottom w:val="none" w:sz="0" w:space="0" w:color="auto"/>
            <w:right w:val="none" w:sz="0" w:space="0" w:color="auto"/>
          </w:divBdr>
        </w:div>
        <w:div w:id="1732928020">
          <w:marLeft w:val="533"/>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4534326">
      <w:bodyDiv w:val="1"/>
      <w:marLeft w:val="0"/>
      <w:marRight w:val="0"/>
      <w:marTop w:val="0"/>
      <w:marBottom w:val="0"/>
      <w:divBdr>
        <w:top w:val="none" w:sz="0" w:space="0" w:color="auto"/>
        <w:left w:val="none" w:sz="0" w:space="0" w:color="auto"/>
        <w:bottom w:val="none" w:sz="0" w:space="0" w:color="auto"/>
        <w:right w:val="none" w:sz="0" w:space="0" w:color="auto"/>
      </w:divBdr>
      <w:divsChild>
        <w:div w:id="1645354342">
          <w:marLeft w:val="0"/>
          <w:marRight w:val="0"/>
          <w:marTop w:val="0"/>
          <w:marBottom w:val="0"/>
          <w:divBdr>
            <w:top w:val="none" w:sz="0" w:space="0" w:color="auto"/>
            <w:left w:val="none" w:sz="0" w:space="0" w:color="auto"/>
            <w:bottom w:val="none" w:sz="0" w:space="0" w:color="auto"/>
            <w:right w:val="none" w:sz="0" w:space="0" w:color="auto"/>
          </w:divBdr>
          <w:divsChild>
            <w:div w:id="54741339">
              <w:marLeft w:val="0"/>
              <w:marRight w:val="0"/>
              <w:marTop w:val="0"/>
              <w:marBottom w:val="0"/>
              <w:divBdr>
                <w:top w:val="none" w:sz="0" w:space="0" w:color="auto"/>
                <w:left w:val="none" w:sz="0" w:space="0" w:color="auto"/>
                <w:bottom w:val="none" w:sz="0" w:space="0" w:color="auto"/>
                <w:right w:val="none" w:sz="0" w:space="0" w:color="auto"/>
              </w:divBdr>
            </w:div>
            <w:div w:id="422648033">
              <w:marLeft w:val="0"/>
              <w:marRight w:val="0"/>
              <w:marTop w:val="0"/>
              <w:marBottom w:val="0"/>
              <w:divBdr>
                <w:top w:val="none" w:sz="0" w:space="0" w:color="auto"/>
                <w:left w:val="none" w:sz="0" w:space="0" w:color="auto"/>
                <w:bottom w:val="none" w:sz="0" w:space="0" w:color="auto"/>
                <w:right w:val="none" w:sz="0" w:space="0" w:color="auto"/>
              </w:divBdr>
            </w:div>
            <w:div w:id="858853532">
              <w:marLeft w:val="0"/>
              <w:marRight w:val="0"/>
              <w:marTop w:val="0"/>
              <w:marBottom w:val="0"/>
              <w:divBdr>
                <w:top w:val="none" w:sz="0" w:space="0" w:color="auto"/>
                <w:left w:val="none" w:sz="0" w:space="0" w:color="auto"/>
                <w:bottom w:val="none" w:sz="0" w:space="0" w:color="auto"/>
                <w:right w:val="none" w:sz="0" w:space="0" w:color="auto"/>
              </w:divBdr>
            </w:div>
            <w:div w:id="899025912">
              <w:marLeft w:val="0"/>
              <w:marRight w:val="0"/>
              <w:marTop w:val="0"/>
              <w:marBottom w:val="0"/>
              <w:divBdr>
                <w:top w:val="none" w:sz="0" w:space="0" w:color="auto"/>
                <w:left w:val="none" w:sz="0" w:space="0" w:color="auto"/>
                <w:bottom w:val="none" w:sz="0" w:space="0" w:color="auto"/>
                <w:right w:val="none" w:sz="0" w:space="0" w:color="auto"/>
              </w:divBdr>
            </w:div>
            <w:div w:id="915825927">
              <w:marLeft w:val="0"/>
              <w:marRight w:val="0"/>
              <w:marTop w:val="0"/>
              <w:marBottom w:val="0"/>
              <w:divBdr>
                <w:top w:val="none" w:sz="0" w:space="0" w:color="auto"/>
                <w:left w:val="none" w:sz="0" w:space="0" w:color="auto"/>
                <w:bottom w:val="none" w:sz="0" w:space="0" w:color="auto"/>
                <w:right w:val="none" w:sz="0" w:space="0" w:color="auto"/>
              </w:divBdr>
            </w:div>
            <w:div w:id="958727717">
              <w:marLeft w:val="0"/>
              <w:marRight w:val="0"/>
              <w:marTop w:val="0"/>
              <w:marBottom w:val="0"/>
              <w:divBdr>
                <w:top w:val="none" w:sz="0" w:space="0" w:color="auto"/>
                <w:left w:val="none" w:sz="0" w:space="0" w:color="auto"/>
                <w:bottom w:val="none" w:sz="0" w:space="0" w:color="auto"/>
                <w:right w:val="none" w:sz="0" w:space="0" w:color="auto"/>
              </w:divBdr>
            </w:div>
            <w:div w:id="1188179606">
              <w:marLeft w:val="0"/>
              <w:marRight w:val="0"/>
              <w:marTop w:val="0"/>
              <w:marBottom w:val="0"/>
              <w:divBdr>
                <w:top w:val="none" w:sz="0" w:space="0" w:color="auto"/>
                <w:left w:val="none" w:sz="0" w:space="0" w:color="auto"/>
                <w:bottom w:val="none" w:sz="0" w:space="0" w:color="auto"/>
                <w:right w:val="none" w:sz="0" w:space="0" w:color="auto"/>
              </w:divBdr>
            </w:div>
            <w:div w:id="1442918818">
              <w:marLeft w:val="0"/>
              <w:marRight w:val="0"/>
              <w:marTop w:val="0"/>
              <w:marBottom w:val="0"/>
              <w:divBdr>
                <w:top w:val="none" w:sz="0" w:space="0" w:color="auto"/>
                <w:left w:val="none" w:sz="0" w:space="0" w:color="auto"/>
                <w:bottom w:val="none" w:sz="0" w:space="0" w:color="auto"/>
                <w:right w:val="none" w:sz="0" w:space="0" w:color="auto"/>
              </w:divBdr>
            </w:div>
            <w:div w:id="148500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5AIRPNAIUNRU-1830940522-18129</_dlc_DocId>
    <_dlc_DocIdUrl xmlns="71c5aaf6-e6ce-465b-b873-5148d2a4c105">
      <Url>https://nokia.sharepoint.com/sites/c5g/5gradio/_layouts/15/DocIdRedir.aspx?ID=5AIRPNAIUNRU-1830940522-18129</Url>
      <Description>5AIRPNAIUNRU-1830940522-18129</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5</Pages>
  <Words>2051</Words>
  <Characters>11693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6</cp:revision>
  <cp:lastPrinted>2016-06-20T21:35:00Z</cp:lastPrinted>
  <dcterms:created xsi:type="dcterms:W3CDTF">2022-11-07T03:21:00Z</dcterms:created>
  <dcterms:modified xsi:type="dcterms:W3CDTF">2022-11-07T03:57:00Z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55a07777-0094-4133-a1e5-765b9c6fa12d</vt:lpwstr>
  </property>
</Properties>
</file>