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58F06" w14:textId="2FA0FD27" w:rsidR="00FB4C4A" w:rsidRDefault="00FB4C4A">
      <w:pPr>
        <w:tabs>
          <w:tab w:val="center" w:pos="4536"/>
          <w:tab w:val="right" w:pos="8280"/>
          <w:tab w:val="right" w:pos="9639"/>
        </w:tabs>
        <w:jc w:val="both"/>
        <w:rPr>
          <w:b/>
          <w:bCs/>
          <w:sz w:val="22"/>
          <w:szCs w:val="22"/>
        </w:rPr>
      </w:pPr>
      <w:r>
        <w:rPr>
          <w:b/>
          <w:bCs/>
          <w:sz w:val="22"/>
          <w:szCs w:val="22"/>
        </w:rPr>
        <w:t>3GPP TSG RAN WG1 #10</w:t>
      </w:r>
      <w:r w:rsidR="0039549B">
        <w:rPr>
          <w:b/>
          <w:bCs/>
          <w:sz w:val="22"/>
          <w:szCs w:val="22"/>
        </w:rPr>
        <w:t>9</w:t>
      </w:r>
      <w:r>
        <w:rPr>
          <w:b/>
          <w:bCs/>
          <w:sz w:val="22"/>
          <w:szCs w:val="22"/>
        </w:rPr>
        <w:t xml:space="preserve">-e                                                                              </w:t>
      </w:r>
      <w:r w:rsidR="00371F9E" w:rsidRPr="00371F9E">
        <w:rPr>
          <w:b/>
          <w:bCs/>
          <w:sz w:val="22"/>
          <w:szCs w:val="22"/>
        </w:rPr>
        <w:t>R1-2204934</w:t>
      </w:r>
    </w:p>
    <w:p w14:paraId="29DCC8C0" w14:textId="4C620951" w:rsidR="00FB4C4A" w:rsidRDefault="00FB4C4A">
      <w:pPr>
        <w:tabs>
          <w:tab w:val="center" w:pos="4536"/>
          <w:tab w:val="right" w:pos="9072"/>
        </w:tabs>
        <w:rPr>
          <w:rFonts w:eastAsia="MS Mincho"/>
          <w:b/>
          <w:bCs/>
          <w:sz w:val="22"/>
          <w:szCs w:val="22"/>
          <w:lang w:eastAsia="ja-JP"/>
        </w:rPr>
      </w:pPr>
      <w:r>
        <w:rPr>
          <w:rFonts w:eastAsia="MS Mincho"/>
          <w:b/>
          <w:bCs/>
          <w:sz w:val="22"/>
          <w:szCs w:val="22"/>
          <w:lang w:eastAsia="ja-JP"/>
        </w:rPr>
        <w:t xml:space="preserve">e-Meeting, </w:t>
      </w:r>
      <w:r w:rsidR="0039549B">
        <w:rPr>
          <w:rFonts w:eastAsia="SimSun"/>
          <w:b/>
          <w:bCs/>
          <w:sz w:val="22"/>
          <w:szCs w:val="22"/>
          <w:lang w:eastAsia="zh-CN"/>
        </w:rPr>
        <w:t>March</w:t>
      </w:r>
      <w:r>
        <w:rPr>
          <w:rFonts w:eastAsia="SimSun"/>
          <w:b/>
          <w:bCs/>
          <w:sz w:val="22"/>
          <w:szCs w:val="22"/>
          <w:lang w:eastAsia="zh-CN"/>
        </w:rPr>
        <w:t xml:space="preserve"> </w:t>
      </w:r>
      <w:r w:rsidR="0039549B">
        <w:rPr>
          <w:rFonts w:eastAsia="SimSun"/>
          <w:b/>
          <w:bCs/>
          <w:sz w:val="22"/>
          <w:szCs w:val="22"/>
          <w:lang w:eastAsia="ja-JP"/>
        </w:rPr>
        <w:t>09</w:t>
      </w:r>
      <w:r>
        <w:rPr>
          <w:rFonts w:eastAsia="SimSun"/>
          <w:b/>
          <w:bCs/>
          <w:sz w:val="22"/>
          <w:szCs w:val="22"/>
          <w:lang w:eastAsia="ja-JP"/>
        </w:rPr>
        <w:t xml:space="preserve">– March </w:t>
      </w:r>
      <w:r w:rsidR="0039549B">
        <w:rPr>
          <w:rFonts w:eastAsia="SimSun"/>
          <w:b/>
          <w:bCs/>
          <w:sz w:val="22"/>
          <w:szCs w:val="22"/>
          <w:lang w:eastAsia="ja-JP"/>
        </w:rPr>
        <w:t>15</w:t>
      </w:r>
      <w:r>
        <w:rPr>
          <w:rFonts w:eastAsia="SimSun"/>
          <w:b/>
          <w:bCs/>
          <w:sz w:val="22"/>
          <w:szCs w:val="22"/>
          <w:lang w:eastAsia="ja-JP"/>
        </w:rPr>
        <w:t>,</w:t>
      </w:r>
      <w:r>
        <w:rPr>
          <w:rFonts w:eastAsia="MS Mincho"/>
          <w:b/>
          <w:bCs/>
          <w:sz w:val="22"/>
          <w:szCs w:val="22"/>
          <w:lang w:eastAsia="ja-JP"/>
        </w:rPr>
        <w:t xml:space="preserve"> 2022</w:t>
      </w:r>
    </w:p>
    <w:p w14:paraId="160E32FD" w14:textId="77777777" w:rsidR="00FB4C4A" w:rsidRDefault="00FB4C4A">
      <w:pPr>
        <w:pStyle w:val="Header"/>
        <w:rPr>
          <w:rFonts w:ascii="Times New Roman" w:eastAsia="SimSun" w:hAnsi="Times New Roman"/>
          <w:sz w:val="22"/>
          <w:lang w:eastAsia="zh-CN"/>
        </w:rPr>
      </w:pPr>
    </w:p>
    <w:p w14:paraId="39C6C118" w14:textId="77777777" w:rsidR="00FB4C4A" w:rsidRDefault="00FB4C4A">
      <w:pPr>
        <w:pStyle w:val="Header"/>
        <w:tabs>
          <w:tab w:val="clear" w:pos="4536"/>
          <w:tab w:val="left" w:pos="1800"/>
        </w:tabs>
        <w:ind w:left="1800" w:hanging="1800"/>
        <w:rPr>
          <w:rFonts w:ascii="Times New Roman" w:eastAsia="SimSun" w:hAnsi="Times New Roman"/>
          <w:sz w:val="22"/>
          <w:lang w:eastAsia="zh-CN"/>
        </w:rPr>
      </w:pPr>
      <w:r>
        <w:rPr>
          <w:rFonts w:ascii="Times New Roman" w:eastAsia="SimSun" w:hAnsi="Times New Roman"/>
          <w:sz w:val="22"/>
          <w:lang w:eastAsia="zh-CN"/>
        </w:rPr>
        <w:t>Source:</w:t>
      </w:r>
      <w:r>
        <w:rPr>
          <w:rFonts w:ascii="Times New Roman" w:eastAsia="SimSun" w:hAnsi="Times New Roman"/>
          <w:sz w:val="22"/>
          <w:lang w:eastAsia="zh-CN"/>
        </w:rPr>
        <w:tab/>
      </w:r>
      <w:r w:rsidR="0039549B">
        <w:rPr>
          <w:rFonts w:ascii="Times New Roman" w:eastAsia="SimSun" w:hAnsi="Times New Roman"/>
          <w:sz w:val="22"/>
          <w:lang w:eastAsia="zh-CN"/>
        </w:rPr>
        <w:t>Mavenir</w:t>
      </w:r>
    </w:p>
    <w:p w14:paraId="18EA7D81" w14:textId="77777777" w:rsidR="00FB4C4A" w:rsidRDefault="00FB4C4A">
      <w:pPr>
        <w:pStyle w:val="Header"/>
        <w:tabs>
          <w:tab w:val="clear" w:pos="4536"/>
          <w:tab w:val="left" w:pos="1800"/>
        </w:tabs>
        <w:ind w:left="1800" w:hanging="1800"/>
        <w:rPr>
          <w:rFonts w:ascii="Times New Roman" w:hAnsi="Times New Roman"/>
          <w:sz w:val="22"/>
        </w:rPr>
      </w:pPr>
      <w:r>
        <w:rPr>
          <w:rFonts w:ascii="Times New Roman" w:hAnsi="Times New Roman"/>
          <w:sz w:val="22"/>
        </w:rPr>
        <w:t>Title:</w:t>
      </w:r>
      <w:r>
        <w:rPr>
          <w:rFonts w:ascii="Times New Roman" w:hAnsi="Times New Roman"/>
          <w:sz w:val="22"/>
        </w:rPr>
        <w:tab/>
      </w:r>
      <w:r w:rsidR="00380436">
        <w:rPr>
          <w:rFonts w:ascii="Segoe UI" w:hAnsi="Segoe UI" w:cs="Segoe UI"/>
          <w:color w:val="242424"/>
          <w:shd w:val="clear" w:color="auto" w:fill="FFFFFF"/>
        </w:rPr>
        <w:t>Timing Relationship Enhancements</w:t>
      </w:r>
    </w:p>
    <w:p w14:paraId="76DD71C9" w14:textId="77777777" w:rsidR="00FB4C4A" w:rsidRDefault="00FB4C4A">
      <w:pPr>
        <w:pStyle w:val="Header"/>
        <w:tabs>
          <w:tab w:val="left" w:pos="1800"/>
        </w:tabs>
        <w:rPr>
          <w:rFonts w:ascii="Times New Roman" w:eastAsia="SimSun" w:hAnsi="Times New Roman"/>
          <w:sz w:val="22"/>
          <w:lang w:eastAsia="zh-CN"/>
        </w:rPr>
      </w:pPr>
      <w:r>
        <w:rPr>
          <w:rFonts w:ascii="Times New Roman" w:hAnsi="Times New Roman"/>
          <w:sz w:val="22"/>
        </w:rPr>
        <w:t>Agenda Item:</w:t>
      </w:r>
      <w:r>
        <w:rPr>
          <w:rFonts w:ascii="Times New Roman" w:hAnsi="Times New Roman"/>
          <w:sz w:val="22"/>
        </w:rPr>
        <w:tab/>
      </w:r>
      <w:r>
        <w:rPr>
          <w:rFonts w:ascii="Times New Roman" w:eastAsia="SimSun" w:hAnsi="Times New Roman"/>
          <w:sz w:val="22"/>
          <w:lang w:eastAsia="zh-CN"/>
        </w:rPr>
        <w:t>8.14</w:t>
      </w:r>
    </w:p>
    <w:p w14:paraId="28632781" w14:textId="77777777" w:rsidR="00FB4C4A" w:rsidRDefault="00FB4C4A">
      <w:pPr>
        <w:pStyle w:val="Header"/>
        <w:tabs>
          <w:tab w:val="left" w:pos="1800"/>
        </w:tabs>
        <w:rPr>
          <w:rFonts w:ascii="Times New Roman" w:hAnsi="Times New Roman"/>
          <w:sz w:val="22"/>
        </w:rPr>
      </w:pPr>
      <w:r>
        <w:rPr>
          <w:rFonts w:ascii="Times New Roman" w:hAnsi="Times New Roman"/>
          <w:sz w:val="22"/>
        </w:rPr>
        <w:t>Document for:</w:t>
      </w:r>
      <w:r>
        <w:rPr>
          <w:rFonts w:ascii="Times New Roman" w:hAnsi="Times New Roman"/>
          <w:sz w:val="22"/>
        </w:rPr>
        <w:tab/>
        <w:t>Discussion and Decision</w:t>
      </w:r>
    </w:p>
    <w:p w14:paraId="7EEF4086" w14:textId="77777777" w:rsidR="00FB4C4A" w:rsidRDefault="00FB4C4A">
      <w:pPr>
        <w:pBdr>
          <w:bottom w:val="single" w:sz="4" w:space="1" w:color="auto"/>
        </w:pBdr>
        <w:tabs>
          <w:tab w:val="left" w:pos="2552"/>
        </w:tabs>
      </w:pPr>
    </w:p>
    <w:p w14:paraId="3B8B4B84" w14:textId="77777777" w:rsidR="00FB4C4A" w:rsidRDefault="00FB4C4A">
      <w:pPr>
        <w:pStyle w:val="Heading1"/>
        <w:spacing w:before="180"/>
        <w:ind w:left="562" w:hanging="562"/>
        <w:rPr>
          <w:rFonts w:ascii="Times New Roman" w:hAnsi="Times New Roman" w:cs="Times New Roman"/>
        </w:rPr>
      </w:pPr>
      <w:r>
        <w:rPr>
          <w:rFonts w:ascii="Times New Roman" w:hAnsi="Times New Roman" w:cs="Times New Roman"/>
        </w:rPr>
        <w:t>Introduction</w:t>
      </w:r>
    </w:p>
    <w:p w14:paraId="69DCE416" w14:textId="1335769D" w:rsidR="0039549B" w:rsidRDefault="0039549B" w:rsidP="00371F9E">
      <w:pPr>
        <w:rPr>
          <w:sz w:val="22"/>
          <w:szCs w:val="22"/>
        </w:rPr>
      </w:pPr>
      <w:r w:rsidRPr="0039549B">
        <w:rPr>
          <w:sz w:val="22"/>
          <w:szCs w:val="22"/>
        </w:rPr>
        <w:t xml:space="preserve">In this </w:t>
      </w:r>
      <w:r w:rsidR="00371F9E">
        <w:rPr>
          <w:sz w:val="22"/>
          <w:szCs w:val="22"/>
        </w:rPr>
        <w:t>contribution</w:t>
      </w:r>
      <w:r w:rsidRPr="0039549B">
        <w:rPr>
          <w:sz w:val="22"/>
          <w:szCs w:val="22"/>
        </w:rPr>
        <w:t xml:space="preserve">, we </w:t>
      </w:r>
      <w:r w:rsidR="00371F9E">
        <w:rPr>
          <w:sz w:val="22"/>
          <w:szCs w:val="22"/>
        </w:rPr>
        <w:t xml:space="preserve">discuss </w:t>
      </w:r>
      <w:r>
        <w:rPr>
          <w:sz w:val="22"/>
          <w:szCs w:val="22"/>
        </w:rPr>
        <w:t>the NPDCCH monitoring modifications</w:t>
      </w:r>
      <w:r w:rsidR="00D64075">
        <w:rPr>
          <w:sz w:val="22"/>
          <w:szCs w:val="22"/>
        </w:rPr>
        <w:t xml:space="preserve"> for IOT-NTN</w:t>
      </w:r>
      <w:r w:rsidR="00371F9E">
        <w:rPr>
          <w:sz w:val="22"/>
          <w:szCs w:val="22"/>
        </w:rPr>
        <w:t>, and propose TP for Rel-17 specification</w:t>
      </w:r>
      <w:r>
        <w:rPr>
          <w:sz w:val="22"/>
          <w:szCs w:val="22"/>
        </w:rPr>
        <w:t>.</w:t>
      </w:r>
    </w:p>
    <w:p w14:paraId="0514282D" w14:textId="77777777" w:rsidR="00371F9E" w:rsidRPr="0039549B" w:rsidRDefault="00371F9E" w:rsidP="00371F9E">
      <w:pPr>
        <w:rPr>
          <w:sz w:val="22"/>
          <w:szCs w:val="22"/>
        </w:rPr>
      </w:pPr>
    </w:p>
    <w:p w14:paraId="5A2717BA" w14:textId="77777777" w:rsidR="00FB4C4A" w:rsidRDefault="00FB4C4A">
      <w:pPr>
        <w:pStyle w:val="Heading1"/>
        <w:spacing w:before="180"/>
        <w:ind w:left="562" w:hanging="562"/>
        <w:rPr>
          <w:rFonts w:ascii="Times New Roman" w:hAnsi="Times New Roman" w:cs="Times New Roman"/>
        </w:rPr>
      </w:pPr>
      <w:r>
        <w:rPr>
          <w:rFonts w:ascii="Times New Roman" w:hAnsi="Times New Roman" w:cs="Times New Roman"/>
        </w:rPr>
        <w:t>Discussion</w:t>
      </w:r>
    </w:p>
    <w:p w14:paraId="538B007C" w14:textId="70C3A1F2" w:rsidR="0039549B" w:rsidRDefault="0039549B" w:rsidP="0039549B">
      <w:pPr>
        <w:rPr>
          <w:sz w:val="22"/>
          <w:szCs w:val="22"/>
          <w:lang w:eastAsia="ja-JP"/>
        </w:rPr>
      </w:pPr>
      <w:r w:rsidRPr="0039549B">
        <w:rPr>
          <w:sz w:val="22"/>
          <w:szCs w:val="22"/>
          <w:lang w:eastAsia="ja-JP"/>
        </w:rPr>
        <w:t>In previous RAN1 meetings, the following agreement w</w:t>
      </w:r>
      <w:r>
        <w:rPr>
          <w:sz w:val="22"/>
          <w:szCs w:val="22"/>
          <w:lang w:eastAsia="ja-JP"/>
        </w:rPr>
        <w:t>as</w:t>
      </w:r>
      <w:r w:rsidRPr="0039549B">
        <w:rPr>
          <w:sz w:val="22"/>
          <w:szCs w:val="22"/>
          <w:lang w:eastAsia="ja-JP"/>
        </w:rPr>
        <w:t xml:space="preserve"> reached on timing relationship</w:t>
      </w:r>
      <w:r w:rsidR="00371F9E">
        <w:rPr>
          <w:sz w:val="22"/>
          <w:szCs w:val="22"/>
          <w:lang w:eastAsia="ja-JP"/>
        </w:rPr>
        <w:t xml:space="preserve"> </w:t>
      </w:r>
      <w:r w:rsidRPr="0039549B">
        <w:rPr>
          <w:sz w:val="22"/>
          <w:szCs w:val="22"/>
          <w:lang w:eastAsia="ja-JP"/>
        </w:rPr>
        <w:t>enhancements of IOT NTN:</w:t>
      </w:r>
    </w:p>
    <w:p w14:paraId="169E85AB" w14:textId="77777777" w:rsidR="0039549B" w:rsidRPr="0039549B" w:rsidRDefault="0039549B" w:rsidP="0039549B">
      <w:pPr>
        <w:rPr>
          <w:sz w:val="22"/>
          <w:szCs w:val="22"/>
          <w:lang w:eastAsia="ja-JP"/>
        </w:rPr>
      </w:pPr>
    </w:p>
    <w:p w14:paraId="5A7AA4D2" w14:textId="77777777" w:rsidR="0039549B" w:rsidRPr="00870863" w:rsidRDefault="0039549B" w:rsidP="0039549B">
      <w:pPr>
        <w:rPr>
          <w:rFonts w:cs="Times"/>
          <w:b/>
        </w:rPr>
      </w:pPr>
      <w:r w:rsidRPr="00870863">
        <w:rPr>
          <w:rFonts w:cs="Times"/>
          <w:b/>
          <w:highlight w:val="green"/>
        </w:rPr>
        <w:t>Agreement</w:t>
      </w:r>
      <w:r w:rsidRPr="000F7589">
        <w:rPr>
          <w:rFonts w:cs="Times"/>
          <w:bCs/>
        </w:rPr>
        <w:t xml:space="preserve"> </w:t>
      </w:r>
      <w:r w:rsidRPr="000F7589">
        <w:rPr>
          <w:rFonts w:cs="Times"/>
          <w:bCs/>
          <w:highlight w:val="green"/>
        </w:rPr>
        <w:fldChar w:fldCharType="begin"/>
      </w:r>
      <w:r w:rsidRPr="000F7589">
        <w:rPr>
          <w:rFonts w:cs="Times"/>
          <w:bCs/>
        </w:rPr>
        <w:instrText xml:space="preserve"> REF _Ref83990885 \r \h </w:instrText>
      </w:r>
      <w:r>
        <w:rPr>
          <w:rFonts w:cs="Times"/>
          <w:bCs/>
          <w:highlight w:val="green"/>
        </w:rPr>
        <w:instrText xml:space="preserve"> \* MERGEFORMAT </w:instrText>
      </w:r>
      <w:r w:rsidRPr="000F7589">
        <w:rPr>
          <w:rFonts w:cs="Times"/>
          <w:bCs/>
          <w:highlight w:val="green"/>
        </w:rPr>
      </w:r>
      <w:r w:rsidRPr="000F7589">
        <w:rPr>
          <w:rFonts w:cs="Times"/>
          <w:bCs/>
          <w:highlight w:val="green"/>
        </w:rPr>
        <w:fldChar w:fldCharType="separate"/>
      </w:r>
      <w:r w:rsidRPr="000F7589">
        <w:rPr>
          <w:rFonts w:cs="Times"/>
          <w:bCs/>
        </w:rPr>
        <w:t>[1]</w:t>
      </w:r>
      <w:r w:rsidRPr="000F7589">
        <w:rPr>
          <w:rFonts w:cs="Times"/>
          <w:bCs/>
          <w:highlight w:val="green"/>
        </w:rPr>
        <w:fldChar w:fldCharType="end"/>
      </w:r>
    </w:p>
    <w:p w14:paraId="2E11F2DE" w14:textId="77777777" w:rsidR="0039549B" w:rsidRPr="00C04D1F" w:rsidRDefault="0039549B" w:rsidP="0039549B">
      <w:pPr>
        <w:rPr>
          <w:rFonts w:ascii="Calibri" w:hAnsi="Calibri"/>
        </w:rPr>
      </w:pPr>
      <w:r w:rsidRPr="0074636A">
        <w:t>Modification of the designation of subframes with NPDCCH monitoring restrictions is needed for at least Cases 1 to 6.</w:t>
      </w:r>
    </w:p>
    <w:p w14:paraId="6193F882" w14:textId="77777777" w:rsidR="00371F9E" w:rsidRDefault="00371F9E" w:rsidP="007B4743">
      <w:pPr>
        <w:rPr>
          <w:bCs/>
          <w:sz w:val="22"/>
          <w:szCs w:val="22"/>
        </w:rPr>
      </w:pPr>
    </w:p>
    <w:p w14:paraId="4B29EB32" w14:textId="1C28BAD3" w:rsidR="007B4743" w:rsidRPr="007B4743" w:rsidRDefault="007B4743" w:rsidP="007B4743">
      <w:pPr>
        <w:rPr>
          <w:sz w:val="22"/>
          <w:szCs w:val="22"/>
        </w:rPr>
      </w:pPr>
      <w:r w:rsidRPr="007B4743">
        <w:rPr>
          <w:bCs/>
          <w:sz w:val="22"/>
          <w:szCs w:val="22"/>
        </w:rPr>
        <w:t>In IoT NTN networks, because of large propagation delays, the duration for which the UE does not need to monitor any DL signal in response to UL transmission needs to be updated compared to traditional terrestrial networks.</w:t>
      </w:r>
      <w:r w:rsidRPr="007B4743">
        <w:rPr>
          <w:sz w:val="22"/>
          <w:szCs w:val="22"/>
        </w:rPr>
        <w:t xml:space="preserve"> </w:t>
      </w:r>
      <w:r w:rsidRPr="007B4743">
        <w:rPr>
          <w:sz w:val="22"/>
          <w:szCs w:val="22"/>
          <w:lang w:val="en-GB" w:eastAsia="en-IN"/>
        </w:rPr>
        <w:t>In legacy terrestrial networks, the propagation delay between UE and enB/gNB is less than 1 msec as the distance between UE and eNB would be around 40 KM for the NBIOT case. For non-terrestrial networks, the propagation delay between UE and eNB would be much larger than 1 msec, as the distance between UE and a GEO satellite and GEO satellite to eNB/gNB would be around 35786 Km, hence we need to update the DL monitoring restriction for the UE to improve UE performance.</w:t>
      </w:r>
      <w:r w:rsidRPr="007B4743">
        <w:rPr>
          <w:sz w:val="22"/>
          <w:szCs w:val="22"/>
        </w:rPr>
        <w:t xml:space="preserve"> </w:t>
      </w:r>
    </w:p>
    <w:p w14:paraId="26CE8A0C" w14:textId="77777777" w:rsidR="00371F9E" w:rsidRDefault="00371F9E" w:rsidP="007B4743">
      <w:pPr>
        <w:rPr>
          <w:sz w:val="22"/>
          <w:szCs w:val="22"/>
        </w:rPr>
      </w:pPr>
    </w:p>
    <w:p w14:paraId="2230C4B8" w14:textId="4AB024D8" w:rsidR="007B4743" w:rsidRPr="007B4743" w:rsidRDefault="007B4743" w:rsidP="007B4743">
      <w:pPr>
        <w:rPr>
          <w:iCs/>
          <w:sz w:val="22"/>
          <w:szCs w:val="22"/>
          <w:u w:val="single"/>
        </w:rPr>
      </w:pPr>
      <w:r w:rsidRPr="007B4743">
        <w:rPr>
          <w:sz w:val="22"/>
          <w:szCs w:val="22"/>
        </w:rPr>
        <w:t xml:space="preserve">Because of long propagation delays in non-terrestrial networks, the monitoring window for DL reception also needs to be updated. In subsequent sections, we provide the necessary changes for the NPDCCH monitoring restrictions </w:t>
      </w:r>
      <w:r w:rsidR="00C502B1">
        <w:rPr>
          <w:sz w:val="22"/>
          <w:szCs w:val="22"/>
        </w:rPr>
        <w:t>which ha</w:t>
      </w:r>
      <w:r w:rsidR="00371F9E">
        <w:rPr>
          <w:sz w:val="22"/>
          <w:szCs w:val="22"/>
        </w:rPr>
        <w:t>s not</w:t>
      </w:r>
      <w:r w:rsidR="00C502B1">
        <w:rPr>
          <w:sz w:val="22"/>
          <w:szCs w:val="22"/>
        </w:rPr>
        <w:t xml:space="preserve"> been discussed</w:t>
      </w:r>
      <w:r w:rsidRPr="007B4743">
        <w:rPr>
          <w:iCs/>
          <w:sz w:val="22"/>
          <w:szCs w:val="22"/>
          <w:u w:val="single"/>
        </w:rPr>
        <w:t>.</w:t>
      </w:r>
    </w:p>
    <w:p w14:paraId="43F786D5" w14:textId="77777777" w:rsidR="007B4743" w:rsidRPr="007B4743" w:rsidRDefault="007B4743" w:rsidP="007B4743">
      <w:pPr>
        <w:rPr>
          <w:iCs/>
          <w:sz w:val="22"/>
          <w:szCs w:val="22"/>
          <w:u w:val="single"/>
        </w:rPr>
      </w:pPr>
    </w:p>
    <w:p w14:paraId="09FC77DE" w14:textId="2A6A0EE8" w:rsidR="007B4743" w:rsidRPr="007B4743" w:rsidRDefault="007B4743" w:rsidP="007B4743">
      <w:pPr>
        <w:rPr>
          <w:sz w:val="22"/>
          <w:szCs w:val="22"/>
        </w:rPr>
      </w:pPr>
      <w:r w:rsidRPr="007B4743">
        <w:rPr>
          <w:b/>
          <w:bCs/>
          <w:iCs/>
          <w:sz w:val="22"/>
          <w:szCs w:val="22"/>
          <w:u w:val="single"/>
        </w:rPr>
        <w:t>Note</w:t>
      </w:r>
      <w:r w:rsidRPr="007B4743">
        <w:rPr>
          <w:iCs/>
          <w:sz w:val="22"/>
          <w:szCs w:val="22"/>
        </w:rPr>
        <w:t xml:space="preserve">: </w:t>
      </w:r>
      <w:r w:rsidRPr="007B4743">
        <w:rPr>
          <w:sz w:val="22"/>
          <w:szCs w:val="22"/>
        </w:rPr>
        <w:t xml:space="preserve">UE monitors NPDCCH in DL subframe indices and eNB also schedules NDPCCH in DL subframe indices, so it </w:t>
      </w:r>
      <w:r w:rsidR="00371F9E">
        <w:rPr>
          <w:sz w:val="22"/>
          <w:szCs w:val="22"/>
        </w:rPr>
        <w:t>is</w:t>
      </w:r>
      <w:r w:rsidRPr="007B4743">
        <w:rPr>
          <w:sz w:val="22"/>
          <w:szCs w:val="22"/>
        </w:rPr>
        <w:t xml:space="preserve"> easier and less error prone to describe the timing in </w:t>
      </w:r>
      <w:r w:rsidRPr="00C502B1">
        <w:rPr>
          <w:b/>
          <w:bCs/>
          <w:sz w:val="22"/>
          <w:szCs w:val="22"/>
        </w:rPr>
        <w:t>DL subframes</w:t>
      </w:r>
      <w:r w:rsidRPr="007B4743">
        <w:rPr>
          <w:sz w:val="22"/>
          <w:szCs w:val="22"/>
        </w:rPr>
        <w:t xml:space="preserve"> only in the agreement, rather than mixing DL and UL subframes. This way, we can ensure the same understanding between UE and eNB for the scheduling timing.</w:t>
      </w:r>
      <w:r w:rsidRPr="007B4743">
        <w:rPr>
          <w:sz w:val="22"/>
          <w:szCs w:val="22"/>
          <w:lang w:eastAsia="x-none"/>
        </w:rPr>
        <w:t xml:space="preserve"> </w:t>
      </w:r>
    </w:p>
    <w:p w14:paraId="358F3500" w14:textId="77777777" w:rsidR="002F04BA" w:rsidRDefault="002F04BA" w:rsidP="002F04BA">
      <w:pPr>
        <w:ind w:left="720"/>
        <w:rPr>
          <w:sz w:val="22"/>
          <w:szCs w:val="22"/>
        </w:rPr>
      </w:pPr>
    </w:p>
    <w:p w14:paraId="51F10110" w14:textId="77777777" w:rsidR="007B4743" w:rsidRPr="00F072DD" w:rsidRDefault="007B4743" w:rsidP="007B4743">
      <w:pPr>
        <w:numPr>
          <w:ilvl w:val="0"/>
          <w:numId w:val="9"/>
        </w:numPr>
        <w:rPr>
          <w:sz w:val="22"/>
          <w:szCs w:val="22"/>
        </w:rPr>
      </w:pPr>
      <w:r w:rsidRPr="007B4743">
        <w:rPr>
          <w:sz w:val="22"/>
          <w:szCs w:val="22"/>
        </w:rPr>
        <w:t>We propose following specification changes</w:t>
      </w:r>
      <w:r w:rsidR="00147A88">
        <w:rPr>
          <w:sz w:val="22"/>
          <w:szCs w:val="22"/>
        </w:rPr>
        <w:t xml:space="preserve"> </w:t>
      </w:r>
      <w:r w:rsidRPr="007B4743">
        <w:rPr>
          <w:sz w:val="22"/>
          <w:szCs w:val="22"/>
        </w:rPr>
        <w:t xml:space="preserve">to 3GPP TS36.213 </w:t>
      </w:r>
      <w:r w:rsidR="002F04BA">
        <w:rPr>
          <w:sz w:val="22"/>
          <w:szCs w:val="22"/>
        </w:rPr>
        <w:t xml:space="preserve">ver 17.1.0 </w:t>
      </w:r>
      <w:r w:rsidRPr="007B4743">
        <w:rPr>
          <w:sz w:val="22"/>
          <w:szCs w:val="22"/>
        </w:rPr>
        <w:t>section 16.6</w:t>
      </w:r>
      <w:r w:rsidR="002F04BA">
        <w:rPr>
          <w:sz w:val="22"/>
          <w:szCs w:val="22"/>
        </w:rPr>
        <w:t>,</w:t>
      </w:r>
      <w:r w:rsidRPr="007B4743">
        <w:rPr>
          <w:sz w:val="22"/>
          <w:szCs w:val="22"/>
        </w:rPr>
        <w:t xml:space="preserve"> to capture the impact of UE-eNB RTT properly</w:t>
      </w:r>
      <w:r w:rsidR="00A41629">
        <w:rPr>
          <w:sz w:val="22"/>
          <w:szCs w:val="22"/>
        </w:rPr>
        <w:t xml:space="preserve"> for IoT-NTN scenarios</w:t>
      </w:r>
      <w:r w:rsidR="002F04BA">
        <w:rPr>
          <w:sz w:val="22"/>
          <w:szCs w:val="22"/>
        </w:rPr>
        <w:t xml:space="preserve">. </w:t>
      </w:r>
      <w:r w:rsidR="002F04BA" w:rsidRPr="002F04BA">
        <w:rPr>
          <w:rFonts w:eastAsia="SimSun"/>
          <w:sz w:val="22"/>
          <w:szCs w:val="22"/>
          <w:lang w:eastAsia="zh-CN"/>
        </w:rPr>
        <w:t xml:space="preserve">We suggest that </w:t>
      </w:r>
      <w:r w:rsidR="002F04BA">
        <w:rPr>
          <w:rFonts w:eastAsia="SimSun"/>
          <w:sz w:val="22"/>
          <w:szCs w:val="22"/>
          <w:lang w:eastAsia="zh-CN"/>
        </w:rPr>
        <w:t>following changes</w:t>
      </w:r>
      <w:r w:rsidR="002F04BA" w:rsidRPr="002F04BA">
        <w:rPr>
          <w:rFonts w:eastAsia="SimSun"/>
          <w:sz w:val="22"/>
          <w:szCs w:val="22"/>
          <w:lang w:eastAsia="zh-CN"/>
        </w:rPr>
        <w:t xml:space="preserve"> can be captured in TS 3</w:t>
      </w:r>
      <w:r w:rsidR="002F04BA">
        <w:rPr>
          <w:rFonts w:eastAsia="SimSun"/>
          <w:sz w:val="22"/>
          <w:szCs w:val="22"/>
          <w:lang w:eastAsia="zh-CN"/>
        </w:rPr>
        <w:t>6</w:t>
      </w:r>
      <w:r w:rsidR="002F04BA" w:rsidRPr="002F04BA">
        <w:rPr>
          <w:rFonts w:eastAsia="SimSun"/>
          <w:sz w:val="22"/>
          <w:szCs w:val="22"/>
          <w:lang w:eastAsia="zh-CN"/>
        </w:rPr>
        <w:t>.21</w:t>
      </w:r>
      <w:r w:rsidR="002F04BA">
        <w:rPr>
          <w:rFonts w:eastAsia="SimSun"/>
          <w:sz w:val="22"/>
          <w:szCs w:val="22"/>
          <w:lang w:eastAsia="zh-CN"/>
        </w:rPr>
        <w:t>3</w:t>
      </w:r>
      <w:r w:rsidR="002F04BA" w:rsidRPr="002F04BA">
        <w:rPr>
          <w:rFonts w:eastAsia="SimSun"/>
          <w:sz w:val="22"/>
          <w:szCs w:val="22"/>
          <w:lang w:eastAsia="zh-CN"/>
        </w:rPr>
        <w:t xml:space="preserve"> as an example of TP#1.</w:t>
      </w:r>
    </w:p>
    <w:p w14:paraId="25C2A844" w14:textId="30F18F38" w:rsidR="00F072DD" w:rsidRPr="002F04BA" w:rsidRDefault="00F072DD" w:rsidP="007B4743">
      <w:pPr>
        <w:numPr>
          <w:ilvl w:val="0"/>
          <w:numId w:val="9"/>
        </w:numPr>
        <w:rPr>
          <w:sz w:val="22"/>
          <w:szCs w:val="22"/>
        </w:rPr>
      </w:pPr>
      <w:r>
        <w:rPr>
          <w:rFonts w:eastAsia="SimSun"/>
          <w:sz w:val="22"/>
          <w:szCs w:val="22"/>
          <w:lang w:eastAsia="zh-CN"/>
        </w:rPr>
        <w:t>It is incumbent to include the remaining cases of NPDCCH monitoring modification for IoT-NTN, as we had agreement for case1 to case6</w:t>
      </w:r>
      <w:r w:rsidR="00D0171F">
        <w:rPr>
          <w:rFonts w:eastAsia="SimSun"/>
          <w:sz w:val="22"/>
          <w:szCs w:val="22"/>
          <w:lang w:eastAsia="zh-CN"/>
        </w:rPr>
        <w:t xml:space="preserve"> in RAN1#107-e</w:t>
      </w:r>
      <w:r>
        <w:rPr>
          <w:rFonts w:eastAsia="SimSun"/>
          <w:sz w:val="22"/>
          <w:szCs w:val="22"/>
          <w:lang w:eastAsia="zh-CN"/>
        </w:rPr>
        <w:t xml:space="preserve">.  </w:t>
      </w:r>
    </w:p>
    <w:p w14:paraId="37BE104C" w14:textId="77777777" w:rsidR="00FB4C4A" w:rsidRDefault="00FB4C4A">
      <w:pPr>
        <w:pStyle w:val="BodyText"/>
        <w:rPr>
          <w:rFonts w:eastAsia="SimSun"/>
          <w:lang w:eastAsia="zh-CN"/>
        </w:rPr>
      </w:pPr>
      <w:r>
        <w:rPr>
          <w:rFonts w:eastAsia="SimSun"/>
          <w:lang w:eastAsia="zh-CN"/>
        </w:rPr>
        <w:br/>
      </w:r>
    </w:p>
    <w:p w14:paraId="1183F40D" w14:textId="77777777" w:rsidR="004A794A" w:rsidRDefault="004A794A">
      <w:pPr>
        <w:pStyle w:val="BodyText"/>
        <w:rPr>
          <w:rFonts w:eastAsia="SimSun"/>
          <w:lang w:eastAsia="zh-CN"/>
        </w:rPr>
      </w:pPr>
    </w:p>
    <w:p w14:paraId="0E36524B" w14:textId="77777777" w:rsidR="004A794A" w:rsidRDefault="004A794A">
      <w:pPr>
        <w:pStyle w:val="BodyText"/>
        <w:rPr>
          <w:rFonts w:eastAsia="SimSun"/>
          <w:lang w:eastAsia="zh-CN"/>
        </w:rPr>
      </w:pPr>
    </w:p>
    <w:p w14:paraId="54FFCA3B" w14:textId="77777777" w:rsidR="004A794A" w:rsidRDefault="004A794A">
      <w:pPr>
        <w:pStyle w:val="BodyText"/>
        <w:rPr>
          <w:rFonts w:eastAsia="SimSun"/>
          <w:lang w:eastAsia="zh-CN"/>
        </w:rPr>
      </w:pPr>
    </w:p>
    <w:p w14:paraId="73FE221B" w14:textId="77777777" w:rsidR="004A794A" w:rsidRDefault="004A794A">
      <w:pPr>
        <w:pStyle w:val="BodyText"/>
        <w:rPr>
          <w:rFonts w:eastAsia="SimSun"/>
          <w:lang w:eastAsia="zh-CN"/>
        </w:rPr>
      </w:pPr>
    </w:p>
    <w:p w14:paraId="776F5C7E" w14:textId="77777777" w:rsidR="00FB4C4A" w:rsidRDefault="00FB4C4A">
      <w:pPr>
        <w:pStyle w:val="BodyText"/>
        <w:rPr>
          <w:rFonts w:eastAsia="SimSun"/>
          <w:lang w:eastAsia="zh-CN"/>
        </w:rPr>
      </w:pPr>
      <w:r>
        <w:rPr>
          <w:rFonts w:eastAsia="SimSun"/>
          <w:lang w:eastAsia="zh-CN"/>
        </w:rPr>
        <w:t>------------------------------------</w:t>
      </w:r>
      <w:r w:rsidR="003B0479">
        <w:rPr>
          <w:rFonts w:eastAsia="SimSun"/>
          <w:lang w:eastAsia="zh-CN"/>
        </w:rPr>
        <w:t>------------</w:t>
      </w:r>
      <w:r w:rsidRPr="003B0479">
        <w:rPr>
          <w:rFonts w:eastAsia="SimSun"/>
          <w:b/>
          <w:bCs/>
          <w:lang w:eastAsia="zh-CN"/>
        </w:rPr>
        <w:t>TP#1 TS 36.21</w:t>
      </w:r>
      <w:r w:rsidR="00C502B1" w:rsidRPr="003B0479">
        <w:rPr>
          <w:rFonts w:eastAsia="SimSun"/>
          <w:b/>
          <w:bCs/>
          <w:lang w:eastAsia="zh-CN"/>
        </w:rPr>
        <w:t>3</w:t>
      </w:r>
      <w:r w:rsidRPr="003B0479">
        <w:rPr>
          <w:rFonts w:eastAsia="SimSun"/>
          <w:b/>
          <w:bCs/>
          <w:lang w:eastAsia="zh-CN"/>
        </w:rPr>
        <w:t xml:space="preserve"> (in </w:t>
      </w:r>
      <w:r w:rsidR="00EB5E32" w:rsidRPr="003B0479">
        <w:rPr>
          <w:rFonts w:eastAsia="SimSun"/>
          <w:b/>
          <w:bCs/>
          <w:lang w:eastAsia="zh-CN"/>
        </w:rPr>
        <w:t>red</w:t>
      </w:r>
      <w:r w:rsidRPr="003B0479">
        <w:rPr>
          <w:rFonts w:eastAsia="SimSun"/>
          <w:b/>
          <w:bCs/>
          <w:lang w:eastAsia="zh-CN"/>
        </w:rPr>
        <w:t>)</w:t>
      </w:r>
      <w:r>
        <w:rPr>
          <w:rFonts w:eastAsia="SimSun"/>
          <w:lang w:eastAsia="zh-CN"/>
        </w:rPr>
        <w:t>-----------------------------------------------</w:t>
      </w:r>
    </w:p>
    <w:p w14:paraId="063C4331" w14:textId="77777777" w:rsidR="00C502B1" w:rsidRDefault="00C502B1" w:rsidP="00B50E43">
      <w:pPr>
        <w:pStyle w:val="Heading1"/>
        <w:numPr>
          <w:ilvl w:val="0"/>
          <w:numId w:val="0"/>
        </w:numPr>
        <w:ind w:left="567" w:hanging="567"/>
        <w:rPr>
          <w:lang w:eastAsia="zh-CN"/>
        </w:rPr>
      </w:pPr>
      <w:r>
        <w:rPr>
          <w:lang w:eastAsia="zh-CN"/>
        </w:rPr>
        <w:lastRenderedPageBreak/>
        <w:t>16</w:t>
      </w:r>
      <w:r w:rsidR="00B50E43">
        <w:rPr>
          <w:lang w:eastAsia="zh-CN"/>
        </w:rPr>
        <w:t xml:space="preserve"> </w:t>
      </w:r>
      <w:r w:rsidR="00B50E43" w:rsidRPr="001A7C01">
        <w:t>UE Procedures related to narrowband IoT</w:t>
      </w:r>
      <w:bookmarkStart w:id="0" w:name="_Toc454818106"/>
    </w:p>
    <w:p w14:paraId="50EA5430" w14:textId="77777777" w:rsidR="00C502B1" w:rsidRPr="001A7C01" w:rsidRDefault="00B50E43" w:rsidP="00C502B1">
      <w:pPr>
        <w:pStyle w:val="Heading2"/>
        <w:numPr>
          <w:ilvl w:val="0"/>
          <w:numId w:val="0"/>
        </w:numPr>
      </w:pPr>
      <w:r>
        <w:t>16</w:t>
      </w:r>
      <w:r w:rsidR="00FB4C4A">
        <w:t>.</w:t>
      </w:r>
      <w:bookmarkEnd w:id="0"/>
      <w:r>
        <w:t>6</w:t>
      </w:r>
      <w:r w:rsidR="004A794A">
        <w:t xml:space="preserve">  </w:t>
      </w:r>
      <w:r w:rsidR="00C502B1" w:rsidRPr="001A7C01">
        <w:t>Narrowband physical downlink control channel related procedures</w:t>
      </w:r>
    </w:p>
    <w:p w14:paraId="48ACA7C7" w14:textId="77777777" w:rsidR="00FB4C4A" w:rsidRPr="003B0479" w:rsidRDefault="003B0479">
      <w:pPr>
        <w:pStyle w:val="Heading2"/>
        <w:keepNext w:val="0"/>
        <w:widowControl w:val="0"/>
        <w:numPr>
          <w:ilvl w:val="0"/>
          <w:numId w:val="0"/>
        </w:numPr>
        <w:tabs>
          <w:tab w:val="left" w:pos="567"/>
        </w:tabs>
        <w:rPr>
          <w:color w:val="FF0000"/>
        </w:rPr>
      </w:pPr>
      <w:r w:rsidRPr="003B0479">
        <w:rPr>
          <w:color w:val="FF0000"/>
        </w:rPr>
        <w:t>**********************redundant portions are omitted***********************</w:t>
      </w:r>
    </w:p>
    <w:p w14:paraId="22AD5E2D" w14:textId="77777777" w:rsidR="00C502B1" w:rsidRPr="001A7C01" w:rsidRDefault="00C502B1" w:rsidP="00C502B1">
      <w:r w:rsidRPr="001A7C01">
        <w:t xml:space="preserve">If a NB-IoT UE is configured with higher layer parameter </w:t>
      </w:r>
      <w:r w:rsidRPr="001A7C01">
        <w:rPr>
          <w:i/>
        </w:rPr>
        <w:t>twoHARQ-ProcessesConfig</w:t>
      </w:r>
    </w:p>
    <w:p w14:paraId="7002B8DD" w14:textId="77777777" w:rsidR="00C502B1" w:rsidRPr="001A7C01" w:rsidRDefault="00C502B1" w:rsidP="00C502B1">
      <w:pPr>
        <w:pStyle w:val="B1"/>
      </w:pPr>
      <w:r w:rsidRPr="001A7C01">
        <w:t>-</w:t>
      </w:r>
      <w:r w:rsidRPr="001A7C01">
        <w:tab/>
        <w:t xml:space="preserve">and if the UE has a NPUSCH transmission ending in subframe </w:t>
      </w:r>
      <w:r w:rsidRPr="001A7C01">
        <w:rPr>
          <w:i/>
        </w:rPr>
        <w:t>n</w:t>
      </w:r>
      <w:r w:rsidRPr="001A7C01">
        <w:t>,</w:t>
      </w:r>
    </w:p>
    <w:p w14:paraId="337AF24B" w14:textId="77777777" w:rsidR="00C502B1" w:rsidRPr="00CF256D" w:rsidRDefault="00C502B1" w:rsidP="00C502B1">
      <w:pPr>
        <w:pStyle w:val="B2"/>
      </w:pPr>
      <w:r w:rsidRPr="001A7C01">
        <w:t>-</w:t>
      </w:r>
      <w:r w:rsidRPr="001A7C01">
        <w:tab/>
        <w:t>the UE is not required to receive transmission</w:t>
      </w:r>
      <w:r>
        <w:t>s in the Type B half-duplex guard periods as specified in [3]for FDD</w:t>
      </w:r>
      <w:r w:rsidRPr="001A7C01" w:rsidDel="00CF256D">
        <w:t xml:space="preserve"> </w:t>
      </w:r>
      <w:r w:rsidRPr="003D038A">
        <w:t>; and</w:t>
      </w:r>
    </w:p>
    <w:p w14:paraId="0EADF267" w14:textId="4032D59B" w:rsidR="00C502B1" w:rsidRPr="001A7C01" w:rsidRDefault="00C502B1" w:rsidP="00C502B1">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w:t>
      </w:r>
      <m:oMath>
        <m:r>
          <w:rPr>
            <w:rFonts w:ascii="Cambria Math" w:hAnsi="Cambria Math"/>
            <w:color w:val="FF0000"/>
            <w:sz w:val="24"/>
          </w:rPr>
          <m:t xml:space="preserve">- </m:t>
        </m:r>
        <m:sSubSup>
          <m:sSubSupPr>
            <m:ctrlPr>
              <w:rPr>
                <w:rFonts w:ascii="Cambria Math" w:hAnsi="Cambria Math"/>
                <w:i/>
                <w:iCs/>
                <w:color w:val="FF0000"/>
                <w:sz w:val="24"/>
              </w:rPr>
            </m:ctrlPr>
          </m:sSubSupPr>
          <m:e>
            <m:r>
              <w:rPr>
                <w:rFonts w:ascii="Cambria Math" w:hAnsi="Cambria Math"/>
                <w:color w:val="FF0000"/>
                <w:sz w:val="24"/>
              </w:rPr>
              <m:t>n</m:t>
            </m:r>
          </m:e>
          <m:sub>
            <m:r>
              <w:rPr>
                <w:rFonts w:ascii="Cambria Math" w:hAnsi="Cambria Math"/>
                <w:color w:val="FF0000"/>
                <w:sz w:val="24"/>
              </w:rPr>
              <m:t>TA</m:t>
            </m:r>
          </m:sub>
          <m:sup>
            <m:r>
              <w:rPr>
                <w:rFonts w:ascii="Cambria Math" w:hAnsi="Cambria Math"/>
                <w:color w:val="FF0000"/>
                <w:sz w:val="24"/>
              </w:rPr>
              <m:t>UE</m:t>
            </m:r>
          </m:sup>
        </m:sSubSup>
      </m:oMath>
      <w:r w:rsidRPr="001A7C01">
        <w:t xml:space="preserve"> to subframe n+3</w:t>
      </w:r>
      <m:oMath>
        <m:r>
          <w:rPr>
            <w:rFonts w:ascii="Cambria Math" w:hAnsi="Cambria Math"/>
            <w:color w:val="FF0000"/>
            <w:sz w:val="24"/>
          </w:rPr>
          <m:t>+</m:t>
        </m:r>
        <m:sSub>
          <m:sSubPr>
            <m:ctrlPr>
              <w:rPr>
                <w:rFonts w:ascii="Cambria Math" w:hAnsi="Cambria Math"/>
                <w:i/>
                <w:color w:val="FF0000"/>
                <w:sz w:val="24"/>
              </w:rPr>
            </m:ctrlPr>
          </m:sSubPr>
          <m:e>
            <m:r>
              <w:rPr>
                <w:rFonts w:ascii="Cambria Math" w:hAnsi="Cambria Math"/>
                <w:color w:val="FF0000"/>
                <w:sz w:val="24"/>
              </w:rPr>
              <m:t>K</m:t>
            </m:r>
          </m:e>
          <m:sub>
            <m:r>
              <w:rPr>
                <w:rFonts w:ascii="Cambria Math" w:hAnsi="Cambria Math"/>
                <w:color w:val="FF0000"/>
                <w:sz w:val="24"/>
              </w:rPr>
              <m:t>mac</m:t>
            </m:r>
          </m:sub>
        </m:sSub>
      </m:oMath>
      <w:r w:rsidRPr="001A7C01">
        <w:rPr>
          <w:i/>
        </w:rPr>
        <w:t>;</w:t>
      </w:r>
    </w:p>
    <w:p w14:paraId="42391403" w14:textId="77777777" w:rsidR="00C502B1" w:rsidRDefault="00C502B1" w:rsidP="00C502B1">
      <w:r w:rsidRPr="00A900DA">
        <w:t xml:space="preserve">else if the UE is not </w:t>
      </w:r>
      <w:r>
        <w:t>using</w:t>
      </w:r>
      <w:r w:rsidRPr="00A900DA">
        <w:t xml:space="preserve"> higher layer parameter </w:t>
      </w:r>
      <w:r w:rsidRPr="00A900DA">
        <w:rPr>
          <w:i/>
        </w:rPr>
        <w:t>edt-</w:t>
      </w:r>
      <w:r>
        <w:rPr>
          <w:i/>
        </w:rPr>
        <w:t>P</w:t>
      </w:r>
      <w:r w:rsidRPr="00A900DA">
        <w:rPr>
          <w:i/>
        </w:rPr>
        <w:t>arameters</w:t>
      </w:r>
      <w:r w:rsidRPr="00A900DA">
        <w:rPr>
          <w:rFonts w:eastAsia="MS Mincho"/>
        </w:rPr>
        <w:t xml:space="preserve"> or if </w:t>
      </w:r>
      <w:r w:rsidRPr="00A900DA">
        <w:t xml:space="preserve">the UE is </w:t>
      </w:r>
      <w:r>
        <w:t>using</w:t>
      </w:r>
      <w:r w:rsidRPr="00A900DA">
        <w:t xml:space="preserve"> higher layer parameter </w:t>
      </w:r>
      <w:r w:rsidRPr="00A900DA">
        <w:rPr>
          <w:i/>
        </w:rPr>
        <w:t>edt-</w:t>
      </w:r>
      <w:r>
        <w:rPr>
          <w:i/>
        </w:rPr>
        <w:t>P</w:t>
      </w:r>
      <w:r w:rsidRPr="00A900DA">
        <w:rPr>
          <w:i/>
        </w:rPr>
        <w:t xml:space="preserve">arameters </w:t>
      </w:r>
      <w:r w:rsidRPr="00A900DA">
        <w:t xml:space="preserve">and </w:t>
      </w:r>
      <w:r w:rsidRPr="00A900DA">
        <w:rPr>
          <w:position w:val="-12"/>
        </w:rPr>
        <w:object w:dxaOrig="1200" w:dyaOrig="380" w14:anchorId="4B1B4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57.9pt;height:14.4pt" o:ole="">
            <v:imagedata r:id="rId10" o:title=""/>
          </v:shape>
          <o:OLEObject Type="Embed" ProgID="Equation.DSMT4" ShapeID="_x0000_i1031" DrawAspect="Content" ObjectID="_1712157262" r:id="rId11"/>
        </w:object>
      </w:r>
      <w:r w:rsidRPr="00A900DA">
        <w:t xml:space="preserve"> </w:t>
      </w:r>
    </w:p>
    <w:p w14:paraId="22C19294" w14:textId="6343DE91" w:rsidR="00C502B1" w:rsidRDefault="00C502B1" w:rsidP="00C502B1">
      <w:pPr>
        <w:pStyle w:val="B1"/>
      </w:pPr>
      <w:r w:rsidRPr="001A7C01">
        <w:t>-</w:t>
      </w:r>
      <w:r w:rsidRPr="001A7C01">
        <w:tab/>
        <w:t xml:space="preserve">if the NB-IoT UE has a NPUSCH transmission ending in subframe </w:t>
      </w:r>
      <w:r w:rsidRPr="001A7C01">
        <w:rPr>
          <w:i/>
        </w:rPr>
        <w:t>n</w:t>
      </w:r>
      <w:r w:rsidRPr="001A7C01">
        <w:t xml:space="preserve"> , the UE is not required to monitor NPDCCH in any subframe starting from subframe </w:t>
      </w:r>
      <w:r w:rsidRPr="001A7C01">
        <w:rPr>
          <w:i/>
        </w:rPr>
        <w:t>n+1</w:t>
      </w:r>
      <m:oMath>
        <m:r>
          <w:rPr>
            <w:rFonts w:ascii="Cambria Math" w:hAnsi="Cambria Math"/>
            <w:color w:val="FF0000"/>
            <w:sz w:val="24"/>
          </w:rPr>
          <m:t xml:space="preserve">- </m:t>
        </m:r>
        <m:sSubSup>
          <m:sSubSupPr>
            <m:ctrlPr>
              <w:rPr>
                <w:rFonts w:ascii="Cambria Math" w:hAnsi="Cambria Math"/>
                <w:i/>
                <w:iCs/>
                <w:color w:val="FF0000"/>
                <w:sz w:val="24"/>
              </w:rPr>
            </m:ctrlPr>
          </m:sSubSupPr>
          <m:e>
            <m:r>
              <w:rPr>
                <w:rFonts w:ascii="Cambria Math" w:hAnsi="Cambria Math"/>
                <w:color w:val="FF0000"/>
                <w:sz w:val="24"/>
              </w:rPr>
              <m:t>n</m:t>
            </m:r>
          </m:e>
          <m:sub>
            <m:r>
              <w:rPr>
                <w:rFonts w:ascii="Cambria Math" w:hAnsi="Cambria Math"/>
                <w:color w:val="FF0000"/>
                <w:sz w:val="24"/>
              </w:rPr>
              <m:t>TA</m:t>
            </m:r>
          </m:sub>
          <m:sup>
            <m:r>
              <w:rPr>
                <w:rFonts w:ascii="Cambria Math" w:hAnsi="Cambria Math"/>
                <w:color w:val="FF0000"/>
                <w:sz w:val="24"/>
              </w:rPr>
              <m:t>UE</m:t>
            </m:r>
          </m:sup>
        </m:sSubSup>
      </m:oMath>
      <w:r w:rsidRPr="001A7C01">
        <w:rPr>
          <w:i/>
        </w:rPr>
        <w:t xml:space="preserve"> </w:t>
      </w:r>
      <w:r w:rsidRPr="001A7C01">
        <w:t xml:space="preserve">to subframe </w:t>
      </w:r>
      <w:r w:rsidRPr="001A7C01">
        <w:rPr>
          <w:i/>
        </w:rPr>
        <w:t>n+3</w:t>
      </w:r>
      <m:oMath>
        <m:r>
          <w:rPr>
            <w:rFonts w:ascii="Cambria Math" w:hAnsi="Cambria Math"/>
            <w:color w:val="FF0000"/>
            <w:sz w:val="24"/>
          </w:rPr>
          <m:t>+</m:t>
        </m:r>
        <m:sSub>
          <m:sSubPr>
            <m:ctrlPr>
              <w:rPr>
                <w:rFonts w:ascii="Cambria Math" w:hAnsi="Cambria Math"/>
                <w:i/>
                <w:color w:val="FF0000"/>
                <w:sz w:val="24"/>
              </w:rPr>
            </m:ctrlPr>
          </m:sSubPr>
          <m:e>
            <m:r>
              <w:rPr>
                <w:rFonts w:ascii="Cambria Math" w:hAnsi="Cambria Math"/>
                <w:color w:val="FF0000"/>
                <w:sz w:val="24"/>
              </w:rPr>
              <m:t>K</m:t>
            </m:r>
          </m:e>
          <m:sub>
            <m:r>
              <w:rPr>
                <w:rFonts w:ascii="Cambria Math" w:hAnsi="Cambria Math"/>
                <w:color w:val="FF0000"/>
                <w:sz w:val="24"/>
              </w:rPr>
              <m:t>mac</m:t>
            </m:r>
          </m:sub>
        </m:sSub>
      </m:oMath>
      <w:r w:rsidRPr="001A7C01">
        <w:t xml:space="preserve">. </w:t>
      </w:r>
    </w:p>
    <w:p w14:paraId="77210949" w14:textId="77777777" w:rsidR="00C502B1" w:rsidRPr="0017779F" w:rsidRDefault="00C502B1" w:rsidP="00C502B1">
      <w:pPr>
        <w:rPr>
          <w:lang w:eastAsia="zh-CN"/>
        </w:rPr>
      </w:pPr>
      <w:r w:rsidRPr="0017779F">
        <w:rPr>
          <w:lang w:eastAsia="zh-CN"/>
        </w:rPr>
        <w:t>o</w:t>
      </w:r>
      <w:r w:rsidRPr="0017779F">
        <w:rPr>
          <w:rFonts w:hint="eastAsia"/>
          <w:lang w:eastAsia="zh-CN"/>
        </w:rPr>
        <w:t>therwise</w:t>
      </w:r>
      <w:r>
        <w:rPr>
          <w:lang w:eastAsia="zh-CN"/>
        </w:rPr>
        <w:t>,</w:t>
      </w:r>
    </w:p>
    <w:p w14:paraId="496E2756" w14:textId="0B8875DD" w:rsidR="00C502B1" w:rsidRPr="001A7C01" w:rsidRDefault="00C502B1" w:rsidP="00C502B1">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w14:anchorId="20867D39">
          <v:shape id="_x0000_i1038" type="#_x0000_t75" style="width:36.95pt;height:14.4pt" o:ole="">
            <v:imagedata r:id="rId12" o:title=""/>
          </v:shape>
          <o:OLEObject Type="Embed" ProgID="Equation.DSMT4" ShapeID="_x0000_i1038" DrawAspect="Content" ObjectID="_1712157263" r:id="rId13"/>
        </w:object>
      </w:r>
      <w:r>
        <w:t xml:space="preserve"> , </w:t>
      </w:r>
      <w:r w:rsidRPr="00C9201D">
        <w:t xml:space="preserve">whereas if </w:t>
      </w:r>
      <w:r w:rsidRPr="00C9201D">
        <w:rPr>
          <w:position w:val="-14"/>
        </w:rPr>
        <w:object w:dxaOrig="1020" w:dyaOrig="340" w14:anchorId="627EAD40">
          <v:shape id="_x0000_i1039" type="#_x0000_t75" style="width:50.1pt;height:14.4pt" o:ole="">
            <v:imagedata r:id="rId14" o:title=""/>
          </v:shape>
          <o:OLEObject Type="Embed" ProgID="Equation.DSMT4" ShapeID="_x0000_i1039" DrawAspect="Content" ObjectID="_1712157264" r:id="rId15"/>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+1</w:t>
      </w:r>
      <m:oMath>
        <m:r>
          <w:rPr>
            <w:rFonts w:ascii="Cambria Math" w:hAnsi="Cambria Math"/>
            <w:color w:val="FF0000"/>
            <w:sz w:val="24"/>
          </w:rPr>
          <m:t xml:space="preserve">- </m:t>
        </m:r>
        <m:sSubSup>
          <m:sSubSupPr>
            <m:ctrlPr>
              <w:rPr>
                <w:rFonts w:ascii="Cambria Math" w:hAnsi="Cambria Math"/>
                <w:i/>
                <w:iCs/>
                <w:color w:val="FF0000"/>
                <w:sz w:val="24"/>
              </w:rPr>
            </m:ctrlPr>
          </m:sSubSupPr>
          <m:e>
            <m:r>
              <w:rPr>
                <w:rFonts w:ascii="Cambria Math" w:hAnsi="Cambria Math"/>
                <w:color w:val="FF0000"/>
                <w:sz w:val="24"/>
              </w:rPr>
              <m:t>n</m:t>
            </m:r>
          </m:e>
          <m:sub>
            <m:r>
              <w:rPr>
                <w:rFonts w:ascii="Cambria Math" w:hAnsi="Cambria Math"/>
                <w:color w:val="FF0000"/>
                <w:sz w:val="24"/>
              </w:rPr>
              <m:t>TA</m:t>
            </m:r>
          </m:sub>
          <m:sup>
            <m:r>
              <w:rPr>
                <w:rFonts w:ascii="Cambria Math" w:hAnsi="Cambria Math"/>
                <w:color w:val="FF0000"/>
                <w:sz w:val="24"/>
              </w:rPr>
              <m:t>UE</m:t>
            </m:r>
          </m:sup>
        </m:sSubSup>
      </m:oMath>
      <w:r w:rsidRPr="00F26B3C">
        <w:rPr>
          <w:i/>
        </w:rPr>
        <w:t xml:space="preserve"> </w:t>
      </w:r>
      <w:r w:rsidRPr="00F26B3C">
        <w:t xml:space="preserve">to subframe </w:t>
      </w:r>
      <w:r w:rsidRPr="00F26B3C">
        <w:rPr>
          <w:i/>
        </w:rPr>
        <w:t>n+3</w:t>
      </w:r>
      <m:oMath>
        <m:r>
          <w:rPr>
            <w:rFonts w:ascii="Cambria Math" w:hAnsi="Cambria Math"/>
            <w:color w:val="FF0000"/>
            <w:sz w:val="24"/>
          </w:rPr>
          <m:t>+</m:t>
        </m:r>
        <m:sSub>
          <m:sSubPr>
            <m:ctrlPr>
              <w:rPr>
                <w:rFonts w:ascii="Cambria Math" w:hAnsi="Cambria Math"/>
                <w:i/>
                <w:color w:val="FF0000"/>
                <w:sz w:val="24"/>
              </w:rPr>
            </m:ctrlPr>
          </m:sSubPr>
          <m:e>
            <m:r>
              <w:rPr>
                <w:rFonts w:ascii="Cambria Math" w:hAnsi="Cambria Math"/>
                <w:color w:val="FF0000"/>
                <w:sz w:val="24"/>
              </w:rPr>
              <m:t>K</m:t>
            </m:r>
          </m:e>
          <m:sub>
            <m:r>
              <w:rPr>
                <w:rFonts w:ascii="Cambria Math" w:hAnsi="Cambria Math"/>
                <w:color w:val="FF0000"/>
                <w:sz w:val="24"/>
              </w:rPr>
              <m:t>mac</m:t>
            </m:r>
          </m:sub>
        </m:sSub>
      </m:oMath>
      <w:r w:rsidRPr="00F26B3C">
        <w:t xml:space="preserve">. </w:t>
      </w:r>
    </w:p>
    <w:p w14:paraId="21E7E4C9" w14:textId="77777777" w:rsidR="00C502B1" w:rsidRPr="001A7C01" w:rsidRDefault="00C502B1" w:rsidP="00C502B1">
      <w:r w:rsidRPr="001A7C01">
        <w:t xml:space="preserve">If a NB-IoT UE receives a NPDSCH transmission ending in subframe </w:t>
      </w:r>
      <w:r w:rsidRPr="001A7C01">
        <w:rPr>
          <w:i/>
        </w:rPr>
        <w:t>n,</w:t>
      </w:r>
      <w:r>
        <w:rPr>
          <w:i/>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14:paraId="5840C4FD" w14:textId="77777777" w:rsidR="00C502B1" w:rsidRPr="001A7C01" w:rsidRDefault="00C502B1" w:rsidP="00C502B1">
      <w:pPr>
        <w:rPr>
          <w:i/>
          <w:lang w:eastAsia="zh-CN"/>
        </w:rPr>
      </w:pPr>
      <w:r w:rsidRPr="001A7C01">
        <w:t xml:space="preserve">If a NB-IoT UE is configured with higher layer parameter </w:t>
      </w:r>
      <w:r w:rsidRPr="001A7C01">
        <w:rPr>
          <w:i/>
        </w:rPr>
        <w:t>twoHARQ-ProcessesConfig</w:t>
      </w:r>
    </w:p>
    <w:p w14:paraId="47D2132C" w14:textId="77777777" w:rsidR="00C502B1" w:rsidRPr="001A7C01" w:rsidRDefault="00C502B1" w:rsidP="00C502B1">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14:paraId="61366316" w14:textId="77777777" w:rsidR="00C502B1" w:rsidRPr="001A7C01" w:rsidRDefault="00C502B1" w:rsidP="00C502B1">
      <w:pPr>
        <w:rPr>
          <w:lang w:eastAsia="zh-CN"/>
        </w:rPr>
      </w:pPr>
      <w:r w:rsidRPr="001A7C01">
        <w:rPr>
          <w:lang w:eastAsia="zh-CN"/>
        </w:rPr>
        <w:t>o</w:t>
      </w:r>
      <w:r w:rsidRPr="001A7C01">
        <w:rPr>
          <w:rFonts w:hint="eastAsia"/>
          <w:lang w:eastAsia="zh-CN"/>
        </w:rPr>
        <w:t>therwise</w:t>
      </w:r>
    </w:p>
    <w:p w14:paraId="7E84369A" w14:textId="77777777" w:rsidR="00C502B1" w:rsidRPr="001A7C01" w:rsidRDefault="00C502B1" w:rsidP="00C502B1">
      <w:pPr>
        <w:pStyle w:val="B1"/>
      </w:pPr>
      <w:r w:rsidRPr="001A7C01">
        <w:t>-</w:t>
      </w:r>
      <w:r w:rsidRPr="001A7C01">
        <w:tab/>
        <w:t xml:space="preserve">the UE is not required to monitor NPDCCH candidates of an NPDCCH search space if an NPDCCH candidate of the NPDCCH search space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n+5</w:t>
      </w:r>
      <w:r w:rsidRPr="001A7C01">
        <w:t xml:space="preserve">. </w:t>
      </w:r>
    </w:p>
    <w:p w14:paraId="312FBC90" w14:textId="77777777" w:rsidR="00C502B1" w:rsidRDefault="00C502B1" w:rsidP="00C502B1">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14:paraId="0F61BBA7" w14:textId="77777777" w:rsidR="00C502B1" w:rsidRDefault="00C502B1" w:rsidP="00C502B1">
      <w:pPr>
        <w:rPr>
          <w:lang w:eastAsia="zh-CN"/>
        </w:rPr>
      </w:pPr>
      <w:r w:rsidRPr="00640A87">
        <w:rPr>
          <w:rFonts w:hint="eastAsia"/>
          <w:lang w:eastAsia="zh-CN"/>
        </w:rPr>
        <w:t>An</w:t>
      </w:r>
      <w:r w:rsidRPr="00640A87">
        <w:rPr>
          <w:lang w:eastAsia="zh-CN"/>
        </w:rPr>
        <w:t xml:space="preserve"> NB-IoT UE is not required to monitor NPDCCH candidates of a Type2A-NPDCCH common search space during</w:t>
      </w:r>
      <w:r w:rsidRPr="00640A87">
        <w:t xml:space="preserve"> </w:t>
      </w:r>
      <w:r w:rsidRPr="00640A87">
        <w:rPr>
          <w:lang w:eastAsia="zh-CN"/>
        </w:rPr>
        <w:t>the</w:t>
      </w:r>
      <w:r>
        <w:rPr>
          <w:lang w:eastAsia="zh-CN"/>
        </w:rPr>
        <w:t xml:space="preserve"> scheduling gap or the</w:t>
      </w:r>
      <w:r w:rsidRPr="00640A87">
        <w:rPr>
          <w:lang w:eastAsia="zh-CN"/>
        </w:rPr>
        <w:t xml:space="preserve"> processing gap.</w:t>
      </w:r>
    </w:p>
    <w:p w14:paraId="3368B941" w14:textId="77777777" w:rsidR="00C502B1" w:rsidRDefault="00C502B1" w:rsidP="00C502B1">
      <w:r>
        <w:t xml:space="preserve">For an NB-IoT UE configured with higher layer parameter </w:t>
      </w:r>
      <w:r>
        <w:rPr>
          <w:i/>
        </w:rPr>
        <w:t>sr-WithoutHARQ-ACK-Config</w:t>
      </w:r>
      <w:r>
        <w:t xml:space="preserve">, if the transmission of a narrowband random access preamble for SR ends on subframe </w:t>
      </w:r>
      <w:r>
        <w:rPr>
          <w:i/>
        </w:rPr>
        <w:t>n</w:t>
      </w:r>
      <w:r>
        <w:t>,</w:t>
      </w:r>
    </w:p>
    <w:p w14:paraId="5397C64F" w14:textId="2115CBC0" w:rsidR="00C502B1" w:rsidRDefault="00C502B1" w:rsidP="00C502B1">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subframe </w:t>
      </w:r>
      <w:r>
        <w:rPr>
          <w:i/>
        </w:rPr>
        <w:t>n</w:t>
      </w:r>
      <m:oMath>
        <m:r>
          <w:rPr>
            <w:rFonts w:ascii="Cambria Math" w:hAnsi="Cambria Math"/>
            <w:color w:val="FF0000"/>
            <w:sz w:val="24"/>
          </w:rPr>
          <m:t xml:space="preserve">- </m:t>
        </m:r>
        <m:sSubSup>
          <m:sSubSupPr>
            <m:ctrlPr>
              <w:rPr>
                <w:rFonts w:ascii="Cambria Math" w:hAnsi="Cambria Math"/>
                <w:i/>
                <w:iCs/>
                <w:color w:val="FF0000"/>
                <w:sz w:val="24"/>
              </w:rPr>
            </m:ctrlPr>
          </m:sSubSupPr>
          <m:e>
            <m:r>
              <w:rPr>
                <w:rFonts w:ascii="Cambria Math" w:hAnsi="Cambria Math"/>
                <w:color w:val="FF0000"/>
                <w:sz w:val="24"/>
              </w:rPr>
              <m:t>n</m:t>
            </m:r>
          </m:e>
          <m:sub>
            <m:r>
              <w:rPr>
                <w:rFonts w:ascii="Cambria Math" w:hAnsi="Cambria Math"/>
                <w:color w:val="FF0000"/>
                <w:sz w:val="24"/>
              </w:rPr>
              <m:t>TA</m:t>
            </m:r>
          </m:sub>
          <m:sup>
            <m:r>
              <w:rPr>
                <w:rFonts w:ascii="Cambria Math" w:hAnsi="Cambria Math"/>
                <w:color w:val="FF0000"/>
                <w:sz w:val="24"/>
              </w:rPr>
              <m:t>UE</m:t>
            </m:r>
          </m:sup>
        </m:sSubSup>
      </m:oMath>
      <w:r>
        <w:t xml:space="preserve"> to subframe </w:t>
      </w:r>
      <w:r>
        <w:rPr>
          <w:i/>
        </w:rPr>
        <w:t>n</w:t>
      </w:r>
      <w:r>
        <w:t>+</w:t>
      </w:r>
      <w:r w:rsidRPr="00AD7F4E">
        <w:rPr>
          <w:i/>
        </w:rPr>
        <w:t>40</w:t>
      </w:r>
      <m:oMath>
        <m:r>
          <w:rPr>
            <w:rFonts w:ascii="Cambria Math" w:hAnsi="Cambria Math"/>
            <w:color w:val="FF0000"/>
            <w:sz w:val="24"/>
          </w:rPr>
          <m:t>+</m:t>
        </m:r>
        <m:sSub>
          <m:sSubPr>
            <m:ctrlPr>
              <w:rPr>
                <w:rFonts w:ascii="Cambria Math" w:hAnsi="Cambria Math"/>
                <w:i/>
                <w:color w:val="FF0000"/>
                <w:sz w:val="24"/>
              </w:rPr>
            </m:ctrlPr>
          </m:sSubPr>
          <m:e>
            <m:r>
              <w:rPr>
                <w:rFonts w:ascii="Cambria Math" w:hAnsi="Cambria Math"/>
                <w:color w:val="FF0000"/>
                <w:sz w:val="24"/>
              </w:rPr>
              <m:t>K</m:t>
            </m:r>
          </m:e>
          <m:sub>
            <m:r>
              <w:rPr>
                <w:rFonts w:ascii="Cambria Math" w:hAnsi="Cambria Math"/>
                <w:color w:val="FF0000"/>
                <w:sz w:val="24"/>
              </w:rPr>
              <m:t>mac</m:t>
            </m:r>
          </m:sub>
        </m:sSub>
      </m:oMath>
      <w:r>
        <w:t>,</w:t>
      </w:r>
    </w:p>
    <w:p w14:paraId="009F9A6C" w14:textId="02CD12F9" w:rsidR="00C502B1" w:rsidRPr="001A7C01" w:rsidRDefault="00C502B1" w:rsidP="00C502B1">
      <w:pPr>
        <w:pStyle w:val="B1"/>
        <w:rPr>
          <w:lang w:eastAsia="zh-CN"/>
        </w:rPr>
      </w:pPr>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m:oMath>
        <m:r>
          <w:rPr>
            <w:rFonts w:ascii="Cambria Math" w:hAnsi="Cambria Math"/>
            <w:color w:val="FF0000"/>
            <w:sz w:val="24"/>
          </w:rPr>
          <m:t xml:space="preserve">- </m:t>
        </m:r>
        <m:sSubSup>
          <m:sSubSupPr>
            <m:ctrlPr>
              <w:rPr>
                <w:rFonts w:ascii="Cambria Math" w:hAnsi="Cambria Math"/>
                <w:i/>
                <w:iCs/>
                <w:color w:val="FF0000"/>
                <w:sz w:val="24"/>
              </w:rPr>
            </m:ctrlPr>
          </m:sSubSupPr>
          <m:e>
            <m:r>
              <w:rPr>
                <w:rFonts w:ascii="Cambria Math" w:hAnsi="Cambria Math"/>
                <w:color w:val="FF0000"/>
                <w:sz w:val="24"/>
              </w:rPr>
              <m:t>n</m:t>
            </m:r>
          </m:e>
          <m:sub>
            <m:r>
              <w:rPr>
                <w:rFonts w:ascii="Cambria Math" w:hAnsi="Cambria Math"/>
                <w:color w:val="FF0000"/>
                <w:sz w:val="24"/>
              </w:rPr>
              <m:t>TA</m:t>
            </m:r>
          </m:sub>
          <m:sup>
            <m:r>
              <w:rPr>
                <w:rFonts w:ascii="Cambria Math" w:hAnsi="Cambria Math"/>
                <w:color w:val="FF0000"/>
                <w:sz w:val="24"/>
              </w:rPr>
              <m:t>UE</m:t>
            </m:r>
          </m:sup>
        </m:sSubSup>
      </m:oMath>
      <w:r>
        <w:t xml:space="preserve"> to subframe </w:t>
      </w:r>
      <w:r>
        <w:rPr>
          <w:i/>
        </w:rPr>
        <w:t>n</w:t>
      </w:r>
      <w:r>
        <w:t>+</w:t>
      </w:r>
      <w:r>
        <w:rPr>
          <w:i/>
        </w:rPr>
        <w:t>3</w:t>
      </w:r>
      <w:r w:rsidR="00EB5E32">
        <w:rPr>
          <w:i/>
        </w:rPr>
        <w:t xml:space="preserve"> </w:t>
      </w:r>
      <m:oMath>
        <m:r>
          <w:rPr>
            <w:rFonts w:ascii="Cambria Math" w:hAnsi="Cambria Math"/>
            <w:color w:val="FF0000"/>
            <w:sz w:val="24"/>
          </w:rPr>
          <m:t>+</m:t>
        </m:r>
        <m:sSub>
          <m:sSubPr>
            <m:ctrlPr>
              <w:rPr>
                <w:rFonts w:ascii="Cambria Math" w:hAnsi="Cambria Math"/>
                <w:i/>
                <w:color w:val="FF0000"/>
                <w:sz w:val="24"/>
              </w:rPr>
            </m:ctrlPr>
          </m:sSubPr>
          <m:e>
            <m:r>
              <w:rPr>
                <w:rFonts w:ascii="Cambria Math" w:hAnsi="Cambria Math"/>
                <w:color w:val="FF0000"/>
                <w:sz w:val="24"/>
              </w:rPr>
              <m:t>K</m:t>
            </m:r>
          </m:e>
          <m:sub>
            <m:r>
              <w:rPr>
                <w:rFonts w:ascii="Cambria Math" w:hAnsi="Cambria Math"/>
                <w:color w:val="FF0000"/>
                <w:sz w:val="24"/>
              </w:rPr>
              <m:t>mac</m:t>
            </m:r>
          </m:sub>
        </m:sSub>
      </m:oMath>
      <w:r>
        <w:t>.</w:t>
      </w:r>
    </w:p>
    <w:p w14:paraId="05F3CCEC" w14:textId="77777777" w:rsidR="00FB4C4A" w:rsidRPr="003B0479" w:rsidRDefault="003B0479" w:rsidP="003B0479">
      <w:pPr>
        <w:pStyle w:val="Heading2"/>
        <w:keepNext w:val="0"/>
        <w:widowControl w:val="0"/>
        <w:numPr>
          <w:ilvl w:val="0"/>
          <w:numId w:val="0"/>
        </w:numPr>
        <w:tabs>
          <w:tab w:val="left" w:pos="567"/>
        </w:tabs>
        <w:rPr>
          <w:color w:val="FF0000"/>
        </w:rPr>
      </w:pPr>
      <w:r w:rsidRPr="003B0479">
        <w:rPr>
          <w:color w:val="FF0000"/>
        </w:rPr>
        <w:t>**********************redundant portions are omitted***********************</w:t>
      </w:r>
    </w:p>
    <w:p w14:paraId="7509293D" w14:textId="77777777" w:rsidR="00FB4C4A" w:rsidRDefault="00FB4C4A">
      <w:pPr>
        <w:pStyle w:val="BodyText"/>
        <w:rPr>
          <w:rFonts w:eastAsia="SimSun"/>
          <w:lang w:eastAsia="zh-CN"/>
        </w:rPr>
      </w:pPr>
      <w:r>
        <w:rPr>
          <w:rFonts w:eastAsia="SimSun"/>
          <w:lang w:eastAsia="zh-CN"/>
        </w:rPr>
        <w:t>--------------------------------</w:t>
      </w:r>
      <w:r w:rsidR="003B0479">
        <w:rPr>
          <w:rFonts w:eastAsia="SimSun"/>
          <w:lang w:eastAsia="zh-CN"/>
        </w:rPr>
        <w:t>----------------</w:t>
      </w:r>
      <w:r>
        <w:rPr>
          <w:rFonts w:eastAsia="SimSun"/>
          <w:lang w:eastAsia="zh-CN"/>
        </w:rPr>
        <w:t xml:space="preserve"> </w:t>
      </w:r>
      <w:r w:rsidRPr="003B0479">
        <w:rPr>
          <w:rFonts w:eastAsia="SimSun"/>
          <w:b/>
          <w:bCs/>
          <w:lang w:eastAsia="zh-CN"/>
        </w:rPr>
        <w:t>end of TP#1</w:t>
      </w:r>
      <w:r>
        <w:rPr>
          <w:rFonts w:eastAsia="SimSun"/>
          <w:lang w:eastAsia="zh-CN"/>
        </w:rPr>
        <w:t>-------------------------------------------------------------------</w:t>
      </w:r>
    </w:p>
    <w:p w14:paraId="7B7FF4A3" w14:textId="77777777" w:rsidR="00FB4C4A" w:rsidRDefault="00FB4C4A">
      <w:pPr>
        <w:pStyle w:val="BodyText"/>
        <w:rPr>
          <w:rFonts w:eastAsia="SimSun"/>
          <w:b/>
          <w:lang w:eastAsia="zh-CN"/>
        </w:rPr>
      </w:pPr>
      <w:r>
        <w:rPr>
          <w:rFonts w:eastAsia="SimSun" w:hint="eastAsia"/>
          <w:b/>
          <w:lang w:eastAsia="zh-CN"/>
        </w:rPr>
        <w:t xml:space="preserve">Proposal </w:t>
      </w:r>
      <w:r>
        <w:rPr>
          <w:rFonts w:eastAsia="SimSun"/>
          <w:b/>
          <w:lang w:eastAsia="zh-CN"/>
        </w:rPr>
        <w:t>1: Adopt TP#1</w:t>
      </w:r>
      <w:r w:rsidR="00EB5E32">
        <w:rPr>
          <w:rFonts w:eastAsia="SimSun"/>
          <w:b/>
          <w:lang w:eastAsia="zh-CN"/>
        </w:rPr>
        <w:t xml:space="preserve"> as modification in section 16.6 of TS36.213 for IoT-NTN </w:t>
      </w:r>
      <w:r>
        <w:rPr>
          <w:rFonts w:eastAsia="SimSun"/>
          <w:b/>
          <w:lang w:eastAsia="zh-CN"/>
        </w:rPr>
        <w:t xml:space="preserve">.  </w:t>
      </w:r>
    </w:p>
    <w:p w14:paraId="76D90C52" w14:textId="77777777" w:rsidR="00FB4C4A" w:rsidRDefault="00FB4C4A">
      <w:pPr>
        <w:pStyle w:val="Heading1"/>
        <w:spacing w:before="180"/>
        <w:ind w:left="562" w:hanging="562"/>
        <w:rPr>
          <w:rFonts w:ascii="Times New Roman" w:hAnsi="Times New Roman" w:cs="Times New Roman"/>
        </w:rPr>
      </w:pPr>
      <w:r>
        <w:rPr>
          <w:rFonts w:ascii="Times New Roman" w:hAnsi="Times New Roman" w:cs="Times New Roman"/>
        </w:rPr>
        <w:lastRenderedPageBreak/>
        <w:t>Conclusion</w:t>
      </w:r>
    </w:p>
    <w:p w14:paraId="7FBA9069" w14:textId="3E102BA3" w:rsidR="00FB4C4A" w:rsidRDefault="00FB4C4A">
      <w:pPr>
        <w:pStyle w:val="BodyText"/>
      </w:pPr>
      <w:r>
        <w:t>In this contribution, we discuss the remaining issues for the</w:t>
      </w:r>
      <w:r w:rsidR="00D64075">
        <w:t xml:space="preserve"> timing relationship enhancements for</w:t>
      </w:r>
      <w:r>
        <w:t xml:space="preserve"> </w:t>
      </w:r>
      <w:r w:rsidR="00D64075">
        <w:t>IOT-NTN</w:t>
      </w:r>
      <w:r w:rsidR="00DE53F4">
        <w:t xml:space="preserve"> as identified in </w:t>
      </w:r>
      <w:r w:rsidR="00DE53F4" w:rsidRPr="00747414">
        <w:t>RAN1 #10</w:t>
      </w:r>
      <w:r w:rsidR="00DE53F4">
        <w:t>6</w:t>
      </w:r>
      <w:r w:rsidR="00DE53F4" w:rsidRPr="00747414">
        <w:t>-</w:t>
      </w:r>
      <w:r w:rsidR="00DE53F4">
        <w:t>bis-</w:t>
      </w:r>
      <w:r w:rsidR="00DE53F4" w:rsidRPr="00747414">
        <w:t>e</w:t>
      </w:r>
      <w:r w:rsidR="00DE53F4">
        <w:t xml:space="preserve"> meeting </w:t>
      </w:r>
      <w:r w:rsidR="00BB5536">
        <w:t>(case7 – case11)</w:t>
      </w:r>
      <w:r>
        <w:t xml:space="preserve">. </w:t>
      </w:r>
    </w:p>
    <w:p w14:paraId="3342F844" w14:textId="77777777" w:rsidR="00FB4C4A" w:rsidRDefault="00FB4C4A" w:rsidP="00D64075">
      <w:pPr>
        <w:pStyle w:val="BodyText"/>
        <w:rPr>
          <w:rFonts w:eastAsia="SimSun"/>
          <w:b/>
          <w:lang w:eastAsia="zh-CN"/>
        </w:rPr>
      </w:pPr>
      <w:r>
        <w:rPr>
          <w:rFonts w:eastAsia="SimSun" w:hint="eastAsia"/>
          <w:b/>
          <w:lang w:eastAsia="zh-CN"/>
        </w:rPr>
        <w:t xml:space="preserve">Proposal </w:t>
      </w:r>
      <w:r>
        <w:rPr>
          <w:rFonts w:eastAsia="SimSun"/>
          <w:b/>
          <w:lang w:eastAsia="zh-CN"/>
        </w:rPr>
        <w:t xml:space="preserve">1: </w:t>
      </w:r>
      <w:r w:rsidR="00D64075">
        <w:rPr>
          <w:rFonts w:eastAsia="SimSun"/>
          <w:b/>
          <w:lang w:eastAsia="zh-CN"/>
        </w:rPr>
        <w:t xml:space="preserve">Adopt TP#1 as modification in section 16.6 of TS36.213 for IoT-NTN .  </w:t>
      </w:r>
    </w:p>
    <w:p w14:paraId="2B3B26BD" w14:textId="77777777" w:rsidR="00FB4C4A" w:rsidRDefault="00FB4C4A">
      <w:pPr>
        <w:pStyle w:val="Heading1"/>
        <w:spacing w:before="180"/>
        <w:ind w:left="562" w:hanging="562"/>
        <w:rPr>
          <w:rFonts w:ascii="Times New Roman" w:hAnsi="Times New Roman" w:cs="Times New Roman"/>
        </w:rPr>
      </w:pPr>
      <w:r>
        <w:rPr>
          <w:rFonts w:ascii="Times New Roman" w:hAnsi="Times New Roman" w:cs="Times New Roman"/>
        </w:rPr>
        <w:t>Reference</w:t>
      </w:r>
    </w:p>
    <w:p w14:paraId="1749F8EE" w14:textId="77777777" w:rsidR="00FB4C4A" w:rsidRPr="00D64075" w:rsidRDefault="00D64075" w:rsidP="00D64075">
      <w:pPr>
        <w:pStyle w:val="References"/>
      </w:pPr>
      <w:r>
        <w:rPr>
          <w:lang w:eastAsia="zh-CN"/>
        </w:rPr>
        <w:t xml:space="preserve"> </w:t>
      </w:r>
      <w:bookmarkStart w:id="1" w:name="_Ref83990885"/>
      <w:bookmarkStart w:id="2" w:name="_Ref59611065"/>
      <w:r w:rsidRPr="00747414">
        <w:t>Chair</w:t>
      </w:r>
      <w:r>
        <w:t>main</w:t>
      </w:r>
      <w:r w:rsidRPr="00747414">
        <w:t>’s Notes, 3GPP RAN1 #10</w:t>
      </w:r>
      <w:r>
        <w:t>7</w:t>
      </w:r>
      <w:r w:rsidRPr="00747414">
        <w:t>-e, 2021</w:t>
      </w:r>
      <w:bookmarkEnd w:id="1"/>
      <w:bookmarkEnd w:id="2"/>
    </w:p>
    <w:p w14:paraId="0BDF74E4" w14:textId="77777777" w:rsidR="005A23B3" w:rsidRPr="005A23B3" w:rsidRDefault="005A23B3" w:rsidP="005A23B3">
      <w:pPr>
        <w:pStyle w:val="References"/>
      </w:pPr>
      <w:bookmarkStart w:id="3" w:name="_Ref95404816"/>
      <w:r>
        <w:t xml:space="preserve"> </w:t>
      </w:r>
      <w:r w:rsidRPr="00747414">
        <w:t>Chair</w:t>
      </w:r>
      <w:r>
        <w:t>main</w:t>
      </w:r>
      <w:r w:rsidRPr="00747414">
        <w:t>’s Notes, 3GPP RAN1 #10</w:t>
      </w:r>
      <w:r>
        <w:t>6b</w:t>
      </w:r>
      <w:r w:rsidRPr="00747414">
        <w:t>-e, 2021</w:t>
      </w:r>
    </w:p>
    <w:p w14:paraId="16940BAC" w14:textId="77777777" w:rsidR="00D64075" w:rsidRDefault="00D64075" w:rsidP="00D64075">
      <w:pPr>
        <w:pStyle w:val="References"/>
      </w:pPr>
      <w:r>
        <w:rPr>
          <w:szCs w:val="20"/>
          <w:lang w:eastAsia="zh-CN"/>
        </w:rPr>
        <w:t xml:space="preserve"> </w:t>
      </w:r>
      <w:r w:rsidRPr="00610C94">
        <w:t>T</w:t>
      </w:r>
      <w:r>
        <w:t>S</w:t>
      </w:r>
      <w:r w:rsidRPr="00610C94">
        <w:t xml:space="preserve"> 36.</w:t>
      </w:r>
      <w:r>
        <w:t>213</w:t>
      </w:r>
      <w:r w:rsidRPr="00610C94">
        <w:t xml:space="preserve">, </w:t>
      </w:r>
      <w:r>
        <w:t>version 17.1.0 Release 17 - section 16: UE Procedures related to narrow band IoT</w:t>
      </w:r>
      <w:bookmarkEnd w:id="3"/>
    </w:p>
    <w:p w14:paraId="48908BD8" w14:textId="7C98BA83" w:rsidR="009945CD" w:rsidRPr="009945CD" w:rsidRDefault="009945CD" w:rsidP="00D64075">
      <w:pPr>
        <w:pStyle w:val="References"/>
      </w:pPr>
      <w:r>
        <w:t xml:space="preserve"> </w:t>
      </w:r>
      <w:r w:rsidRPr="009945CD">
        <w:t>R1-2202480</w:t>
      </w:r>
      <w:r>
        <w:t xml:space="preserve">, </w:t>
      </w:r>
      <w:bookmarkStart w:id="4" w:name="_Hlk83920479"/>
      <w:bookmarkEnd w:id="4"/>
      <w:r w:rsidRPr="009945CD">
        <w:t>3GPP TSG RAN WG1 #108-e</w:t>
      </w:r>
      <w:r w:rsidR="00371F9E">
        <w:t>,</w:t>
      </w:r>
      <w:r>
        <w:t xml:space="preserve"> Mavenir</w:t>
      </w:r>
      <w:r w:rsidR="00371F9E">
        <w:t>.</w:t>
      </w:r>
      <w:r>
        <w:t xml:space="preserve"> </w:t>
      </w:r>
    </w:p>
    <w:p w14:paraId="6C51A672" w14:textId="77777777" w:rsidR="00FB4C4A" w:rsidRDefault="00FB4C4A">
      <w:pPr>
        <w:pStyle w:val="BodyText"/>
        <w:rPr>
          <w:rFonts w:eastAsia="SimSun" w:hint="eastAsia"/>
          <w:b/>
          <w:lang w:eastAsia="zh-CN"/>
        </w:rPr>
      </w:pPr>
      <w:r>
        <w:rPr>
          <w:rFonts w:eastAsia="SimSun"/>
          <w:b/>
          <w:lang w:eastAsia="zh-CN"/>
        </w:rPr>
        <w:t xml:space="preserve"> </w:t>
      </w:r>
    </w:p>
    <w:p w14:paraId="136B6079" w14:textId="77777777" w:rsidR="00FB4C4A" w:rsidRDefault="00FB4C4A">
      <w:pPr>
        <w:pStyle w:val="BodyText"/>
        <w:rPr>
          <w:rFonts w:eastAsia="SimSun"/>
          <w:lang w:eastAsia="zh-CN"/>
        </w:rPr>
      </w:pPr>
    </w:p>
    <w:sectPr w:rsidR="00FB4C4A">
      <w:headerReference w:type="default" r:id="rId16"/>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36753" w14:textId="77777777" w:rsidR="00E513B1" w:rsidRDefault="00E513B1">
      <w:r>
        <w:separator/>
      </w:r>
    </w:p>
  </w:endnote>
  <w:endnote w:type="continuationSeparator" w:id="0">
    <w:p w14:paraId="16D979FB" w14:textId="77777777" w:rsidR="00E513B1" w:rsidRDefault="00E51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5D8B5" w14:textId="77777777" w:rsidR="00E513B1" w:rsidRDefault="00E513B1">
      <w:r>
        <w:separator/>
      </w:r>
    </w:p>
  </w:footnote>
  <w:footnote w:type="continuationSeparator" w:id="0">
    <w:p w14:paraId="4B74D684" w14:textId="77777777" w:rsidR="00E513B1" w:rsidRDefault="00E51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B22A7" w14:textId="77777777" w:rsidR="00FB4C4A" w:rsidRDefault="00FB4C4A">
    <w:pPr>
      <w:pStyle w:val="Header"/>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10C15FE7"/>
    <w:multiLevelType w:val="multilevel"/>
    <w:tmpl w:val="10C15FE7"/>
    <w:lvl w:ilvl="0">
      <w:start w:val="1"/>
      <w:numFmt w:val="bullet"/>
      <w:lvlText w:val=""/>
      <w:lvlJc w:val="left"/>
      <w:pPr>
        <w:tabs>
          <w:tab w:val="num" w:pos="1644"/>
        </w:tabs>
        <w:ind w:left="1644" w:hanging="453"/>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4"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6" w15:restartNumberingAfterBreak="0">
    <w:nsid w:val="57006F94"/>
    <w:multiLevelType w:val="multilevel"/>
    <w:tmpl w:val="57006F9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0" w15:restartNumberingAfterBreak="0">
    <w:nsid w:val="7DAC77D5"/>
    <w:multiLevelType w:val="hybridMultilevel"/>
    <w:tmpl w:val="E424E1C4"/>
    <w:lvl w:ilvl="0" w:tplc="04090001">
      <w:start w:val="1"/>
      <w:numFmt w:val="bullet"/>
      <w:lvlText w:val=""/>
      <w:lvlJc w:val="left"/>
      <w:pPr>
        <w:ind w:left="720" w:hanging="360"/>
      </w:pPr>
      <w:rPr>
        <w:rFonts w:ascii="Symbol" w:hAnsi="Symbol" w:hint="default"/>
      </w:rPr>
    </w:lvl>
    <w:lvl w:ilvl="1" w:tplc="7D7801A2">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num>
  <w:num w:numId="5">
    <w:abstractNumId w:val="4"/>
  </w:num>
  <w:num w:numId="6">
    <w:abstractNumId w:val="2"/>
  </w:num>
  <w:num w:numId="7">
    <w:abstractNumId w:val="6"/>
  </w:num>
  <w:num w:numId="8">
    <w:abstractNumId w:val="8"/>
  </w:num>
  <w:num w:numId="9">
    <w:abstractNumId w:val="10"/>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29C"/>
    <w:rsid w:val="00002BE0"/>
    <w:rsid w:val="00006655"/>
    <w:rsid w:val="00017998"/>
    <w:rsid w:val="0002224F"/>
    <w:rsid w:val="000266C8"/>
    <w:rsid w:val="0003036B"/>
    <w:rsid w:val="00035A32"/>
    <w:rsid w:val="000400B7"/>
    <w:rsid w:val="00044953"/>
    <w:rsid w:val="00052AFF"/>
    <w:rsid w:val="00061633"/>
    <w:rsid w:val="00062BBB"/>
    <w:rsid w:val="0007194E"/>
    <w:rsid w:val="0007312D"/>
    <w:rsid w:val="00073B64"/>
    <w:rsid w:val="00074658"/>
    <w:rsid w:val="000829B6"/>
    <w:rsid w:val="000865B1"/>
    <w:rsid w:val="000871A0"/>
    <w:rsid w:val="00087DDE"/>
    <w:rsid w:val="00090F1F"/>
    <w:rsid w:val="00092EA6"/>
    <w:rsid w:val="000A0922"/>
    <w:rsid w:val="000A2BEF"/>
    <w:rsid w:val="000A30D8"/>
    <w:rsid w:val="000B0DCC"/>
    <w:rsid w:val="000B32DE"/>
    <w:rsid w:val="000C06C7"/>
    <w:rsid w:val="000C4326"/>
    <w:rsid w:val="000C45B9"/>
    <w:rsid w:val="000D217D"/>
    <w:rsid w:val="000D25E4"/>
    <w:rsid w:val="000E6071"/>
    <w:rsid w:val="000F056C"/>
    <w:rsid w:val="001108D7"/>
    <w:rsid w:val="00110F27"/>
    <w:rsid w:val="00114BFB"/>
    <w:rsid w:val="00120A54"/>
    <w:rsid w:val="00137E9B"/>
    <w:rsid w:val="00140F04"/>
    <w:rsid w:val="00141948"/>
    <w:rsid w:val="001429E1"/>
    <w:rsid w:val="00146767"/>
    <w:rsid w:val="00147A88"/>
    <w:rsid w:val="001510EB"/>
    <w:rsid w:val="00151F09"/>
    <w:rsid w:val="001542D0"/>
    <w:rsid w:val="00157286"/>
    <w:rsid w:val="00160C3D"/>
    <w:rsid w:val="001620FA"/>
    <w:rsid w:val="0016230E"/>
    <w:rsid w:val="00193370"/>
    <w:rsid w:val="00195E91"/>
    <w:rsid w:val="001A4EF8"/>
    <w:rsid w:val="001A524D"/>
    <w:rsid w:val="001A56FC"/>
    <w:rsid w:val="001A7956"/>
    <w:rsid w:val="001C3942"/>
    <w:rsid w:val="001C42B6"/>
    <w:rsid w:val="001C7659"/>
    <w:rsid w:val="001D1C62"/>
    <w:rsid w:val="001D2FD2"/>
    <w:rsid w:val="001D7AE2"/>
    <w:rsid w:val="001E4A23"/>
    <w:rsid w:val="001E7BDB"/>
    <w:rsid w:val="001F3F1A"/>
    <w:rsid w:val="001F4A09"/>
    <w:rsid w:val="00205B20"/>
    <w:rsid w:val="00210A7F"/>
    <w:rsid w:val="002273E3"/>
    <w:rsid w:val="0024370E"/>
    <w:rsid w:val="00261082"/>
    <w:rsid w:val="00264720"/>
    <w:rsid w:val="00265EB0"/>
    <w:rsid w:val="0028474A"/>
    <w:rsid w:val="00293728"/>
    <w:rsid w:val="0029582D"/>
    <w:rsid w:val="002966CA"/>
    <w:rsid w:val="002A51CB"/>
    <w:rsid w:val="002B4E04"/>
    <w:rsid w:val="002B6DAF"/>
    <w:rsid w:val="002B6F97"/>
    <w:rsid w:val="002D211A"/>
    <w:rsid w:val="002D465B"/>
    <w:rsid w:val="002E283E"/>
    <w:rsid w:val="002E305B"/>
    <w:rsid w:val="002E7953"/>
    <w:rsid w:val="002F04BA"/>
    <w:rsid w:val="002F6323"/>
    <w:rsid w:val="003002D6"/>
    <w:rsid w:val="003016FF"/>
    <w:rsid w:val="00302F28"/>
    <w:rsid w:val="00306025"/>
    <w:rsid w:val="003112E5"/>
    <w:rsid w:val="00313F1F"/>
    <w:rsid w:val="003156A6"/>
    <w:rsid w:val="003206E9"/>
    <w:rsid w:val="003250F6"/>
    <w:rsid w:val="003257FE"/>
    <w:rsid w:val="00337428"/>
    <w:rsid w:val="00340905"/>
    <w:rsid w:val="0034488B"/>
    <w:rsid w:val="00355517"/>
    <w:rsid w:val="003608B3"/>
    <w:rsid w:val="00365CB3"/>
    <w:rsid w:val="0036720E"/>
    <w:rsid w:val="00371F9E"/>
    <w:rsid w:val="00380436"/>
    <w:rsid w:val="00385E6F"/>
    <w:rsid w:val="0039549B"/>
    <w:rsid w:val="003B0479"/>
    <w:rsid w:val="003B3B3C"/>
    <w:rsid w:val="003B7B1F"/>
    <w:rsid w:val="003C1389"/>
    <w:rsid w:val="003D0365"/>
    <w:rsid w:val="003D3F27"/>
    <w:rsid w:val="00400DD2"/>
    <w:rsid w:val="004052EB"/>
    <w:rsid w:val="00405551"/>
    <w:rsid w:val="0041143B"/>
    <w:rsid w:val="00423CF9"/>
    <w:rsid w:val="00435571"/>
    <w:rsid w:val="00437037"/>
    <w:rsid w:val="004379D5"/>
    <w:rsid w:val="00437B5C"/>
    <w:rsid w:val="0044662F"/>
    <w:rsid w:val="00447C8C"/>
    <w:rsid w:val="00450A4A"/>
    <w:rsid w:val="0045278B"/>
    <w:rsid w:val="00452FBA"/>
    <w:rsid w:val="0045704F"/>
    <w:rsid w:val="004661EE"/>
    <w:rsid w:val="00472165"/>
    <w:rsid w:val="00472AB0"/>
    <w:rsid w:val="00484463"/>
    <w:rsid w:val="004904FB"/>
    <w:rsid w:val="004968ED"/>
    <w:rsid w:val="004A1064"/>
    <w:rsid w:val="004A397F"/>
    <w:rsid w:val="004A794A"/>
    <w:rsid w:val="004B5A3C"/>
    <w:rsid w:val="004B78DC"/>
    <w:rsid w:val="004C3D49"/>
    <w:rsid w:val="004C3DB0"/>
    <w:rsid w:val="004D57F4"/>
    <w:rsid w:val="004D76DE"/>
    <w:rsid w:val="004E1571"/>
    <w:rsid w:val="004E3609"/>
    <w:rsid w:val="004E773B"/>
    <w:rsid w:val="004F2742"/>
    <w:rsid w:val="004F546C"/>
    <w:rsid w:val="005059BA"/>
    <w:rsid w:val="00506370"/>
    <w:rsid w:val="005063FE"/>
    <w:rsid w:val="00512040"/>
    <w:rsid w:val="00523FFE"/>
    <w:rsid w:val="00525770"/>
    <w:rsid w:val="005273C1"/>
    <w:rsid w:val="00540EB6"/>
    <w:rsid w:val="00541E09"/>
    <w:rsid w:val="00543BF3"/>
    <w:rsid w:val="005463EB"/>
    <w:rsid w:val="005512A3"/>
    <w:rsid w:val="00554E3F"/>
    <w:rsid w:val="00560210"/>
    <w:rsid w:val="00592DF2"/>
    <w:rsid w:val="005A157A"/>
    <w:rsid w:val="005A23B3"/>
    <w:rsid w:val="005A46FC"/>
    <w:rsid w:val="005A5909"/>
    <w:rsid w:val="005B2010"/>
    <w:rsid w:val="005B3762"/>
    <w:rsid w:val="005D16B9"/>
    <w:rsid w:val="005D2C8A"/>
    <w:rsid w:val="005E6E8A"/>
    <w:rsid w:val="005F0583"/>
    <w:rsid w:val="005F2C35"/>
    <w:rsid w:val="005F66F9"/>
    <w:rsid w:val="0060226F"/>
    <w:rsid w:val="00606493"/>
    <w:rsid w:val="00614C12"/>
    <w:rsid w:val="00617D52"/>
    <w:rsid w:val="00627664"/>
    <w:rsid w:val="00635A09"/>
    <w:rsid w:val="00643A94"/>
    <w:rsid w:val="0064528D"/>
    <w:rsid w:val="0064532E"/>
    <w:rsid w:val="006461FB"/>
    <w:rsid w:val="006471C3"/>
    <w:rsid w:val="0065196A"/>
    <w:rsid w:val="0065781B"/>
    <w:rsid w:val="006726A6"/>
    <w:rsid w:val="006819C7"/>
    <w:rsid w:val="006A28DC"/>
    <w:rsid w:val="006D0D9B"/>
    <w:rsid w:val="006E5B15"/>
    <w:rsid w:val="006E6A24"/>
    <w:rsid w:val="006F295E"/>
    <w:rsid w:val="00703C80"/>
    <w:rsid w:val="00706B71"/>
    <w:rsid w:val="00712CD2"/>
    <w:rsid w:val="007139F0"/>
    <w:rsid w:val="00714C40"/>
    <w:rsid w:val="00717266"/>
    <w:rsid w:val="0072011E"/>
    <w:rsid w:val="007203FF"/>
    <w:rsid w:val="00724879"/>
    <w:rsid w:val="00727F8E"/>
    <w:rsid w:val="007327A5"/>
    <w:rsid w:val="00732E89"/>
    <w:rsid w:val="00743ED2"/>
    <w:rsid w:val="0074637A"/>
    <w:rsid w:val="0074638E"/>
    <w:rsid w:val="00760F15"/>
    <w:rsid w:val="00764C8A"/>
    <w:rsid w:val="007708F0"/>
    <w:rsid w:val="00774C6B"/>
    <w:rsid w:val="00776B6A"/>
    <w:rsid w:val="007A1BE1"/>
    <w:rsid w:val="007A7277"/>
    <w:rsid w:val="007B0D7F"/>
    <w:rsid w:val="007B4743"/>
    <w:rsid w:val="007C34D4"/>
    <w:rsid w:val="007D25EF"/>
    <w:rsid w:val="007D29EB"/>
    <w:rsid w:val="007D4262"/>
    <w:rsid w:val="007E5E38"/>
    <w:rsid w:val="007E6F4B"/>
    <w:rsid w:val="007F097F"/>
    <w:rsid w:val="00801368"/>
    <w:rsid w:val="00801935"/>
    <w:rsid w:val="0080439F"/>
    <w:rsid w:val="00804D30"/>
    <w:rsid w:val="008125B3"/>
    <w:rsid w:val="00812770"/>
    <w:rsid w:val="00816D5C"/>
    <w:rsid w:val="00821B3B"/>
    <w:rsid w:val="00836294"/>
    <w:rsid w:val="00837D18"/>
    <w:rsid w:val="008442F2"/>
    <w:rsid w:val="00847EAF"/>
    <w:rsid w:val="00861B36"/>
    <w:rsid w:val="00863D0B"/>
    <w:rsid w:val="00893489"/>
    <w:rsid w:val="008A36AD"/>
    <w:rsid w:val="008B1718"/>
    <w:rsid w:val="008B5BB3"/>
    <w:rsid w:val="008C174A"/>
    <w:rsid w:val="008C75A1"/>
    <w:rsid w:val="008C7823"/>
    <w:rsid w:val="008D194E"/>
    <w:rsid w:val="008D453B"/>
    <w:rsid w:val="008E0C0B"/>
    <w:rsid w:val="008F3A61"/>
    <w:rsid w:val="008F4039"/>
    <w:rsid w:val="008F5C2C"/>
    <w:rsid w:val="008F7A8D"/>
    <w:rsid w:val="009003F6"/>
    <w:rsid w:val="00900DC0"/>
    <w:rsid w:val="00905674"/>
    <w:rsid w:val="0090641C"/>
    <w:rsid w:val="00910E5D"/>
    <w:rsid w:val="0092114D"/>
    <w:rsid w:val="00947487"/>
    <w:rsid w:val="00947C41"/>
    <w:rsid w:val="009615D4"/>
    <w:rsid w:val="00976A4F"/>
    <w:rsid w:val="009945CD"/>
    <w:rsid w:val="009978F9"/>
    <w:rsid w:val="009A359B"/>
    <w:rsid w:val="009A4250"/>
    <w:rsid w:val="009E26B1"/>
    <w:rsid w:val="009F4B10"/>
    <w:rsid w:val="009F54C2"/>
    <w:rsid w:val="00A0059E"/>
    <w:rsid w:val="00A15349"/>
    <w:rsid w:val="00A17BAF"/>
    <w:rsid w:val="00A2302F"/>
    <w:rsid w:val="00A30E24"/>
    <w:rsid w:val="00A3283B"/>
    <w:rsid w:val="00A34CE6"/>
    <w:rsid w:val="00A34E68"/>
    <w:rsid w:val="00A4034C"/>
    <w:rsid w:val="00A41629"/>
    <w:rsid w:val="00A4301F"/>
    <w:rsid w:val="00A51718"/>
    <w:rsid w:val="00A53C07"/>
    <w:rsid w:val="00A63304"/>
    <w:rsid w:val="00A70955"/>
    <w:rsid w:val="00A73222"/>
    <w:rsid w:val="00A960F3"/>
    <w:rsid w:val="00AA2CBA"/>
    <w:rsid w:val="00AA6500"/>
    <w:rsid w:val="00AB00FF"/>
    <w:rsid w:val="00AB7679"/>
    <w:rsid w:val="00AC52D1"/>
    <w:rsid w:val="00AC5CE3"/>
    <w:rsid w:val="00AC6355"/>
    <w:rsid w:val="00AC729C"/>
    <w:rsid w:val="00AD7E4B"/>
    <w:rsid w:val="00AE3877"/>
    <w:rsid w:val="00B01FE5"/>
    <w:rsid w:val="00B11402"/>
    <w:rsid w:val="00B13EF4"/>
    <w:rsid w:val="00B21EF7"/>
    <w:rsid w:val="00B34C0D"/>
    <w:rsid w:val="00B34F25"/>
    <w:rsid w:val="00B369B5"/>
    <w:rsid w:val="00B50789"/>
    <w:rsid w:val="00B50E43"/>
    <w:rsid w:val="00B517F0"/>
    <w:rsid w:val="00B526F4"/>
    <w:rsid w:val="00B52801"/>
    <w:rsid w:val="00B5481B"/>
    <w:rsid w:val="00B62C3E"/>
    <w:rsid w:val="00B71B8E"/>
    <w:rsid w:val="00B769BF"/>
    <w:rsid w:val="00BA1D81"/>
    <w:rsid w:val="00BA2905"/>
    <w:rsid w:val="00BA643C"/>
    <w:rsid w:val="00BB3F8C"/>
    <w:rsid w:val="00BB425C"/>
    <w:rsid w:val="00BB5536"/>
    <w:rsid w:val="00BC081E"/>
    <w:rsid w:val="00BD398A"/>
    <w:rsid w:val="00BF726D"/>
    <w:rsid w:val="00C052C5"/>
    <w:rsid w:val="00C06EAF"/>
    <w:rsid w:val="00C11899"/>
    <w:rsid w:val="00C130FB"/>
    <w:rsid w:val="00C3266B"/>
    <w:rsid w:val="00C378BD"/>
    <w:rsid w:val="00C502B1"/>
    <w:rsid w:val="00C7345F"/>
    <w:rsid w:val="00C77479"/>
    <w:rsid w:val="00C826CF"/>
    <w:rsid w:val="00C845CF"/>
    <w:rsid w:val="00C90B69"/>
    <w:rsid w:val="00C93E5D"/>
    <w:rsid w:val="00C97485"/>
    <w:rsid w:val="00CA27F3"/>
    <w:rsid w:val="00CA6C20"/>
    <w:rsid w:val="00CB2327"/>
    <w:rsid w:val="00CC3CDD"/>
    <w:rsid w:val="00CC7D0A"/>
    <w:rsid w:val="00CD191B"/>
    <w:rsid w:val="00CD3412"/>
    <w:rsid w:val="00CD6CCA"/>
    <w:rsid w:val="00CD7907"/>
    <w:rsid w:val="00CE1400"/>
    <w:rsid w:val="00CE1A4A"/>
    <w:rsid w:val="00CF27F8"/>
    <w:rsid w:val="00CF3E60"/>
    <w:rsid w:val="00CF536B"/>
    <w:rsid w:val="00CF5629"/>
    <w:rsid w:val="00D0171F"/>
    <w:rsid w:val="00D112AC"/>
    <w:rsid w:val="00D25AE7"/>
    <w:rsid w:val="00D3056D"/>
    <w:rsid w:val="00D422DD"/>
    <w:rsid w:val="00D4374A"/>
    <w:rsid w:val="00D50421"/>
    <w:rsid w:val="00D55941"/>
    <w:rsid w:val="00D61C78"/>
    <w:rsid w:val="00D64075"/>
    <w:rsid w:val="00D64813"/>
    <w:rsid w:val="00D67F8C"/>
    <w:rsid w:val="00D7037C"/>
    <w:rsid w:val="00D705C2"/>
    <w:rsid w:val="00D73303"/>
    <w:rsid w:val="00D75DF3"/>
    <w:rsid w:val="00D80170"/>
    <w:rsid w:val="00D8595F"/>
    <w:rsid w:val="00D870BF"/>
    <w:rsid w:val="00D96142"/>
    <w:rsid w:val="00DA07AE"/>
    <w:rsid w:val="00DA266B"/>
    <w:rsid w:val="00DA2D90"/>
    <w:rsid w:val="00DA75E3"/>
    <w:rsid w:val="00DA795C"/>
    <w:rsid w:val="00DB03F4"/>
    <w:rsid w:val="00DB4E3F"/>
    <w:rsid w:val="00DB7F02"/>
    <w:rsid w:val="00DC1A59"/>
    <w:rsid w:val="00DC2E40"/>
    <w:rsid w:val="00DC5FB8"/>
    <w:rsid w:val="00DD52B7"/>
    <w:rsid w:val="00DE337E"/>
    <w:rsid w:val="00DE53F4"/>
    <w:rsid w:val="00DF1C5E"/>
    <w:rsid w:val="00E07279"/>
    <w:rsid w:val="00E12E6C"/>
    <w:rsid w:val="00E16032"/>
    <w:rsid w:val="00E16E28"/>
    <w:rsid w:val="00E328AA"/>
    <w:rsid w:val="00E35D63"/>
    <w:rsid w:val="00E37F10"/>
    <w:rsid w:val="00E50A98"/>
    <w:rsid w:val="00E513B1"/>
    <w:rsid w:val="00E678DB"/>
    <w:rsid w:val="00E705A0"/>
    <w:rsid w:val="00E72347"/>
    <w:rsid w:val="00E84405"/>
    <w:rsid w:val="00E86DDC"/>
    <w:rsid w:val="00E87D88"/>
    <w:rsid w:val="00E90523"/>
    <w:rsid w:val="00E923FB"/>
    <w:rsid w:val="00EA06B0"/>
    <w:rsid w:val="00EB0A84"/>
    <w:rsid w:val="00EB5E32"/>
    <w:rsid w:val="00EC6E8A"/>
    <w:rsid w:val="00ED2D78"/>
    <w:rsid w:val="00ED3B80"/>
    <w:rsid w:val="00EE3D45"/>
    <w:rsid w:val="00EE415A"/>
    <w:rsid w:val="00F072DD"/>
    <w:rsid w:val="00F11A2D"/>
    <w:rsid w:val="00F157EE"/>
    <w:rsid w:val="00F16815"/>
    <w:rsid w:val="00F24B61"/>
    <w:rsid w:val="00F25275"/>
    <w:rsid w:val="00F42758"/>
    <w:rsid w:val="00F5269E"/>
    <w:rsid w:val="00F775B3"/>
    <w:rsid w:val="00F94877"/>
    <w:rsid w:val="00F95AAB"/>
    <w:rsid w:val="00FB2BA4"/>
    <w:rsid w:val="00FB4C4A"/>
    <w:rsid w:val="00FC0086"/>
    <w:rsid w:val="00FD6CBE"/>
    <w:rsid w:val="00FE0966"/>
    <w:rsid w:val="00FE6290"/>
    <w:rsid w:val="00FE74AC"/>
    <w:rsid w:val="00FF6DE1"/>
    <w:rsid w:val="01F3491A"/>
    <w:rsid w:val="03C22CA6"/>
    <w:rsid w:val="06D2109A"/>
    <w:rsid w:val="0A546746"/>
    <w:rsid w:val="0BAC415E"/>
    <w:rsid w:val="0C734620"/>
    <w:rsid w:val="0D640DE3"/>
    <w:rsid w:val="106A3333"/>
    <w:rsid w:val="10F00F1A"/>
    <w:rsid w:val="1170267A"/>
    <w:rsid w:val="11C708C1"/>
    <w:rsid w:val="12C11321"/>
    <w:rsid w:val="16475EF2"/>
    <w:rsid w:val="19445C89"/>
    <w:rsid w:val="1D413952"/>
    <w:rsid w:val="1D9F7862"/>
    <w:rsid w:val="22077180"/>
    <w:rsid w:val="22511921"/>
    <w:rsid w:val="22FC5D7B"/>
    <w:rsid w:val="231A3DDB"/>
    <w:rsid w:val="277758AF"/>
    <w:rsid w:val="28354E7B"/>
    <w:rsid w:val="2A386AF3"/>
    <w:rsid w:val="2FF050BE"/>
    <w:rsid w:val="33F43164"/>
    <w:rsid w:val="34AA5056"/>
    <w:rsid w:val="3573598C"/>
    <w:rsid w:val="35940EDD"/>
    <w:rsid w:val="3600382A"/>
    <w:rsid w:val="361D68B9"/>
    <w:rsid w:val="37E63577"/>
    <w:rsid w:val="38DD10EC"/>
    <w:rsid w:val="3D4A6BE2"/>
    <w:rsid w:val="3DE13E98"/>
    <w:rsid w:val="3DEE5B99"/>
    <w:rsid w:val="3E12015E"/>
    <w:rsid w:val="3EB24250"/>
    <w:rsid w:val="3ECE62AD"/>
    <w:rsid w:val="3FAB47D9"/>
    <w:rsid w:val="403F0AC3"/>
    <w:rsid w:val="4068069F"/>
    <w:rsid w:val="41041645"/>
    <w:rsid w:val="42000139"/>
    <w:rsid w:val="42252CF5"/>
    <w:rsid w:val="44262080"/>
    <w:rsid w:val="444877AF"/>
    <w:rsid w:val="455A1A4B"/>
    <w:rsid w:val="474770BB"/>
    <w:rsid w:val="493B33E3"/>
    <w:rsid w:val="49EF3CCB"/>
    <w:rsid w:val="4A9C5F4B"/>
    <w:rsid w:val="4C6D5E03"/>
    <w:rsid w:val="4CEA6DB9"/>
    <w:rsid w:val="4E1D196D"/>
    <w:rsid w:val="4EDF5E9D"/>
    <w:rsid w:val="4F1B4A37"/>
    <w:rsid w:val="50645BF9"/>
    <w:rsid w:val="51C12FEC"/>
    <w:rsid w:val="51EB7A03"/>
    <w:rsid w:val="52EF6F3C"/>
    <w:rsid w:val="5417624F"/>
    <w:rsid w:val="54F1356A"/>
    <w:rsid w:val="55690A32"/>
    <w:rsid w:val="57E46740"/>
    <w:rsid w:val="58A3160E"/>
    <w:rsid w:val="58F26201"/>
    <w:rsid w:val="5B486861"/>
    <w:rsid w:val="5BEA3895"/>
    <w:rsid w:val="5C180FE2"/>
    <w:rsid w:val="5CB51E8B"/>
    <w:rsid w:val="5D5223C0"/>
    <w:rsid w:val="5DAA3BBD"/>
    <w:rsid w:val="5DC22B5C"/>
    <w:rsid w:val="5DE61640"/>
    <w:rsid w:val="613E62C7"/>
    <w:rsid w:val="61854011"/>
    <w:rsid w:val="65CA2A4B"/>
    <w:rsid w:val="663C44D9"/>
    <w:rsid w:val="673064BA"/>
    <w:rsid w:val="676660CB"/>
    <w:rsid w:val="67B043EF"/>
    <w:rsid w:val="6A0B11C4"/>
    <w:rsid w:val="6AD67C9B"/>
    <w:rsid w:val="6B006B57"/>
    <w:rsid w:val="72E2583F"/>
    <w:rsid w:val="730E4009"/>
    <w:rsid w:val="741A6551"/>
    <w:rsid w:val="746137A3"/>
    <w:rsid w:val="770A1526"/>
    <w:rsid w:val="78A76679"/>
    <w:rsid w:val="793B22BD"/>
    <w:rsid w:val="7A812629"/>
    <w:rsid w:val="7A965B8C"/>
    <w:rsid w:val="7B664EF6"/>
    <w:rsid w:val="7EC20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F5CC209"/>
  <w15:chartTrackingRefBased/>
  <w15:docId w15:val="{DE89F151-66BA-4464-9B77-8C8B4D4A2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Cs w:val="24"/>
      <w:lang w:eastAsia="en-US"/>
    </w:rPr>
  </w:style>
  <w:style w:type="paragraph" w:styleId="Heading1">
    <w:name w:val="heading 1"/>
    <w:basedOn w:val="Normal"/>
    <w:next w:val="Normal"/>
    <w:link w:val="Heading1Char"/>
    <w:qFormat/>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Heading2">
    <w:name w:val="heading 2"/>
    <w:basedOn w:val="Heading1"/>
    <w:next w:val="Normal"/>
    <w:link w:val="Heading2Char"/>
    <w:qFormat/>
    <w:pPr>
      <w:numPr>
        <w:ilvl w:val="1"/>
      </w:numPr>
      <w:tabs>
        <w:tab w:val="clear" w:pos="567"/>
        <w:tab w:val="clear" w:pos="2269"/>
      </w:tabs>
      <w:ind w:left="567"/>
      <w:outlineLvl w:val="1"/>
    </w:pPr>
    <w:rPr>
      <w:b w:val="0"/>
      <w:bCs w:val="0"/>
      <w:iCs/>
      <w:szCs w:val="28"/>
    </w:rPr>
  </w:style>
  <w:style w:type="paragraph" w:styleId="Heading3">
    <w:name w:val="heading 3"/>
    <w:basedOn w:val="Heading2"/>
    <w:next w:val="Normal"/>
    <w:link w:val="Heading3Char"/>
    <w:qFormat/>
    <w:pPr>
      <w:numPr>
        <w:ilvl w:val="2"/>
      </w:numPr>
      <w:tabs>
        <w:tab w:val="left" w:pos="-1247"/>
      </w:tabs>
      <w:outlineLvl w:val="2"/>
    </w:pPr>
    <w:rPr>
      <w:rFonts w:ascii="Arial" w:hAnsi="Arial"/>
      <w:b/>
      <w:bCs/>
      <w:sz w:val="26"/>
      <w:szCs w:val="26"/>
    </w:rPr>
  </w:style>
  <w:style w:type="paragraph" w:styleId="Heading4">
    <w:name w:val="heading 4"/>
    <w:basedOn w:val="Normal"/>
    <w:next w:val="Normal"/>
    <w:link w:val="Heading4Char"/>
    <w:uiPriority w:val="9"/>
    <w:qFormat/>
    <w:pPr>
      <w:keepNext/>
      <w:numPr>
        <w:ilvl w:val="3"/>
        <w:numId w:val="1"/>
      </w:numPr>
      <w:tabs>
        <w:tab w:val="left" w:pos="-1247"/>
      </w:tabs>
      <w:spacing w:before="240" w:after="60"/>
      <w:outlineLvl w:val="3"/>
    </w:pPr>
    <w:rPr>
      <w:rFonts w:eastAsia="MS Mincho"/>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8">
    <w:name w:val="heading 8"/>
    <w:basedOn w:val="Normal"/>
    <w:next w:val="Normal"/>
    <w:link w:val="Heading8Char"/>
    <w:uiPriority w:val="9"/>
    <w:qFormat/>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Helvetica" w:eastAsia="MS Mincho" w:hAnsi="Helvetica" w:cs="Arial"/>
      <w:b/>
      <w:bCs/>
      <w:kern w:val="32"/>
      <w:sz w:val="28"/>
      <w:szCs w:val="32"/>
      <w:lang w:eastAsia="en-US"/>
    </w:rPr>
  </w:style>
  <w:style w:type="character" w:customStyle="1" w:styleId="Heading2Char">
    <w:name w:val="Heading 2 Char"/>
    <w:link w:val="Heading2"/>
    <w:rPr>
      <w:rFonts w:ascii="Helvetica" w:eastAsia="MS Mincho" w:hAnsi="Helvetica" w:cs="Arial"/>
      <w:b/>
      <w:bCs/>
      <w:iCs/>
      <w:szCs w:val="28"/>
      <w:lang w:eastAsia="en-US"/>
    </w:r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Heading4Char">
    <w:name w:val="Heading 4 Char"/>
    <w:link w:val="Heading4"/>
    <w:rPr>
      <w:rFonts w:ascii="Times New Roman" w:eastAsia="MS Mincho" w:hAnsi="Times New Roman"/>
      <w:b/>
      <w:bCs/>
      <w:sz w:val="28"/>
      <w:szCs w:val="28"/>
      <w:lang w:eastAsia="en-US"/>
    </w:rPr>
  </w:style>
  <w:style w:type="character" w:customStyle="1" w:styleId="Heading5Char">
    <w:name w:val="Heading 5 Char"/>
    <w:link w:val="Heading5"/>
    <w:rPr>
      <w:rFonts w:ascii="Times New Roman" w:eastAsia="Times New Roman" w:hAnsi="Times New Roman" w:cs="Times New Roman"/>
      <w:b/>
      <w:bCs/>
      <w:i/>
      <w:iCs/>
      <w:sz w:val="26"/>
      <w:szCs w:val="26"/>
      <w:lang w:val="en-US"/>
    </w:rPr>
  </w:style>
  <w:style w:type="character" w:customStyle="1" w:styleId="Heading8Char">
    <w:name w:val="Heading 8 Char"/>
    <w:link w:val="Heading8"/>
    <w:uiPriority w:val="9"/>
    <w:rPr>
      <w:rFonts w:ascii="Cambria" w:eastAsia="SimSun" w:hAnsi="Cambria" w:cs="Times New Roman"/>
      <w:sz w:val="24"/>
      <w:szCs w:val="24"/>
      <w:lang w:val="en-US"/>
    </w:rPr>
  </w:style>
  <w:style w:type="paragraph" w:styleId="BalloonText">
    <w:name w:val="Balloon Text"/>
    <w:basedOn w:val="Normal"/>
    <w:link w:val="BalloonTextChar"/>
    <w:uiPriority w:val="99"/>
    <w:unhideWhenUsed/>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val="en-US"/>
    </w:rPr>
  </w:style>
  <w:style w:type="paragraph" w:styleId="BodyText">
    <w:name w:val="Body Text"/>
    <w:basedOn w:val="Normal"/>
    <w:link w:val="BodyTextChar"/>
    <w:pPr>
      <w:spacing w:after="120"/>
      <w:jc w:val="both"/>
    </w:pPr>
    <w:rPr>
      <w:rFonts w:eastAsia="MS Mincho"/>
    </w:rPr>
  </w:style>
  <w:style w:type="character" w:customStyle="1" w:styleId="BodyTextChar">
    <w:name w:val="Body Text Char"/>
    <w:link w:val="BodyText"/>
    <w:rPr>
      <w:rFonts w:ascii="Times New Roman" w:eastAsia="MS Mincho" w:hAnsi="Times New Roman" w:cs="Times New Roman"/>
      <w:sz w:val="20"/>
      <w:szCs w:val="24"/>
      <w:lang w:val="en-US"/>
    </w:rPr>
  </w:style>
  <w:style w:type="paragraph" w:styleId="Caption">
    <w:name w:val="caption"/>
    <w:basedOn w:val="Normal"/>
    <w:next w:val="Normal"/>
    <w:uiPriority w:val="35"/>
    <w:qFormat/>
    <w:pPr>
      <w:spacing w:after="200"/>
    </w:pPr>
    <w:rPr>
      <w:b/>
      <w:bCs/>
      <w:sz w:val="18"/>
      <w:szCs w:val="18"/>
    </w:rPr>
  </w:style>
  <w:style w:type="character" w:styleId="CommentReference">
    <w:name w:val="annotation reference"/>
    <w:unhideWhenUsed/>
    <w:qFormat/>
    <w:rPr>
      <w:sz w:val="16"/>
      <w:szCs w:val="16"/>
    </w:rPr>
  </w:style>
  <w:style w:type="paragraph" w:styleId="CommentText">
    <w:name w:val="annotation text"/>
    <w:basedOn w:val="Normal"/>
    <w:link w:val="CommentTextChar"/>
    <w:unhideWhenUsed/>
    <w:qFormat/>
    <w:rPr>
      <w:szCs w:val="20"/>
    </w:rPr>
  </w:style>
  <w:style w:type="character" w:customStyle="1" w:styleId="CommentTextChar">
    <w:name w:val="Comment Text Char"/>
    <w:link w:val="CommentText"/>
    <w:qFormat/>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semiHidden/>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pPr>
      <w:tabs>
        <w:tab w:val="center" w:pos="4536"/>
        <w:tab w:val="right" w:pos="9072"/>
      </w:tabs>
    </w:pPr>
  </w:style>
  <w:style w:type="character" w:customStyle="1" w:styleId="FooterChar">
    <w:name w:val="Footer Char"/>
    <w:link w:val="Footer"/>
    <w:uiPriority w:val="99"/>
    <w:rPr>
      <w:rFonts w:ascii="Times New Roman" w:eastAsia="Times New Roman" w:hAnsi="Times New Roman" w:cs="Times New Roman"/>
      <w:sz w:val="20"/>
      <w:szCs w:val="24"/>
      <w:lang w:val="en-US"/>
    </w:rPr>
  </w:style>
  <w:style w:type="paragraph" w:styleId="Header">
    <w:name w:val="header"/>
    <w:basedOn w:val="Normal"/>
    <w:link w:val="HeaderChar"/>
    <w:pPr>
      <w:tabs>
        <w:tab w:val="center" w:pos="4536"/>
        <w:tab w:val="right" w:pos="9072"/>
      </w:tabs>
    </w:pPr>
    <w:rPr>
      <w:rFonts w:ascii="Arial" w:eastAsia="MS Mincho" w:hAnsi="Arial"/>
      <w:b/>
    </w:rPr>
  </w:style>
  <w:style w:type="character" w:customStyle="1" w:styleId="HeaderChar">
    <w:name w:val="Header Char"/>
    <w:link w:val="Header"/>
    <w:rPr>
      <w:rFonts w:ascii="Arial" w:eastAsia="MS Mincho" w:hAnsi="Arial" w:cs="Times New Roman"/>
      <w:b/>
      <w:sz w:val="20"/>
      <w:szCs w:val="24"/>
      <w:lang w:val="en-US"/>
    </w:rPr>
  </w:style>
  <w:style w:type="character" w:styleId="Hyperlink">
    <w:name w:val="Hyperlink"/>
    <w:uiPriority w:val="99"/>
    <w:unhideWhenUsed/>
    <w:rPr>
      <w:color w:val="0000FF"/>
      <w:u w:val="single"/>
    </w:rPr>
  </w:style>
  <w:style w:type="paragraph" w:styleId="List2">
    <w:name w:val="List 2"/>
    <w:basedOn w:val="Normal"/>
    <w:uiPriority w:val="99"/>
    <w:unhideWhenUsed/>
    <w:pPr>
      <w:ind w:leftChars="200" w:left="100" w:hangingChars="200" w:hanging="200"/>
      <w:contextualSpacing/>
    </w:p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Pr>
      <w:rFonts w:ascii="Arial" w:eastAsia="Malgun Gothic" w:hAnsi="Arial"/>
      <w:b/>
      <w:sz w:val="18"/>
      <w:lang w:val="en-GB"/>
    </w:rPr>
  </w:style>
  <w:style w:type="paragraph" w:customStyle="1" w:styleId="TAH">
    <w:name w:val="TAH"/>
    <w:basedOn w:val="Normal"/>
    <w:link w:val="TAHCar"/>
    <w:qFormat/>
    <w:pPr>
      <w:keepNext/>
      <w:keepLines/>
      <w:jc w:val="center"/>
    </w:pPr>
    <w:rPr>
      <w:rFonts w:ascii="Arial" w:eastAsia="Malgun Gothic" w:hAnsi="Arial"/>
      <w:b/>
      <w:sz w:val="18"/>
      <w:szCs w:val="20"/>
      <w:lang w:val="en-GB"/>
    </w:rPr>
  </w:style>
  <w:style w:type="character" w:customStyle="1" w:styleId="B3Char">
    <w:name w:val="B3 Char"/>
    <w:link w:val="B3"/>
    <w:rPr>
      <w:rFonts w:ascii="Times New Roman" w:hAnsi="Times New Roman"/>
      <w:lang w:val="en-GB" w:eastAsia="en-US"/>
    </w:rPr>
  </w:style>
  <w:style w:type="paragraph" w:customStyle="1" w:styleId="B3">
    <w:name w:val="B3"/>
    <w:basedOn w:val="Normal"/>
    <w:link w:val="B3Char"/>
    <w:pPr>
      <w:spacing w:after="180"/>
      <w:ind w:left="1135" w:hanging="284"/>
    </w:pPr>
    <w:rPr>
      <w:rFonts w:eastAsia="SimSun"/>
      <w:szCs w:val="20"/>
      <w:lang w:val="en-GB"/>
    </w:rPr>
  </w:style>
  <w:style w:type="character" w:customStyle="1" w:styleId="B1Char1">
    <w:name w:val="B1 Char1"/>
    <w:link w:val="B1"/>
    <w:qFormat/>
    <w:rPr>
      <w:rFonts w:ascii="Times New Roman" w:hAnsi="Times New Roman"/>
      <w:lang w:val="en-GB" w:eastAsia="en-US"/>
    </w:rPr>
  </w:style>
  <w:style w:type="paragraph" w:customStyle="1" w:styleId="B1">
    <w:name w:val="B1"/>
    <w:basedOn w:val="Normal"/>
    <w:link w:val="B1Char1"/>
    <w:qFormat/>
    <w:pPr>
      <w:spacing w:after="180"/>
      <w:ind w:left="568" w:hanging="284"/>
    </w:pPr>
    <w:rPr>
      <w:rFonts w:eastAsia="SimSun"/>
      <w:szCs w:val="20"/>
      <w:lang w:val="en-GB"/>
    </w:rPr>
  </w:style>
  <w:style w:type="character" w:customStyle="1" w:styleId="textChar">
    <w:name w:val="text Char"/>
    <w:link w:val="text"/>
    <w:rPr>
      <w:kern w:val="2"/>
      <w:sz w:val="24"/>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bullet1Char">
    <w:name w:val="bullet1 Char"/>
    <w:link w:val="bullet1"/>
    <w:rPr>
      <w:kern w:val="2"/>
      <w:sz w:val="24"/>
      <w:szCs w:val="24"/>
      <w:lang w:val="en-GB"/>
    </w:rPr>
  </w:style>
  <w:style w:type="paragraph" w:customStyle="1" w:styleId="bullet1">
    <w:name w:val="bullet1"/>
    <w:basedOn w:val="text"/>
    <w:link w:val="bullet1Char"/>
    <w:qFormat/>
    <w:pPr>
      <w:widowControl/>
      <w:numPr>
        <w:numId w:val="2"/>
      </w:numPr>
      <w:spacing w:after="0"/>
      <w:jc w:val="left"/>
    </w:pPr>
    <w:rPr>
      <w:szCs w:val="24"/>
      <w:lang w:val="en-GB"/>
    </w:rPr>
  </w:style>
  <w:style w:type="character" w:customStyle="1" w:styleId="Style1Char">
    <w:name w:val="Style1 Char"/>
    <w:link w:val="Style1"/>
    <w:qFormat/>
    <w:rPr>
      <w:rFonts w:ascii="Times New Roman" w:hAnsi="Times New Roman"/>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lang w:eastAsia="zh-CN"/>
    </w:rPr>
  </w:style>
  <w:style w:type="character" w:customStyle="1" w:styleId="TALCar">
    <w:name w:val="TAL Car"/>
    <w:qFormat/>
    <w:rPr>
      <w:rFonts w:ascii="Arial" w:eastAsia="Times New Roman" w:hAnsi="Arial"/>
      <w:sz w:val="18"/>
    </w:rPr>
  </w:style>
  <w:style w:type="character" w:customStyle="1" w:styleId="a">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uiPriority w:val="34"/>
    <w:qFormat/>
    <w:locked/>
    <w:rPr>
      <w:rFonts w:eastAsia="SimSun"/>
      <w:lang w:eastAsia="ja-JP"/>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1">
    <w:name w:val="列出段落 Char1"/>
    <w:aliases w:val="- Bullets Char,목록 단락 Char,リスト段落 Char,?? ?? Char1,????? Char1,???? Char1,Lista1 Char1"/>
    <w:uiPriority w:val="34"/>
    <w:qFormat/>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eastAsia="Malgun Gothic" w:cs="Batang"/>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eastAsia="SimSun"/>
    </w:rPr>
  </w:style>
  <w:style w:type="paragraph" w:customStyle="1" w:styleId="TAL">
    <w:name w:val="TAL"/>
    <w:basedOn w:val="Normal"/>
    <w:link w:val="TALChar"/>
    <w:pPr>
      <w:keepNext/>
      <w:keepLines/>
    </w:pPr>
    <w:rPr>
      <w:rFonts w:ascii="Arial" w:eastAsia="Malgun Gothic" w:hAnsi="Arial"/>
      <w:sz w:val="18"/>
      <w:szCs w:val="20"/>
      <w:lang w:val="en-GB"/>
    </w:rPr>
  </w:style>
  <w:style w:type="character" w:customStyle="1" w:styleId="TALChar">
    <w:name w:val="TAL Char"/>
    <w:link w:val="TAL"/>
    <w:rPr>
      <w:rFonts w:ascii="Arial" w:eastAsia="Malgun Gothic" w:hAnsi="Arial" w:cs="Times New Roman"/>
      <w:sz w:val="18"/>
      <w:szCs w:val="20"/>
      <w:lang w:val="en-GB"/>
    </w:rPr>
  </w:style>
  <w:style w:type="character" w:customStyle="1" w:styleId="high-light-bg">
    <w:name w:val="high-light-bg"/>
  </w:style>
  <w:style w:type="character" w:customStyle="1" w:styleId="apple-converted-space">
    <w:name w:val="apple-converted-space"/>
  </w:style>
  <w:style w:type="character" w:customStyle="1" w:styleId="ListParagraphChar">
    <w:name w:val="List Paragraph Char"/>
    <w:link w:val="ListParagraph"/>
    <w:uiPriority w:val="34"/>
    <w:qFormat/>
    <w:locked/>
    <w:rPr>
      <w:rFonts w:ascii="Times New Roman" w:eastAsia="Times New Roman" w:hAnsi="Times New Roman" w:cs="Times New Roman"/>
      <w:sz w:val="20"/>
      <w:szCs w:val="24"/>
      <w:lang w:val="en-US"/>
    </w:rPr>
  </w:style>
  <w:style w:type="paragraph" w:styleId="ListParagraph">
    <w:name w:val="List Paragraph"/>
    <w:basedOn w:val="Normal"/>
    <w:link w:val="ListParagraphChar"/>
    <w:uiPriority w:val="34"/>
    <w:qFormat/>
    <w:pPr>
      <w:ind w:left="720"/>
      <w:contextualSpacing/>
    </w:pPr>
  </w:style>
  <w:style w:type="character" w:customStyle="1" w:styleId="a0">
    <w:name w:val="页眉 字符"/>
    <w:aliases w:val="header odd 字符"/>
    <w:rPr>
      <w:lang w:val="en-GB"/>
    </w:rPr>
  </w:style>
  <w:style w:type="character" w:customStyle="1" w:styleId="CRCoverPageZchn">
    <w:name w:val="CR Cover Page Zchn"/>
    <w:link w:val="CRCoverPage"/>
    <w:rPr>
      <w:rFonts w:ascii="Arial" w:eastAsia="DengXian" w:hAnsi="Arial"/>
      <w:lang w:val="en-GB" w:eastAsia="en-US"/>
    </w:rPr>
  </w:style>
  <w:style w:type="paragraph" w:customStyle="1" w:styleId="CRCoverPage">
    <w:name w:val="CR Cover Page"/>
    <w:link w:val="CRCoverPageZchn"/>
    <w:pPr>
      <w:spacing w:after="120"/>
    </w:pPr>
    <w:rPr>
      <w:rFonts w:ascii="Arial" w:eastAsia="DengXian" w:hAnsi="Arial"/>
      <w:lang w:val="en-GB" w:eastAsia="en-US"/>
    </w:rPr>
  </w:style>
  <w:style w:type="character" w:customStyle="1" w:styleId="TANChar">
    <w:name w:val="TAN Char"/>
    <w:link w:val="TAN"/>
    <w:qFormat/>
    <w:rPr>
      <w:rFonts w:ascii="Arial" w:eastAsia="Times New Roman" w:hAnsi="Arial"/>
      <w:sz w:val="18"/>
      <w:lang w:val="en-GB" w:eastAsia="en-GB"/>
    </w:rPr>
  </w:style>
  <w:style w:type="paragraph" w:customStyle="1" w:styleId="TAN">
    <w:name w:val="TAN"/>
    <w:basedOn w:val="TAL"/>
    <w:link w:val="TANChar"/>
    <w:pPr>
      <w:overflowPunct w:val="0"/>
      <w:autoSpaceDE w:val="0"/>
      <w:autoSpaceDN w:val="0"/>
      <w:adjustRightInd w:val="0"/>
      <w:ind w:left="851" w:hanging="851"/>
      <w:textAlignment w:val="baseline"/>
    </w:pPr>
    <w:rPr>
      <w:rFonts w:eastAsia="Times New Roman"/>
      <w:lang w:eastAsia="en-GB"/>
    </w:rPr>
  </w:style>
  <w:style w:type="paragraph" w:customStyle="1" w:styleId="textintend1">
    <w:name w:val="text intend 1"/>
    <w:basedOn w:val="Normal"/>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30">
    <w:name w:val="B3+"/>
    <w:basedOn w:val="B3"/>
    <w:pPr>
      <w:numPr>
        <w:numId w:val="4"/>
      </w:numPr>
      <w:tabs>
        <w:tab w:val="left" w:pos="1134"/>
        <w:tab w:val="left" w:pos="1644"/>
      </w:tabs>
      <w:overflowPunct w:val="0"/>
      <w:autoSpaceDE w:val="0"/>
      <w:autoSpaceDN w:val="0"/>
      <w:adjustRightInd w:val="0"/>
      <w:textAlignment w:val="baseline"/>
    </w:pPr>
    <w:rPr>
      <w:rFonts w:eastAsia="Times New Roman"/>
      <w:lang w:eastAsia="en-GB"/>
    </w:rPr>
  </w:style>
  <w:style w:type="paragraph" w:customStyle="1" w:styleId="m1688756359928511317gmail-m-8159134361528303805msolistparagraph">
    <w:name w:val="m_1688756359928511317gmail-m-8159134361528303805msolistparagraph"/>
    <w:basedOn w:val="Normal"/>
    <w:pPr>
      <w:spacing w:before="100" w:beforeAutospacing="1" w:after="100" w:afterAutospacing="1"/>
    </w:pPr>
    <w:rPr>
      <w:rFonts w:ascii="Calibri" w:eastAsia="SimSun" w:hAnsi="Calibri" w:cs="Calibri"/>
      <w:sz w:val="22"/>
      <w:szCs w:val="22"/>
      <w:lang w:eastAsia="zh-CN"/>
    </w:rPr>
  </w:style>
  <w:style w:type="paragraph" w:customStyle="1" w:styleId="bullet4">
    <w:name w:val="bullet4"/>
    <w:basedOn w:val="text"/>
    <w:qFormat/>
    <w:pPr>
      <w:widowControl/>
      <w:numPr>
        <w:ilvl w:val="3"/>
        <w:numId w:val="2"/>
      </w:numPr>
      <w:spacing w:after="0"/>
      <w:jc w:val="left"/>
    </w:pPr>
    <w:rPr>
      <w:rFonts w:ascii="Times" w:eastAsia="Batang" w:hAnsi="Times"/>
      <w:kern w:val="0"/>
      <w:sz w:val="20"/>
      <w:szCs w:val="24"/>
      <w:lang w:val="en-GB" w:eastAsia="en-US"/>
    </w:rPr>
  </w:style>
  <w:style w:type="paragraph" w:customStyle="1" w:styleId="bullet2">
    <w:name w:val="bullet2"/>
    <w:basedOn w:val="text"/>
    <w:qFormat/>
    <w:pPr>
      <w:widowControl/>
      <w:numPr>
        <w:ilvl w:val="1"/>
        <w:numId w:val="2"/>
      </w:numPr>
      <w:spacing w:after="0"/>
      <w:jc w:val="left"/>
    </w:pPr>
    <w:rPr>
      <w:rFonts w:ascii="Times" w:hAnsi="Times"/>
      <w:szCs w:val="24"/>
      <w:lang w:val="en-GB"/>
    </w:rPr>
  </w:style>
  <w:style w:type="paragraph" w:customStyle="1" w:styleId="m1688756359928511317gmail-msonormal">
    <w:name w:val="m_1688756359928511317gmail-msonormal"/>
    <w:basedOn w:val="Normal"/>
    <w:pPr>
      <w:spacing w:before="100" w:beforeAutospacing="1" w:after="100" w:afterAutospacing="1"/>
    </w:pPr>
    <w:rPr>
      <w:rFonts w:ascii="Calibri" w:eastAsia="SimSun" w:hAnsi="Calibri" w:cs="Calibri"/>
      <w:sz w:val="22"/>
      <w:szCs w:val="22"/>
      <w:lang w:eastAsia="zh-CN"/>
    </w:rPr>
  </w:style>
  <w:style w:type="paragraph" w:customStyle="1" w:styleId="Proposal">
    <w:name w:val="Proposal"/>
    <w:basedOn w:val="BodyText"/>
    <w:qFormat/>
    <w:pPr>
      <w:widowControl w:val="0"/>
      <w:numPr>
        <w:numId w:val="5"/>
      </w:numPr>
      <w:tabs>
        <w:tab w:val="clear" w:pos="1304"/>
        <w:tab w:val="left" w:pos="1701"/>
      </w:tabs>
      <w:ind w:left="1701" w:hanging="1701"/>
    </w:pPr>
    <w:rPr>
      <w:rFonts w:ascii="Arial" w:eastAsia="DengXian" w:hAnsi="Arial"/>
      <w:b/>
      <w:bCs/>
      <w:kern w:val="2"/>
      <w:sz w:val="21"/>
      <w:szCs w:val="22"/>
      <w:lang w:eastAsia="zh-CN"/>
    </w:rPr>
  </w:style>
  <w:style w:type="paragraph" w:customStyle="1" w:styleId="gmail-m-8159134361528303805msolistparagraph">
    <w:name w:val="gmail-m_-8159134361528303805msolistparagraph"/>
    <w:basedOn w:val="Normal"/>
    <w:pPr>
      <w:spacing w:before="100" w:beforeAutospacing="1" w:after="100" w:afterAutospacing="1"/>
    </w:pPr>
    <w:rPr>
      <w:rFonts w:eastAsia="SimSun"/>
      <w:sz w:val="24"/>
      <w:lang w:eastAsia="zh-CN"/>
    </w:rPr>
  </w:style>
  <w:style w:type="paragraph" w:customStyle="1" w:styleId="B10">
    <w:name w:val="B1+"/>
    <w:basedOn w:val="B1"/>
    <w:pPr>
      <w:numPr>
        <w:numId w:val="6"/>
      </w:numPr>
      <w:tabs>
        <w:tab w:val="left" w:pos="737"/>
      </w:tabs>
      <w:overflowPunct w:val="0"/>
      <w:autoSpaceDE w:val="0"/>
      <w:autoSpaceDN w:val="0"/>
      <w:adjustRightInd w:val="0"/>
      <w:textAlignment w:val="baseline"/>
    </w:pPr>
    <w:rPr>
      <w:rFonts w:eastAsia="Times New Roman"/>
      <w:lang w:eastAsia="en-GB"/>
    </w:rPr>
  </w:style>
  <w:style w:type="paragraph" w:customStyle="1" w:styleId="bullet3">
    <w:name w:val="bullet3"/>
    <w:basedOn w:val="text"/>
    <w:qFormat/>
    <w:pPr>
      <w:widowControl/>
      <w:numPr>
        <w:ilvl w:val="2"/>
        <w:numId w:val="2"/>
      </w:numPr>
      <w:spacing w:after="0"/>
      <w:jc w:val="left"/>
    </w:pPr>
    <w:rPr>
      <w:rFonts w:ascii="Times" w:eastAsia="Batang" w:hAnsi="Times"/>
      <w:kern w:val="0"/>
      <w:sz w:val="20"/>
      <w:szCs w:val="24"/>
      <w:lang w:val="en-GB" w:eastAsia="en-US"/>
    </w:rPr>
  </w:style>
  <w:style w:type="paragraph" w:customStyle="1" w:styleId="EQ">
    <w:name w:val="EQ"/>
    <w:basedOn w:val="Normal"/>
    <w:next w:val="Normal"/>
    <w:pPr>
      <w:keepLines/>
      <w:tabs>
        <w:tab w:val="center" w:pos="4536"/>
        <w:tab w:val="right" w:pos="9072"/>
      </w:tabs>
      <w:spacing w:after="180"/>
    </w:pPr>
    <w:rPr>
      <w:rFonts w:eastAsia="SimSun"/>
      <w:szCs w:val="20"/>
      <w:lang w:val="en-GB" w:eastAsia="zh-CN"/>
    </w:rPr>
  </w:style>
  <w:style w:type="paragraph" w:customStyle="1" w:styleId="gmail-msonormal">
    <w:name w:val="gmail-msonormal"/>
    <w:basedOn w:val="Normal"/>
    <w:pPr>
      <w:spacing w:before="100" w:beforeAutospacing="1" w:after="100" w:afterAutospacing="1"/>
    </w:pPr>
    <w:rPr>
      <w:rFonts w:eastAsia="SimSun"/>
      <w:sz w:val="24"/>
      <w:lang w:eastAsia="zh-CN"/>
    </w:rPr>
  </w:style>
  <w:style w:type="paragraph" w:customStyle="1" w:styleId="ListParagraph1">
    <w:name w:val="List Paragraph1"/>
    <w:basedOn w:val="Normal"/>
    <w:uiPriority w:val="34"/>
    <w:qFormat/>
    <w:pPr>
      <w:ind w:left="720"/>
    </w:pPr>
  </w:style>
  <w:style w:type="paragraph" w:customStyle="1" w:styleId="B2">
    <w:name w:val="B2"/>
    <w:basedOn w:val="List2"/>
    <w:link w:val="B2Char"/>
    <w:qFormat/>
    <w:pPr>
      <w:spacing w:after="180"/>
      <w:ind w:leftChars="0" w:left="851" w:firstLineChars="0" w:hanging="284"/>
    </w:pPr>
    <w:rPr>
      <w:rFonts w:eastAsia="SimSun"/>
      <w:szCs w:val="20"/>
      <w:lang w:val="en-GB"/>
    </w:rPr>
  </w:style>
  <w:style w:type="character" w:customStyle="1" w:styleId="B2Char">
    <w:name w:val="B2 Char"/>
    <w:link w:val="B2"/>
    <w:qFormat/>
    <w:rPr>
      <w:lang w:val="en-GB" w:eastAsia="en-US"/>
    </w:rPr>
  </w:style>
  <w:style w:type="character" w:customStyle="1" w:styleId="B3Char2">
    <w:name w:val="B3 Char2"/>
    <w:qFormat/>
    <w:rPr>
      <w:lang w:val="en-GB"/>
    </w:rPr>
  </w:style>
  <w:style w:type="paragraph" w:customStyle="1" w:styleId="References">
    <w:name w:val="References"/>
    <w:basedOn w:val="Normal"/>
    <w:rsid w:val="00D64075"/>
    <w:pPr>
      <w:numPr>
        <w:numId w:val="11"/>
      </w:numPr>
      <w:autoSpaceDE w:val="0"/>
      <w:autoSpaceDN w:val="0"/>
      <w:snapToGrid w:val="0"/>
      <w:spacing w:after="60"/>
      <w:jc w:val="both"/>
    </w:pPr>
    <w:rPr>
      <w:rFonts w:eastAsia="SimSun"/>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av_EngDoc" ma:contentTypeID="0x01010037A1B2A0B64B6240A8FF8DD0D563EC62010201005C1669E632F7ED45928E2DD4F2E46E45" ma:contentTypeVersion="43" ma:contentTypeDescription="Local content type for artefact management" ma:contentTypeScope="" ma:versionID="1a53b525923f7caed7db9683c814feaa">
  <xsd:schema xmlns:xsd="http://www.w3.org/2001/XMLSchema" xmlns:xs="http://www.w3.org/2001/XMLSchema" xmlns:p="http://schemas.microsoft.com/office/2006/metadata/properties" xmlns:ns1="http://schemas.microsoft.com/sharepoint/v3" xmlns:ns2="5fcc3bcc-0dfa-4fec-81e5-0fcaf256fc26" xmlns:ns3="dc754534-1218-482f-98bf-47937c096771" targetNamespace="http://schemas.microsoft.com/office/2006/metadata/properties" ma:root="true" ma:fieldsID="acbddcd3e623cb6adb4be07baaef4e9e" ns1:_="" ns2:_="" ns3:_="">
    <xsd:import namespace="http://schemas.microsoft.com/sharepoint/v3"/>
    <xsd:import namespace="5fcc3bcc-0dfa-4fec-81e5-0fcaf256fc26"/>
    <xsd:import namespace="dc754534-1218-482f-98bf-47937c096771"/>
    <xsd:element name="properties">
      <xsd:complexType>
        <xsd:sequence>
          <xsd:element name="documentManagement">
            <xsd:complexType>
              <xsd:all>
                <xsd:element ref="ns2:DocStatus" minOccurs="0"/>
                <xsd:element ref="ns2:Mav_EngDocType" minOccurs="0"/>
                <xsd:element ref="ns2:DocInfo" minOccurs="0"/>
                <xsd:element ref="ns2:PlatformType" minOccurs="0"/>
                <xsd:element ref="ns2:ProductName" minOccurs="0"/>
                <xsd:element ref="ns2:SW_Release" minOccurs="0"/>
                <xsd:element ref="ns2:Security" minOccurs="0"/>
                <xsd:element ref="ns2:CustHeat" minOccurs="0"/>
                <xsd:element ref="ns2:Start_x0020_Review" minOccurs="0"/>
                <xsd:element ref="ns2:Document_x0020_URL" minOccurs="0"/>
                <xsd:element ref="ns2:ProdCat" minOccurs="0"/>
                <xsd:element ref="ns2:Artefact" minOccurs="0"/>
                <xsd:element ref="ns2:EngProj" minOccurs="0"/>
                <xsd:element ref="ns2:mav_announce" minOccurs="0"/>
                <xsd:element ref="ns3:MediaServiceMetadata" minOccurs="0"/>
                <xsd:element ref="ns3:MediaServiceFastMetadata" minOccurs="0"/>
                <xsd:element ref="ns3:MediaServiceAutoTags" minOccurs="0"/>
                <xsd:element ref="ns2:SharedWithUsers" minOccurs="0"/>
                <xsd:element ref="ns2:SharedWithDetails" minOccurs="0"/>
                <xsd:element ref="ns3:MediaServiceEventHashCode" minOccurs="0"/>
                <xsd:element ref="ns3:MediaServiceGenerationTime" minOccurs="0"/>
                <xsd:element ref="ns3:MediaServiceDateTaken" minOccurs="0"/>
                <xsd:element ref="ns3:MediaServiceOCR" minOccurs="0"/>
                <xsd:element ref="ns1:_ip_UnifiedCompliancePolicyProperties" minOccurs="0"/>
                <xsd:element ref="ns1:_ip_UnifiedCompliancePolicyUIActio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cc3bcc-0dfa-4fec-81e5-0fcaf256fc26" elementFormDefault="qualified">
    <xsd:import namespace="http://schemas.microsoft.com/office/2006/documentManagement/types"/>
    <xsd:import namespace="http://schemas.microsoft.com/office/infopath/2007/PartnerControls"/>
    <xsd:element name="DocStatus" ma:index="2" nillable="true" ma:displayName="DocStatus" ma:default="Draft" ma:format="Dropdown" ma:internalName="DocStatus" ma:readOnly="false">
      <xsd:simpleType>
        <xsd:restriction base="dms:Choice">
          <xsd:enumeration value="Draft"/>
          <xsd:enumeration value="Awaiting Review"/>
          <xsd:enumeration value="Rework in Progress"/>
          <xsd:enumeration value="Awaiting Approval"/>
          <xsd:enumeration value="Approved"/>
          <xsd:enumeration value="Archived"/>
        </xsd:restriction>
      </xsd:simpleType>
    </xsd:element>
    <xsd:element name="Mav_EngDocType" ma:index="3" nillable="true" ma:displayName="Mav_EngDocType" ma:default="Other" ma:description="document type" ma:format="Dropdown" ma:internalName="Mav_EngDocType" ma:readOnly="false">
      <xsd:simpleType>
        <xsd:restriction base="dms:Choice">
          <xsd:enumeration value="Capacity"/>
          <xsd:enumeration value="Design"/>
          <xsd:enumeration value="FRS"/>
          <xsd:enumeration value="Gate1"/>
          <xsd:enumeration value="Gate2"/>
          <xsd:enumeration value="Gate3"/>
          <xsd:enumeration value="HLD"/>
          <xsd:enumeration value="Measurement"/>
          <xsd:enumeration value="MIB"/>
          <xsd:enumeration value="LLD"/>
          <xsd:enumeration value="Planning"/>
          <xsd:enumeration value="PLM"/>
          <xsd:enumeration value="R&amp;D Updates"/>
          <xsd:enumeration value="RefDoc"/>
          <xsd:enumeration value="ReleaseNotes"/>
          <xsd:enumeration value="Reports"/>
          <xsd:enumeration value="Requirement"/>
          <xsd:enumeration value="RTM"/>
          <xsd:enumeration value="Template"/>
          <xsd:enumeration value="TestPlan"/>
          <xsd:enumeration value="TestReport"/>
          <xsd:enumeration value="TestStrategy"/>
          <xsd:enumeration value="Other"/>
        </xsd:restriction>
      </xsd:simpleType>
    </xsd:element>
    <xsd:element name="DocInfo" ma:index="4" nillable="true" ma:displayName="DocInfo" ma:internalName="DocInfo" ma:readOnly="false">
      <xsd:simpleType>
        <xsd:restriction base="dms:Note">
          <xsd:maxLength value="255"/>
        </xsd:restriction>
      </xsd:simpleType>
    </xsd:element>
    <xsd:element name="PlatformType" ma:index="5" nillable="true" ma:displayName="PlatformType" ma:internalName="PlatformType" ma:readOnly="false">
      <xsd:complexType>
        <xsd:complexContent>
          <xsd:extension base="dms:MultiChoice">
            <xsd:sequence>
              <xsd:element name="Value" maxOccurs="unbounded" minOccurs="0" nillable="true">
                <xsd:simpleType>
                  <xsd:restriction base="dms:Choice">
                    <xsd:enumeration value="ATCA"/>
                    <xsd:enumeration value="Virtualised"/>
                    <xsd:enumeration value="ATCA_and_Virtualised"/>
                    <xsd:enumeration value="Other"/>
                  </xsd:restriction>
                </xsd:simpleType>
              </xsd:element>
            </xsd:sequence>
          </xsd:extension>
        </xsd:complexContent>
      </xsd:complexType>
    </xsd:element>
    <xsd:element name="ProductName" ma:index="6" nillable="true" ma:displayName="ProductName" ma:description="Product Name" ma:format="Dropdown" ma:internalName="ProductName" ma:readOnly="false">
      <xsd:simpleType>
        <xsd:restriction base="dms:Choice">
          <xsd:enumeration value="5G_FEMTO"/>
          <xsd:enumeration value="AAA"/>
          <xsd:enumeration value="AGW"/>
          <xsd:enumeration value="AP"/>
          <xsd:enumeration value="BSG"/>
          <xsd:enumeration value="CAS"/>
          <xsd:enumeration value="CCF"/>
          <xsd:enumeration value="CCPS"/>
          <xsd:enumeration value="CDB"/>
          <xsd:enumeration value="Client"/>
          <xsd:enumeration value="CMS"/>
          <xsd:enumeration value="CPM"/>
          <xsd:enumeration value="CPS"/>
          <xsd:enumeration value="CTAS/SCC-AC"/>
          <xsd:enumeration value="DND"/>
          <xsd:enumeration value="DRA/DSC"/>
          <xsd:enumeration value="EMMS-TAS"/>
          <xsd:enumeration value="Entitlement Server (ES)"/>
          <xsd:enumeration value="EPC"/>
          <xsd:enumeration value="EPDG"/>
          <xsd:enumeration value="EPortal"/>
          <xsd:enumeration value="FAX"/>
          <xsd:enumeration value="GSM"/>
          <xsd:enumeration value="HSS"/>
          <xsd:enumeration value="HSS-FE"/>
          <xsd:enumeration value="ICS-GW"/>
          <xsd:enumeration value="IMS"/>
          <xsd:enumeration value="IWF (CSFB/SR-VCC)"/>
          <xsd:enumeration value="LTE-SEG"/>
          <xsd:enumeration value="MCA"/>
          <xsd:enumeration value="MGCF/MGW"/>
          <xsd:enumeration value="MMC"/>
          <xsd:enumeration value="MME"/>
          <xsd:enumeration value="MMSC"/>
          <xsd:enumeration value="MPG"/>
          <xsd:enumeration value="MR"/>
          <xsd:enumeration value="MReports"/>
          <xsd:enumeration value="MRF"/>
          <xsd:enumeration value="MSIS"/>
          <xsd:enumeration value="MStore"/>
          <xsd:enumeration value="MTAS"/>
          <xsd:enumeration value="NWDB"/>
          <xsd:enumeration value="PCRF"/>
          <xsd:enumeration value="PRS"/>
          <xsd:enumeration value="PSG"/>
          <xsd:enumeration value="RMS"/>
          <xsd:enumeration value="RMS: IPSMGW"/>
          <xsd:enumeration value="RMS: RCS"/>
          <xsd:enumeration value="SAG"/>
          <xsd:enumeration value="SeGW"/>
          <xsd:enumeration value="SMSC"/>
          <xsd:enumeration value="SPS"/>
          <xsd:enumeration value="SRE"/>
          <xsd:enumeration value="UAG"/>
          <xsd:enumeration value="UAG: A-SBC"/>
          <xsd:enumeration value="UAG: I-SBC"/>
          <xsd:enumeration value="UAG: ePDG"/>
          <xsd:enumeration value="UAG: PGW"/>
          <xsd:enumeration value="UAG: SGW"/>
          <xsd:enumeration value="UMR"/>
          <xsd:enumeration value="vEPC"/>
          <xsd:enumeration value="vHSS"/>
          <xsd:enumeration value="vPGW"/>
          <xsd:enumeration value="vSAEGW"/>
          <xsd:enumeration value="VMAS"/>
          <xsd:enumeration value="VMS"/>
          <xsd:enumeration value="Video Voicemail"/>
          <xsd:enumeration value="WebRTC GW"/>
          <xsd:enumeration value="WSG"/>
          <xsd:enumeration value="XDMS"/>
          <xsd:enumeration value="XMS"/>
          <xsd:enumeration value="General-Platform"/>
          <xsd:enumeration value="Other"/>
        </xsd:restriction>
      </xsd:simpleType>
    </xsd:element>
    <xsd:element name="SW_Release" ma:index="7" nillable="true" ma:displayName="SW_Release" ma:description="Software release this applies to." ma:internalName="SW_Release" ma:readOnly="false">
      <xsd:simpleType>
        <xsd:restriction base="dms:Text">
          <xsd:maxLength value="255"/>
        </xsd:restriction>
      </xsd:simpleType>
    </xsd:element>
    <xsd:element name="Security" ma:index="8" nillable="true" ma:displayName="Security" ma:default="Commercial In Confidence" ma:format="Dropdown" ma:internalName="Security" ma:readOnly="false">
      <xsd:simpleType>
        <xsd:restriction base="dms:Choice">
          <xsd:enumeration value="Commercial In Confidence"/>
          <xsd:enumeration value="Company Confidential"/>
          <xsd:enumeration value="Private"/>
          <xsd:enumeration value="Public"/>
        </xsd:restriction>
      </xsd:simpleType>
    </xsd:element>
    <xsd:element name="CustHeat" ma:index="9" nillable="true" ma:displayName="CustHeat" ma:default="ADM" ma:description="Customer mnemonic from heat." ma:format="Dropdown" ma:internalName="CustHeat" ma:readOnly="false">
      <xsd:simpleType>
        <xsd:restriction base="dms:Choice">
          <xsd:enumeration value="Any/Multiple"/>
          <xsd:enumeration value="ADM"/>
          <xsd:enumeration value="AIC"/>
          <xsd:enumeration value="AIR-IBM"/>
          <xsd:enumeration value="AIR-KNY"/>
          <xsd:enumeration value="AIR-NGR"/>
          <xsd:enumeration value="AIS-HP"/>
          <xsd:enumeration value="ALG"/>
          <xsd:enumeration value="ALT"/>
          <xsd:enumeration value="AME"/>
          <xsd:enumeration value="AMX"/>
          <xsd:enumeration value="AMX-Claro-PR"/>
          <xsd:enumeration value="ARC-MUM"/>
          <xsd:enumeration value="AST"/>
          <xsd:enumeration value="ATOS-SA"/>
          <xsd:enumeration value="ATT"/>
          <xsd:enumeration value="ATT-LENOX"/>
          <xsd:enumeration value="ATT_MWI"/>
          <xsd:enumeration value="ATW"/>
          <xsd:enumeration value="BAB"/>
          <xsd:enumeration value="BAN"/>
          <xsd:enumeration value="BAS"/>
          <xsd:enumeration value="BAT"/>
          <xsd:enumeration value="BEN"/>
          <xsd:enumeration value="BERU"/>
          <xsd:enumeration value="BHA-ERIC"/>
          <xsd:enumeration value="BHA-ERIC(BAN)"/>
          <xsd:enumeration value="BHA-IBM"/>
          <xsd:enumeration value="BIN"/>
          <xsd:enumeration value="BLK"/>
          <xsd:enumeration value="BMC"/>
          <xsd:enumeration value="BMCLAB"/>
          <xsd:enumeration value="BOT"/>
          <xsd:enumeration value="BOU-DIR"/>
          <xsd:enumeration value="BOU-ERIC"/>
          <xsd:enumeration value="BSNL"/>
          <xsd:enumeration value="BUL"/>
          <xsd:enumeration value="CEC"/>
          <xsd:enumeration value="CEL-ERIC"/>
          <xsd:enumeration value="CISCO"/>
          <xsd:enumeration value="CLC"/>
          <xsd:enumeration value="CLC-SUN"/>
          <xsd:enumeration value="CLS"/>
          <xsd:enumeration value="CMCST"/>
          <xsd:enumeration value="CMF"/>
          <xsd:enumeration value="COM"/>
          <xsd:enumeration value="COS"/>
          <xsd:enumeration value="COT"/>
          <xsd:enumeration value="CPMRU"/>
          <xsd:enumeration value="CTT"/>
          <xsd:enumeration value="CVM"/>
          <xsd:enumeration value="CWUK"/>
          <xsd:enumeration value="CYP"/>
          <xsd:enumeration value="DCP"/>
          <xsd:enumeration value="DGH"/>
          <xsd:enumeration value="DGJ"/>
          <xsd:enumeration value="DGP"/>
          <xsd:enumeration value="DGS"/>
          <xsd:enumeration value="DGV"/>
          <xsd:enumeration value="DNA"/>
          <xsd:enumeration value="DPAC"/>
          <xsd:enumeration value="DST"/>
          <xsd:enumeration value="DTAG"/>
          <xsd:enumeration value="DTDE"/>
          <xsd:enumeration value="DU-DIR"/>
          <xsd:enumeration value="EBUPT"/>
          <xsd:enumeration value="ECM"/>
          <xsd:enumeration value="ECO"/>
          <xsd:enumeration value="EEUK"/>
          <xsd:enumeration value="EE UK-ERIC"/>
          <xsd:enumeration value="EITC(DU)"/>
          <xsd:enumeration value="ELI"/>
          <xsd:enumeration value="EMT"/>
          <xsd:enumeration value="ERC"/>
          <xsd:enumeration value="ETE-ATOS"/>
          <xsd:enumeration value="ETE-ERIC"/>
          <xsd:enumeration value="ETI"/>
          <xsd:enumeration value="ETIDB-ERIC"/>
          <xsd:enumeration value="ETI-EMIR"/>
          <xsd:enumeration value="ETI-HUA"/>
          <xsd:enumeration value="ETL"/>
          <xsd:enumeration value="ETM"/>
          <xsd:enumeration value="Fujitsu"/>
          <xsd:enumeration value="GCL"/>
          <xsd:enumeration value="GCN"/>
          <xsd:enumeration value="GLS"/>
          <xsd:enumeration value="GTA"/>
          <xsd:enumeration value="GTEL-ALU"/>
          <xsd:enumeration value="GTP"/>
          <xsd:enumeration value="GTU"/>
          <xsd:enumeration value="H3GROI"/>
          <xsd:enumeration value="H3GUK"/>
          <xsd:enumeration value="HCPT"/>
          <xsd:enumeration value="HFT"/>
          <xsd:enumeration value="HGA"/>
          <xsd:enumeration value="HGI"/>
          <xsd:enumeration value="HI3G"/>
          <xsd:enumeration value="HI3G-DIR"/>
          <xsd:enumeration value="HI3G-HUA"/>
          <xsd:enumeration value="ICE-ERIC"/>
          <xsd:enumeration value="ICE-HUA"/>
          <xsd:enumeration value="IDE-ERIC"/>
          <xsd:enumeration value="IDE-HUA"/>
          <xsd:enumeration value="IDE-IBM"/>
          <xsd:enumeration value="IMS-ERIC"/>
          <xsd:enumeration value="IND-HP"/>
          <xsd:enumeration value="IND-NSN"/>
          <xsd:enumeration value="IUS-IBM"/>
          <xsd:enumeration value="KBI"/>
          <xsd:enumeration value="KIE-ERIC"/>
          <xsd:enumeration value="KPN"/>
          <xsd:enumeration value="LIB"/>
          <xsd:enumeration value="LOOP"/>
          <xsd:enumeration value="LWI"/>
          <xsd:enumeration value="M1"/>
          <xsd:enumeration value="MAC-SBM"/>
          <xsd:enumeration value="MASIYA"/>
          <xsd:enumeration value="MAX-LOG"/>
          <xsd:enumeration value="MBX"/>
          <xsd:enumeration value="MED-ERIC"/>
          <xsd:enumeration value="MIC"/>
          <xsd:enumeration value="MIGRATION-TEST"/>
          <xsd:enumeration value="MIS"/>
          <xsd:enumeration value="MPCS"/>
          <xsd:enumeration value="MSL"/>
          <xsd:enumeration value="MSR"/>
          <xsd:enumeration value="MTB"/>
          <xsd:enumeration value="MTCN"/>
          <xsd:enumeration value="MTI"/>
          <xsd:enumeration value="MTN"/>
          <xsd:enumeration value="MTRU"/>
          <xsd:enumeration value="MTS"/>
          <xsd:enumeration value="MVA-ERIC"/>
          <xsd:enumeration value="MVC"/>
          <xsd:enumeration value="MVN"/>
          <xsd:enumeration value="MVP"/>
          <xsd:enumeration value="NAS"/>
          <xsd:enumeration value="NBN-ERIC"/>
          <xsd:enumeration value="NIRAJ-TEST"/>
          <xsd:enumeration value="NOS-DOC"/>
          <xsd:enumeration value="NRJ-ERIC"/>
          <xsd:enumeration value="NSN"/>
          <xsd:enumeration value="NTL"/>
          <xsd:enumeration value="NTRA"/>
          <xsd:enumeration value="NTS"/>
          <xsd:enumeration value="OLPS"/>
          <xsd:enumeration value="OML"/>
          <xsd:enumeration value="OPF"/>
          <xsd:enumeration value="OPL"/>
          <xsd:enumeration value="OPS-TST"/>
          <xsd:enumeration value="OPT"/>
          <xsd:enumeration value="OPTNC"/>
          <xsd:enumeration value="ORT"/>
          <xsd:enumeration value="OTO"/>
          <xsd:enumeration value="P4P"/>
          <xsd:enumeration value="PAA"/>
          <xsd:enumeration value="PAN"/>
          <xsd:enumeration value="PCCW"/>
          <xsd:enumeration value="POL-DIR"/>
          <xsd:enumeration value="POL-ERIC"/>
          <xsd:enumeration value="PRX"/>
          <xsd:enumeration value="PTML"/>
          <xsd:enumeration value="QTL-COM"/>
          <xsd:enumeration value="RCC"/>
          <xsd:enumeration value="RELJIO"/>
          <xsd:enumeration value="RFT"/>
          <xsd:enumeration value="RMB"/>
          <xsd:enumeration value="RMV"/>
          <xsd:enumeration value="ROG"/>
          <xsd:enumeration value="SAM_H3GROI"/>
          <xsd:enumeration value="SAM_H3GUK"/>
          <xsd:enumeration value="SAM_H3GUK_IP"/>
          <xsd:enumeration value="SAMUK"/>
          <xsd:enumeration value="SAP"/>
          <xsd:enumeration value="SBK"/>
          <xsd:enumeration value="SBM"/>
          <xsd:enumeration value="SCA"/>
          <xsd:enumeration value="SETAR"/>
          <xsd:enumeration value="SF"/>
          <xsd:enumeration value="SFR-ERIC"/>
          <xsd:enumeration value="SKY-HUA"/>
          <xsd:enumeration value="SLT-DIR"/>
          <xsd:enumeration value="SLT-ERIC"/>
          <xsd:enumeration value="SMA"/>
          <xsd:enumeration value="Sprint"/>
          <xsd:enumeration value="SRI"/>
          <xsd:enumeration value="STA"/>
          <xsd:enumeration value="STB"/>
          <xsd:enumeration value="STC"/>
          <xsd:enumeration value="STI"/>
          <xsd:enumeration value="STK"/>
          <xsd:enumeration value="TAC"/>
          <xsd:enumeration value="TAZ"/>
          <xsd:enumeration value="TCE"/>
          <xsd:enumeration value="TDK"/>
          <xsd:enumeration value="TDML"/>
          <xsd:enumeration value="TEF-SCS"/>
          <xsd:enumeration value="TELE2NL"/>
          <xsd:enumeration value="TELE2SE"/>
          <xsd:enumeration value="TELE2-GRP"/>
          <xsd:enumeration value="TELIA"/>
          <xsd:enumeration value="T2RU"/>
          <xsd:enumeration value="TFC-IBM"/>
          <xsd:enumeration value="THU"/>
          <xsd:enumeration value="TIB"/>
          <xsd:enumeration value="TIG"/>
          <xsd:enumeration value="TIK"/>
          <xsd:enumeration value="TIM"/>
          <xsd:enumeration value="TKC"/>
          <xsd:enumeration value="TLC"/>
          <xsd:enumeration value="TM-P1"/>
          <xsd:enumeration value="TMA"/>
          <xsd:enumeration value="TMCZ"/>
          <xsd:enumeration value="TME"/>
          <xsd:enumeration value="TME-ERIC"/>
          <xsd:enumeration value="TMH-ERIC"/>
          <xsd:enumeration value="TMN"/>
          <xsd:enumeration value="TMNL-IP"/>
          <xsd:enumeration value="TMO"/>
          <xsd:enumeration value="TMO_SEG"/>
          <xsd:enumeration value="TMPL"/>
          <xsd:enumeration value="TMUK"/>
          <xsd:enumeration value="TRI"/>
          <xsd:enumeration value="TRU"/>
          <xsd:enumeration value="TRU-HUA"/>
          <xsd:enumeration value="TSA"/>
          <xsd:enumeration value="TSEL"/>
          <xsd:enumeration value="TSR"/>
          <xsd:enumeration value="TTEL"/>
          <xsd:enumeration value="TTZ"/>
          <xsd:enumeration value="TTZ-ERIC"/>
          <xsd:enumeration value="UNA"/>
          <xsd:enumeration value="UNE"/>
          <xsd:enumeration value="UNI"/>
          <xsd:enumeration value="USC"/>
          <xsd:enumeration value="USC-LAB"/>
          <xsd:enumeration value="UTL"/>
          <xsd:enumeration value="VAL-DIR"/>
          <xsd:enumeration value="VAL-ERIC"/>
          <xsd:enumeration value="VCNO"/>
          <xsd:enumeration value="VDA"/>
          <xsd:enumeration value="VDA-ERIC"/>
          <xsd:enumeration value="VDC"/>
          <xsd:enumeration value="VDF-ENG"/>
          <xsd:enumeration value="VDF-GRP"/>
          <xsd:enumeration value="VDF-OPS"/>
          <xsd:enumeration value="VDL"/>
          <xsd:enumeration value="VF-EU"/>
          <xsd:enumeration value="VFC-ERIC"/>
          <xsd:enumeration value="VFC-IBM"/>
          <xsd:enumeration value="VFD2"/>
          <xsd:enumeration value="VFD-CIS"/>
          <xsd:enumeration value="VFE-DIR"/>
          <xsd:enumeration value="VFE-ERIC"/>
          <xsd:enumeration value="VFES"/>
          <xsd:enumeration value="VFGR"/>
          <xsd:enumeration value="VFH"/>
          <xsd:enumeration value="VFI-ERIC"/>
          <xsd:enumeration value="VFN"/>
          <xsd:enumeration value="VFNL"/>
          <xsd:enumeration value="VFNL-IP"/>
          <xsd:enumeration value="VFP-CIS"/>
          <xsd:enumeration value="VFPT"/>
          <xsd:enumeration value="VFS-DIR"/>
          <xsd:enumeration value="VFS-ERIC"/>
          <xsd:enumeration value="VFTR"/>
          <xsd:enumeration value="VFU"/>
          <xsd:enumeration value="VHA"/>
          <xsd:enumeration value="VGA"/>
          <xsd:enumeration value="VGH"/>
          <xsd:enumeration value="Viettel"/>
          <xsd:enumeration value="VIR-TEC"/>
          <xsd:enumeration value="VIT"/>
          <xsd:enumeration value="VIT-ULC"/>
          <xsd:enumeration value="VIV"/>
          <xsd:enumeration value="VMN"/>
          <xsd:enumeration value="VMV-DIR"/>
          <xsd:enumeration value="VMV-ERIC"/>
          <xsd:enumeration value="VOX-TEC"/>
          <xsd:enumeration value="VPT"/>
          <xsd:enumeration value="VTEL"/>
          <xsd:enumeration value="VZW"/>
          <xsd:enumeration value="WAT-EIR"/>
          <xsd:enumeration value="WIN"/>
          <xsd:enumeration value="WRD"/>
          <xsd:enumeration value="WST-DIR"/>
          <xsd:enumeration value="WST-ERIC"/>
          <xsd:enumeration value="XFE"/>
          <xsd:enumeration value="XLC"/>
          <xsd:enumeration value="XLC-EIR"/>
          <xsd:enumeration value="ZAN"/>
          <xsd:enumeration value="ZGH"/>
          <xsd:enumeration value="ZIGBF"/>
          <xsd:enumeration value="ZIGGA"/>
          <xsd:enumeration value="ZIGML"/>
          <xsd:enumeration value="ZIGSL"/>
          <xsd:enumeration value="ZNG"/>
        </xsd:restriction>
      </xsd:simpleType>
    </xsd:element>
    <xsd:element name="Start_x0020_Review" ma:index="10" nillable="true" ma:displayName="Start Review" ma:format="Hyperlink" ma:internalName="Start_x0020_Review"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Document_x0020_URL" ma:index="11" nillable="true" ma:displayName="Document URL" ma:internalName="Document_x0020_URL" ma:readOnly="false">
      <xsd:simpleType>
        <xsd:restriction base="dms:Text">
          <xsd:maxLength value="255"/>
        </xsd:restriction>
      </xsd:simpleType>
    </xsd:element>
    <xsd:element name="ProdCat" ma:index="12" nillable="true" ma:displayName="ProdCat" ma:default="Voice &amp; Video" ma:description="Product Category" ma:format="Dropdown" ma:internalName="ProdCat" ma:readOnly="false">
      <xsd:simpleType>
        <xsd:restriction base="dms:Choice">
          <xsd:enumeration value="Voice &amp; Video"/>
          <xsd:enumeration value="Access"/>
          <xsd:enumeration value="EPC"/>
          <xsd:enumeration value="Core"/>
          <xsd:enumeration value="mOne based Messaging"/>
          <xsd:enumeration value="Legacy Messaging"/>
          <xsd:enumeration value="NMS"/>
          <xsd:enumeration value="3rd Party"/>
          <xsd:enumeration value="Other"/>
          <xsd:enumeration value="Platform"/>
        </xsd:restriction>
      </xsd:simpleType>
    </xsd:element>
    <xsd:element name="Artefact" ma:index="13" nillable="true" ma:displayName="Artefact" ma:list="{b5224e8b-f4f3-45a7-969a-4afc481cf6ca}" ma:internalName="Artefact" ma:readOnly="false" ma:showField="Title" ma:web="5fcc3bcc-0dfa-4fec-81e5-0fcaf256fc26">
      <xsd:simpleType>
        <xsd:restriction base="dms:Lookup"/>
      </xsd:simpleType>
    </xsd:element>
    <xsd:element name="EngProj" ma:index="14" nillable="true" ma:displayName="EngProj" ma:list="{4dbeec34-50c0-4dec-bf74-67f5d135396b}" ma:internalName="EngProj" ma:readOnly="false" ma:showField="Title" ma:web="5fcc3bcc-0dfa-4fec-81e5-0fcaf256fc26">
      <xsd:simpleType>
        <xsd:restriction base="dms:Lookup"/>
      </xsd:simpleType>
    </xsd:element>
    <xsd:element name="mav_announce" ma:index="15" nillable="true" ma:displayName="mav_announce" ma:default="0" ma:description="used by a workflow, when yes an entry is made in an announcements board so interested parties are alerted." ma:internalName="mav_announce" ma:readOnly="false">
      <xsd:simpleType>
        <xsd:restriction base="dms:Boolean"/>
      </xsd:simple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754534-1218-482f-98bf-47937c096771" elementFormDefault="qualified">
    <xsd:import namespace="http://schemas.microsoft.com/office/2006/documentManagement/types"/>
    <xsd:import namespace="http://schemas.microsoft.com/office/infopath/2007/PartnerControls"/>
    <xsd:element name="MediaServiceMetadata" ma:index="22" nillable="true" ma:displayName="MediaServiceMetadata" ma:description="" ma:hidden="true" ma:internalName="MediaServiceMetadata" ma:readOnly="true">
      <xsd:simpleType>
        <xsd:restriction base="dms:Note"/>
      </xsd:simpleType>
    </xsd:element>
    <xsd:element name="MediaServiceFastMetadata" ma:index="23" nillable="true" ma:displayName="MediaServiceFastMetadata" ma:description="" ma:hidden="true" ma:internalName="MediaServiceFastMetadata" ma:readOnly="true">
      <xsd:simpleType>
        <xsd:restriction base="dms:Note"/>
      </xsd:simpleType>
    </xsd:element>
    <xsd:element name="MediaServiceAutoTags" ma:index="24" nillable="true" ma:displayName="MediaServiceAutoTags" ma:description="" ma:internalName="MediaServiceAutoTags"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DateTaken" ma:index="29" nillable="true" ma:displayName="MediaServiceDateTaken" ma:hidden="true" ma:internalName="MediaServiceDateTaken"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Location" ma:index="33" nillable="true" ma:displayName="Location" ma:internalName="MediaServiceLocation" ma:readOnly="true">
      <xsd:simpleType>
        <xsd:restriction base="dms:Text"/>
      </xsd:simpleType>
    </xsd:element>
    <xsd:element name="MediaServiceAutoKeyPoints" ma:index="34" nillable="true" ma:displayName="MediaServiceAutoKeyPoints" ma:hidden="true" ma:internalName="MediaServiceAutoKeyPoints" ma:readOnly="true">
      <xsd:simpleType>
        <xsd:restriction base="dms:Note"/>
      </xsd:simpleType>
    </xsd:element>
    <xsd:element name="MediaServiceKeyPoints" ma:index="35" nillable="true" ma:displayName="KeyPoints" ma:internalName="MediaServiceKeyPoints" ma:readOnly="true">
      <xsd:simpleType>
        <xsd:restriction base="dms:Note">
          <xsd:maxLength value="255"/>
        </xsd:restriction>
      </xsd:simpleType>
    </xsd:element>
    <xsd:element name="MediaLengthInSeconds" ma:index="36"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av_EngDocType xmlns="5fcc3bcc-0dfa-4fec-81e5-0fcaf256fc26">Other</Mav_EngDocType>
    <DocInfo xmlns="5fcc3bcc-0dfa-4fec-81e5-0fcaf256fc26" xsi:nil="true"/>
    <ProductName xmlns="5fcc3bcc-0dfa-4fec-81e5-0fcaf256fc26" xsi:nil="true"/>
    <Security xmlns="5fcc3bcc-0dfa-4fec-81e5-0fcaf256fc26">Commercial In Confidence</Security>
    <EngProj xmlns="5fcc3bcc-0dfa-4fec-81e5-0fcaf256fc26" xsi:nil="true"/>
    <DocStatus xmlns="5fcc3bcc-0dfa-4fec-81e5-0fcaf256fc26">Draft</DocStatus>
    <PlatformType xmlns="5fcc3bcc-0dfa-4fec-81e5-0fcaf256fc26"/>
    <mav_announce xmlns="5fcc3bcc-0dfa-4fec-81e5-0fcaf256fc26">false</mav_announce>
    <ProdCat xmlns="5fcc3bcc-0dfa-4fec-81e5-0fcaf256fc26">Voice &amp; Video</ProdCat>
    <CustHeat xmlns="5fcc3bcc-0dfa-4fec-81e5-0fcaf256fc26">ADM</CustHeat>
    <_ip_UnifiedCompliancePolicyProperties xmlns="http://schemas.microsoft.com/sharepoint/v3" xsi:nil="true"/>
    <Start_x0020_Review xmlns="5fcc3bcc-0dfa-4fec-81e5-0fcaf256fc26">
      <Url xsi:nil="true"/>
      <Description xsi:nil="true"/>
    </Start_x0020_Review>
    <Document_x0020_URL xmlns="5fcc3bcc-0dfa-4fec-81e5-0fcaf256fc26" xsi:nil="true"/>
    <SW_Release xmlns="5fcc3bcc-0dfa-4fec-81e5-0fcaf256fc26" xsi:nil="true"/>
    <Artefact xmlns="5fcc3bcc-0dfa-4fec-81e5-0fcaf256fc26" xsi:nil="true"/>
  </documentManagement>
</p:properties>
</file>

<file path=customXml/itemProps1.xml><?xml version="1.0" encoding="utf-8"?>
<ds:datastoreItem xmlns:ds="http://schemas.openxmlformats.org/officeDocument/2006/customXml" ds:itemID="{6E864F99-6A91-4043-9AD2-80648BE09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fcc3bcc-0dfa-4fec-81e5-0fcaf256fc26"/>
    <ds:schemaRef ds:uri="dc754534-1218-482f-98bf-47937c096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BA09A-5B1B-4008-9B85-58DFCF99A2B7}">
  <ds:schemaRefs>
    <ds:schemaRef ds:uri="http://schemas.microsoft.com/sharepoint/v3/contenttype/forms"/>
  </ds:schemaRefs>
</ds:datastoreItem>
</file>

<file path=customXml/itemProps3.xml><?xml version="1.0" encoding="utf-8"?>
<ds:datastoreItem xmlns:ds="http://schemas.openxmlformats.org/officeDocument/2006/customXml" ds:itemID="{F93CBDC4-0338-4D12-8C0B-FBDCA3783322}">
  <ds:schemaRefs>
    <ds:schemaRef ds:uri="http://schemas.microsoft.com/office/2006/metadata/properties"/>
    <ds:schemaRef ds:uri="http://schemas.microsoft.com/office/infopath/2007/PartnerControls"/>
    <ds:schemaRef ds:uri="http://schemas.microsoft.com/sharepoint/v3"/>
    <ds:schemaRef ds:uri="5fcc3bcc-0dfa-4fec-81e5-0fcaf256fc2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970</Words>
  <Characters>5535</Characters>
  <Application>Microsoft Office Word</Application>
  <DocSecurity>0</DocSecurity>
  <PresentationFormat/>
  <Lines>46</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oppo</Company>
  <LinksUpToDate>false</LinksUpToDate>
  <CharactersWithSpaces>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Neng Wang</cp:lastModifiedBy>
  <cp:revision>2</cp:revision>
  <dcterms:created xsi:type="dcterms:W3CDTF">2022-04-22T22:52:00Z</dcterms:created>
  <dcterms:modified xsi:type="dcterms:W3CDTF">2022-04-22T22:52:00Z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9123012C14F94DBA84EF02BE20A1A747</vt:lpwstr>
  </property>
</Properties>
</file>