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F4388E5" w14:textId="604E86B6" w:rsidR="00E90E49" w:rsidRPr="001E7AD0" w:rsidRDefault="00E90E49" w:rsidP="00873F07">
      <w:pPr>
        <w:pStyle w:val="3GPPHeader"/>
        <w:spacing w:after="60"/>
        <w:rPr>
          <w:sz w:val="32"/>
          <w:szCs w:val="32"/>
          <w:highlight w:val="yellow"/>
        </w:rPr>
      </w:pPr>
      <w:r w:rsidRPr="001E7AD0">
        <w:t>3GPP TSG-RAN WG</w:t>
      </w:r>
      <w:r w:rsidR="008F1C4E" w:rsidRPr="001E7AD0">
        <w:t>1</w:t>
      </w:r>
      <w:r w:rsidRPr="001E7AD0">
        <w:t xml:space="preserve"> </w:t>
      </w:r>
      <w:r w:rsidR="008F1C4E" w:rsidRPr="001E7AD0">
        <w:t xml:space="preserve">Meeting </w:t>
      </w:r>
      <w:r w:rsidRPr="001E7AD0">
        <w:t>#</w:t>
      </w:r>
      <w:r w:rsidR="00D66AD1" w:rsidRPr="001E7AD0">
        <w:t>10</w:t>
      </w:r>
      <w:r w:rsidR="005757C0">
        <w:t>9</w:t>
      </w:r>
      <w:r w:rsidR="007E4F91" w:rsidRPr="001E7AD0">
        <w:t>-e</w:t>
      </w:r>
      <w:r w:rsidRPr="001E7AD0">
        <w:tab/>
      </w:r>
      <w:r w:rsidR="005757C0" w:rsidRPr="007E6055">
        <w:rPr>
          <w:color w:val="000000" w:themeColor="text1"/>
          <w:sz w:val="32"/>
          <w:szCs w:val="32"/>
        </w:rPr>
        <w:t>R</w:t>
      </w:r>
      <w:r w:rsidR="001D6832" w:rsidRPr="007E6055">
        <w:rPr>
          <w:color w:val="000000" w:themeColor="text1"/>
          <w:sz w:val="32"/>
          <w:szCs w:val="32"/>
        </w:rPr>
        <w:t>1-2</w:t>
      </w:r>
      <w:r w:rsidR="005757C0" w:rsidRPr="007E6055">
        <w:rPr>
          <w:color w:val="000000" w:themeColor="text1"/>
          <w:sz w:val="32"/>
          <w:szCs w:val="32"/>
        </w:rPr>
        <w:t>2</w:t>
      </w:r>
      <w:r w:rsidR="007E6055" w:rsidRPr="007E6055">
        <w:rPr>
          <w:color w:val="000000" w:themeColor="text1"/>
          <w:sz w:val="32"/>
          <w:szCs w:val="32"/>
        </w:rPr>
        <w:t>03904</w:t>
      </w:r>
    </w:p>
    <w:p w14:paraId="0CE7B7E6" w14:textId="503239E1" w:rsidR="00E90E49" w:rsidRPr="001E7AD0" w:rsidRDefault="005757C0" w:rsidP="00873F07">
      <w:pPr>
        <w:pStyle w:val="3GPPHeader"/>
      </w:pPr>
      <w:r>
        <w:t>e-Meeting</w:t>
      </w:r>
      <w:r w:rsidR="0027144F" w:rsidRPr="001E7AD0">
        <w:t>,</w:t>
      </w:r>
      <w:r w:rsidR="007E4F91" w:rsidRPr="001E7AD0">
        <w:t xml:space="preserve"> </w:t>
      </w:r>
      <w:r>
        <w:t>May 9</w:t>
      </w:r>
      <w:r w:rsidR="001D53E7" w:rsidRPr="001E7AD0">
        <w:rPr>
          <w:vertAlign w:val="superscript"/>
        </w:rPr>
        <w:t>th</w:t>
      </w:r>
      <w:r w:rsidR="007E4F91" w:rsidRPr="001E7AD0">
        <w:t xml:space="preserve"> </w:t>
      </w:r>
      <w:r w:rsidR="001D53E7" w:rsidRPr="001E7AD0">
        <w:t xml:space="preserve">– </w:t>
      </w:r>
      <w:r>
        <w:t>20</w:t>
      </w:r>
      <w:r w:rsidR="001D53E7" w:rsidRPr="001E7AD0">
        <w:rPr>
          <w:vertAlign w:val="superscript"/>
        </w:rPr>
        <w:t>th</w:t>
      </w:r>
      <w:r w:rsidR="007E4F91" w:rsidRPr="001E7AD0">
        <w:t xml:space="preserve"> </w:t>
      </w:r>
      <w:r w:rsidR="0027144F" w:rsidRPr="001E7AD0">
        <w:t>20</w:t>
      </w:r>
      <w:r w:rsidR="007E4F91" w:rsidRPr="001E7AD0">
        <w:t>2</w:t>
      </w:r>
      <w:r>
        <w:t>2</w:t>
      </w:r>
    </w:p>
    <w:p w14:paraId="3086AC07" w14:textId="77777777" w:rsidR="00E90E49" w:rsidRPr="001E7AD0" w:rsidRDefault="00E90E49" w:rsidP="00873F07">
      <w:pPr>
        <w:pStyle w:val="3GPPHeader"/>
      </w:pPr>
    </w:p>
    <w:p w14:paraId="3982483C" w14:textId="6C9E702E" w:rsidR="00E90E49" w:rsidRPr="001E7AD0" w:rsidRDefault="00E90E49" w:rsidP="00873F07">
      <w:pPr>
        <w:pStyle w:val="3GPPHeader"/>
        <w:rPr>
          <w:sz w:val="22"/>
        </w:rPr>
      </w:pPr>
      <w:r w:rsidRPr="001E7AD0">
        <w:rPr>
          <w:sz w:val="22"/>
        </w:rPr>
        <w:t>Agenda Item:</w:t>
      </w:r>
      <w:r w:rsidRPr="001E7AD0">
        <w:rPr>
          <w:sz w:val="22"/>
        </w:rPr>
        <w:tab/>
      </w:r>
      <w:r w:rsidR="005757C0">
        <w:rPr>
          <w:sz w:val="22"/>
        </w:rPr>
        <w:t>9.3.2</w:t>
      </w:r>
    </w:p>
    <w:p w14:paraId="5619E868" w14:textId="1938667D" w:rsidR="00E90E49" w:rsidRPr="001E7AD0" w:rsidRDefault="003D3C45" w:rsidP="00873F07">
      <w:pPr>
        <w:pStyle w:val="3GPPHeader"/>
        <w:rPr>
          <w:sz w:val="22"/>
        </w:rPr>
      </w:pPr>
      <w:r w:rsidRPr="001E7AD0">
        <w:rPr>
          <w:sz w:val="22"/>
        </w:rPr>
        <w:t>Source:</w:t>
      </w:r>
      <w:r w:rsidR="00E90E49" w:rsidRPr="001E7AD0">
        <w:rPr>
          <w:sz w:val="22"/>
        </w:rPr>
        <w:tab/>
      </w:r>
      <w:r w:rsidR="005757C0">
        <w:rPr>
          <w:sz w:val="22"/>
        </w:rPr>
        <w:t>Samsung</w:t>
      </w:r>
    </w:p>
    <w:p w14:paraId="3AF5C9FA" w14:textId="01929B21" w:rsidR="00E90E49" w:rsidRPr="007E6055" w:rsidRDefault="003D3C45" w:rsidP="00873F07">
      <w:pPr>
        <w:pStyle w:val="3GPPHeader"/>
        <w:rPr>
          <w:color w:val="000000" w:themeColor="text1"/>
          <w:sz w:val="22"/>
        </w:rPr>
      </w:pPr>
      <w:r w:rsidRPr="001E7AD0">
        <w:rPr>
          <w:sz w:val="22"/>
        </w:rPr>
        <w:t>Title:</w:t>
      </w:r>
      <w:r w:rsidR="00E90E49" w:rsidRPr="001E7AD0">
        <w:rPr>
          <w:sz w:val="22"/>
        </w:rPr>
        <w:tab/>
      </w:r>
      <w:r w:rsidR="007E6055" w:rsidRPr="007E6055">
        <w:rPr>
          <w:color w:val="000000" w:themeColor="text1"/>
          <w:sz w:val="22"/>
        </w:rPr>
        <w:t xml:space="preserve">Subband non-overlapping full duplex </w:t>
      </w:r>
      <w:r w:rsidR="00583F8B" w:rsidRPr="007E6055">
        <w:rPr>
          <w:color w:val="000000" w:themeColor="text1"/>
          <w:sz w:val="22"/>
        </w:rPr>
        <w:t>for NR duplex evolution</w:t>
      </w:r>
    </w:p>
    <w:p w14:paraId="2D5672ED" w14:textId="3DF0229C" w:rsidR="00E90E49" w:rsidRPr="00E031BD" w:rsidRDefault="00E90E49" w:rsidP="00873F07">
      <w:pPr>
        <w:pStyle w:val="3GPPHeader"/>
        <w:rPr>
          <w:sz w:val="22"/>
        </w:rPr>
      </w:pPr>
      <w:r w:rsidRPr="001E7AD0">
        <w:rPr>
          <w:sz w:val="22"/>
        </w:rPr>
        <w:t>Document for:</w:t>
      </w:r>
      <w:r w:rsidRPr="001E7AD0">
        <w:rPr>
          <w:sz w:val="22"/>
        </w:rPr>
        <w:tab/>
        <w:t>Discussion</w:t>
      </w:r>
    </w:p>
    <w:p w14:paraId="6883CB62" w14:textId="6D5A3D3C" w:rsidR="00E90E49" w:rsidRPr="001E7AD0" w:rsidRDefault="00E90E49" w:rsidP="00873F07">
      <w:pPr>
        <w:pStyle w:val="1"/>
        <w:jc w:val="both"/>
        <w:rPr>
          <w:lang w:val="en-US"/>
        </w:rPr>
      </w:pPr>
      <w:r w:rsidRPr="001E7AD0">
        <w:rPr>
          <w:lang w:val="en-US"/>
        </w:rPr>
        <w:t>Introduction</w:t>
      </w:r>
    </w:p>
    <w:p w14:paraId="04011094" w14:textId="725D2A81" w:rsidR="004E40B7" w:rsidRDefault="00B621D2" w:rsidP="00873F07">
      <w:pPr>
        <w:pStyle w:val="a8"/>
        <w:rPr>
          <w:rFonts w:cs="Arial"/>
          <w:szCs w:val="20"/>
          <w:lang w:val="en-GB"/>
        </w:rPr>
      </w:pPr>
      <w:r>
        <w:rPr>
          <w:rFonts w:cs="Arial"/>
          <w:szCs w:val="20"/>
          <w:lang w:val="en-GB"/>
        </w:rPr>
        <w:t xml:space="preserve">The SID for NR duplex evolution </w:t>
      </w:r>
      <w:r w:rsidRPr="00B215E0">
        <w:rPr>
          <w:rFonts w:cs="Arial"/>
          <w:szCs w:val="20"/>
          <w:lang w:val="en-GB"/>
        </w:rPr>
        <w:t xml:space="preserve">aims to identify solutions </w:t>
      </w:r>
      <w:r>
        <w:rPr>
          <w:rFonts w:cs="Arial"/>
          <w:szCs w:val="20"/>
          <w:lang w:val="en-GB"/>
        </w:rPr>
        <w:t xml:space="preserve">and evaluate their feasibility </w:t>
      </w:r>
      <w:r w:rsidRPr="00B215E0">
        <w:rPr>
          <w:rFonts w:cs="Arial"/>
          <w:szCs w:val="20"/>
          <w:lang w:val="en-GB"/>
        </w:rPr>
        <w:t>to provide enhanced UL coverage, reduced latency, improved system capacity, and improved configuration flexibility for NR TDD operation in unpaired spectrum</w:t>
      </w:r>
      <w:r>
        <w:rPr>
          <w:rFonts w:cs="Arial"/>
          <w:szCs w:val="20"/>
          <w:lang w:val="en-GB"/>
        </w:rPr>
        <w:t>.</w:t>
      </w:r>
    </w:p>
    <w:p w14:paraId="7ED6784C" w14:textId="41BFACED" w:rsidR="00BC4D87" w:rsidRDefault="006247D4" w:rsidP="00873F07">
      <w:pPr>
        <w:pStyle w:val="a8"/>
        <w:rPr>
          <w:rFonts w:cs="Arial"/>
          <w:szCs w:val="20"/>
          <w:lang w:val="en-GB"/>
        </w:rPr>
      </w:pPr>
      <w:r>
        <w:rPr>
          <w:rFonts w:cs="Arial"/>
          <w:szCs w:val="20"/>
          <w:lang w:val="en-GB"/>
        </w:rPr>
        <w:t>In the R18 study item, it is assumed that the duplex enhancements are deployed at the gNB side and that the TDD UE operate</w:t>
      </w:r>
      <w:r w:rsidR="000A0B67">
        <w:rPr>
          <w:rFonts w:cs="Arial"/>
          <w:szCs w:val="20"/>
          <w:lang w:val="en-GB"/>
        </w:rPr>
        <w:t>s</w:t>
      </w:r>
      <w:r>
        <w:rPr>
          <w:rFonts w:cs="Arial"/>
          <w:szCs w:val="20"/>
          <w:lang w:val="en-GB"/>
        </w:rPr>
        <w:t xml:space="preserve"> in half-duplex. </w:t>
      </w:r>
      <w:r w:rsidR="000A0B67">
        <w:rPr>
          <w:rFonts w:cs="Arial"/>
          <w:szCs w:val="20"/>
          <w:lang w:val="en-GB"/>
        </w:rPr>
        <w:t xml:space="preserve">Subband full-duplex </w:t>
      </w:r>
      <w:r w:rsidR="00D2568B">
        <w:rPr>
          <w:rFonts w:cs="Arial"/>
          <w:szCs w:val="20"/>
          <w:lang w:val="en-GB"/>
        </w:rPr>
        <w:t xml:space="preserve">(SBFD) </w:t>
      </w:r>
      <w:r w:rsidR="000A0B67">
        <w:rPr>
          <w:rFonts w:cs="Arial"/>
          <w:szCs w:val="20"/>
          <w:lang w:val="en-GB"/>
        </w:rPr>
        <w:t xml:space="preserve">operation in a time-domain resource is limited to FDM, e.g., using non-overlapping subband allocations for simultaneous DL transmissions to UEs and </w:t>
      </w:r>
      <w:r w:rsidR="00D2568B">
        <w:rPr>
          <w:rFonts w:cs="Arial"/>
          <w:szCs w:val="20"/>
          <w:lang w:val="en-GB"/>
        </w:rPr>
        <w:t xml:space="preserve">for </w:t>
      </w:r>
      <w:r w:rsidR="000A0B67">
        <w:rPr>
          <w:rFonts w:cs="Arial"/>
          <w:szCs w:val="20"/>
          <w:lang w:val="en-GB"/>
        </w:rPr>
        <w:t>UL receptions from UEs respectively.</w:t>
      </w:r>
    </w:p>
    <w:p w14:paraId="3728B447" w14:textId="04D201F6" w:rsidR="00B215E0" w:rsidRDefault="00BC4D87" w:rsidP="00873F07">
      <w:pPr>
        <w:pStyle w:val="a8"/>
        <w:rPr>
          <w:rFonts w:cs="Arial"/>
          <w:szCs w:val="20"/>
        </w:rPr>
      </w:pPr>
      <w:r>
        <w:rPr>
          <w:rFonts w:cs="Arial"/>
          <w:szCs w:val="20"/>
        </w:rPr>
        <w:t>T</w:t>
      </w:r>
      <w:r w:rsidR="00EF24FC" w:rsidRPr="00857873">
        <w:rPr>
          <w:rFonts w:cs="Arial"/>
          <w:szCs w:val="20"/>
        </w:rPr>
        <w:t xml:space="preserve">he </w:t>
      </w:r>
      <w:r w:rsidR="00857873">
        <w:rPr>
          <w:rFonts w:cs="Arial"/>
          <w:szCs w:val="20"/>
        </w:rPr>
        <w:t>S</w:t>
      </w:r>
      <w:r w:rsidR="00EF24FC" w:rsidRPr="00857873">
        <w:rPr>
          <w:rFonts w:cs="Arial"/>
          <w:szCs w:val="20"/>
        </w:rPr>
        <w:t xml:space="preserve">ID for </w:t>
      </w:r>
      <w:r w:rsidR="001268BD">
        <w:rPr>
          <w:rFonts w:cs="Arial"/>
          <w:szCs w:val="20"/>
        </w:rPr>
        <w:t xml:space="preserve">NR duplex evolution </w:t>
      </w:r>
      <w:r w:rsidR="00EF24FC" w:rsidRPr="00857873">
        <w:rPr>
          <w:rFonts w:cs="Arial"/>
          <w:szCs w:val="20"/>
        </w:rPr>
        <w:t xml:space="preserve">specifies the following </w:t>
      </w:r>
      <w:r w:rsidR="006247D4">
        <w:rPr>
          <w:rFonts w:cs="Arial"/>
          <w:szCs w:val="20"/>
        </w:rPr>
        <w:t xml:space="preserve">RAN1 </w:t>
      </w:r>
      <w:r w:rsidR="00EF24FC" w:rsidRPr="00857873">
        <w:rPr>
          <w:rFonts w:cs="Arial"/>
          <w:szCs w:val="20"/>
        </w:rPr>
        <w:t xml:space="preserve">objectives regarding </w:t>
      </w:r>
      <w:r w:rsidR="001268BD">
        <w:rPr>
          <w:rFonts w:cs="Arial"/>
          <w:szCs w:val="20"/>
        </w:rPr>
        <w:t xml:space="preserve">subband non-overlapping full-duplex </w:t>
      </w:r>
      <w:r w:rsidR="006247D4">
        <w:rPr>
          <w:rFonts w:cs="Arial"/>
          <w:szCs w:val="20"/>
        </w:rPr>
        <w:t xml:space="preserve">and dynamic/flexible TDD </w:t>
      </w:r>
      <w:r w:rsidR="001268BD">
        <w:rPr>
          <w:rFonts w:cs="Arial"/>
          <w:szCs w:val="20"/>
        </w:rPr>
        <w:t>operation</w:t>
      </w:r>
      <w:r w:rsidR="006247D4">
        <w:rPr>
          <w:rFonts w:cs="Arial"/>
          <w:szCs w:val="20"/>
        </w:rPr>
        <w:t xml:space="preserve"> [1]</w:t>
      </w:r>
      <w:r w:rsidR="00EF24FC" w:rsidRPr="00857873">
        <w:rPr>
          <w:rFonts w:cs="Arial"/>
          <w:szCs w:val="20"/>
        </w:rPr>
        <w:t>:</w:t>
      </w:r>
    </w:p>
    <w:p w14:paraId="07A1E1B5" w14:textId="77777777" w:rsidR="00BC4D87" w:rsidRDefault="00BC4D87" w:rsidP="00873F07">
      <w:pPr>
        <w:pStyle w:val="a8"/>
        <w:rPr>
          <w:rFonts w:cs="Arial"/>
          <w:szCs w:val="20"/>
        </w:rPr>
      </w:pPr>
    </w:p>
    <w:tbl>
      <w:tblPr>
        <w:tblStyle w:val="afa"/>
        <w:tblW w:w="0" w:type="auto"/>
        <w:tblLook w:val="04A0" w:firstRow="1" w:lastRow="0" w:firstColumn="1" w:lastColumn="0" w:noHBand="0" w:noVBand="1"/>
      </w:tblPr>
      <w:tblGrid>
        <w:gridCol w:w="9629"/>
      </w:tblGrid>
      <w:tr w:rsidR="00942CC2" w:rsidRPr="00857873" w14:paraId="20091D11" w14:textId="77777777" w:rsidTr="00EF24FC">
        <w:tc>
          <w:tcPr>
            <w:tcW w:w="9629" w:type="dxa"/>
          </w:tcPr>
          <w:p w14:paraId="22708C7C" w14:textId="77777777" w:rsidR="001268BD" w:rsidRPr="001268BD" w:rsidRDefault="001268BD" w:rsidP="005710CE">
            <w:pPr>
              <w:numPr>
                <w:ilvl w:val="0"/>
                <w:numId w:val="15"/>
              </w:numPr>
              <w:overflowPunct w:val="0"/>
              <w:autoSpaceDE w:val="0"/>
              <w:autoSpaceDN w:val="0"/>
              <w:adjustRightInd w:val="0"/>
              <w:spacing w:after="180" w:line="240" w:lineRule="auto"/>
              <w:ind w:left="400"/>
              <w:jc w:val="both"/>
              <w:textAlignment w:val="baseline"/>
              <w:rPr>
                <w:rFonts w:cs="Arial"/>
                <w:i/>
                <w:iCs/>
                <w:sz w:val="20"/>
                <w:szCs w:val="20"/>
              </w:rPr>
            </w:pPr>
            <w:r w:rsidRPr="001268BD">
              <w:rPr>
                <w:rFonts w:eastAsia="맑은 고딕" w:cs="Arial"/>
                <w:i/>
                <w:iCs/>
                <w:sz w:val="20"/>
                <w:szCs w:val="20"/>
                <w:lang w:eastAsia="ko-KR"/>
              </w:rPr>
              <w:t xml:space="preserve">Study the subband non-overlapping full duplex and </w:t>
            </w:r>
            <w:bookmarkStart w:id="0" w:name="_Hlk89796625"/>
            <w:r w:rsidRPr="001268BD">
              <w:rPr>
                <w:rFonts w:eastAsia="맑은 고딕" w:cs="Arial"/>
                <w:i/>
                <w:iCs/>
                <w:sz w:val="20"/>
                <w:szCs w:val="20"/>
                <w:lang w:eastAsia="ko-KR"/>
              </w:rPr>
              <w:t>potential enhancements on dynamic/flexible TDD</w:t>
            </w:r>
            <w:bookmarkEnd w:id="0"/>
            <w:r w:rsidRPr="001268BD">
              <w:rPr>
                <w:rFonts w:eastAsia="맑은 고딕" w:cs="Arial"/>
                <w:i/>
                <w:iCs/>
                <w:sz w:val="20"/>
                <w:szCs w:val="20"/>
                <w:lang w:eastAsia="ko-KR"/>
              </w:rPr>
              <w:t xml:space="preserve"> (RAN1, RAN4).</w:t>
            </w:r>
          </w:p>
          <w:p w14:paraId="52CA4890" w14:textId="4F9A4831" w:rsidR="001268BD" w:rsidRPr="001268BD" w:rsidRDefault="001268BD" w:rsidP="005710CE">
            <w:pPr>
              <w:pStyle w:val="af7"/>
              <w:numPr>
                <w:ilvl w:val="0"/>
                <w:numId w:val="14"/>
              </w:numPr>
              <w:overflowPunct w:val="0"/>
              <w:autoSpaceDE w:val="0"/>
              <w:autoSpaceDN w:val="0"/>
              <w:adjustRightInd w:val="0"/>
              <w:spacing w:after="180" w:line="240" w:lineRule="auto"/>
              <w:ind w:left="680"/>
              <w:contextualSpacing/>
              <w:jc w:val="both"/>
              <w:textAlignment w:val="baseline"/>
              <w:rPr>
                <w:rFonts w:ascii="Arial" w:eastAsia="맑은 고딕" w:hAnsi="Arial" w:cs="Arial"/>
                <w:i/>
                <w:iCs/>
                <w:sz w:val="20"/>
                <w:szCs w:val="20"/>
                <w:lang w:eastAsia="ko-KR"/>
              </w:rPr>
            </w:pPr>
            <w:r w:rsidRPr="001268BD">
              <w:rPr>
                <w:rFonts w:ascii="Arial" w:eastAsia="맑은 고딕" w:hAnsi="Arial" w:cs="Arial"/>
                <w:i/>
                <w:iCs/>
                <w:sz w:val="20"/>
                <w:szCs w:val="20"/>
                <w:lang w:eastAsia="ko-KR"/>
              </w:rPr>
              <w:t>Identify possible schemes and evaluate their feasibility and performances (RAN1)</w:t>
            </w:r>
          </w:p>
          <w:p w14:paraId="354E9C26" w14:textId="0FEEFB8C" w:rsidR="001268BD" w:rsidRPr="001268BD" w:rsidRDefault="001268BD" w:rsidP="005710CE">
            <w:pPr>
              <w:pStyle w:val="af7"/>
              <w:numPr>
                <w:ilvl w:val="0"/>
                <w:numId w:val="14"/>
              </w:numPr>
              <w:overflowPunct w:val="0"/>
              <w:autoSpaceDE w:val="0"/>
              <w:autoSpaceDN w:val="0"/>
              <w:adjustRightInd w:val="0"/>
              <w:spacing w:after="180" w:line="240" w:lineRule="auto"/>
              <w:ind w:left="680"/>
              <w:contextualSpacing/>
              <w:jc w:val="both"/>
              <w:textAlignment w:val="baseline"/>
              <w:rPr>
                <w:rFonts w:ascii="Arial" w:eastAsia="맑은 고딕" w:hAnsi="Arial" w:cs="Arial"/>
                <w:i/>
                <w:iCs/>
                <w:sz w:val="20"/>
                <w:szCs w:val="20"/>
                <w:lang w:eastAsia="ko-KR"/>
              </w:rPr>
            </w:pPr>
            <w:r w:rsidRPr="001268BD">
              <w:rPr>
                <w:rFonts w:ascii="Arial" w:eastAsia="맑은 고딕" w:hAnsi="Arial" w:cs="Arial"/>
                <w:i/>
                <w:iCs/>
                <w:sz w:val="20"/>
                <w:szCs w:val="20"/>
                <w:lang w:eastAsia="ko-KR"/>
              </w:rPr>
              <w:t>Study inter-gNB and inter-UE CLI handling and identify solutions to manage them (RAN1)</w:t>
            </w:r>
          </w:p>
          <w:p w14:paraId="23C91D7F" w14:textId="5E34DFBB" w:rsidR="001268BD" w:rsidRPr="001268BD" w:rsidRDefault="001268BD" w:rsidP="005710CE">
            <w:pPr>
              <w:pStyle w:val="af7"/>
              <w:numPr>
                <w:ilvl w:val="1"/>
                <w:numId w:val="14"/>
              </w:numPr>
              <w:overflowPunct w:val="0"/>
              <w:autoSpaceDE w:val="0"/>
              <w:autoSpaceDN w:val="0"/>
              <w:adjustRightInd w:val="0"/>
              <w:spacing w:after="180" w:line="240" w:lineRule="auto"/>
              <w:ind w:left="1120"/>
              <w:contextualSpacing/>
              <w:jc w:val="both"/>
              <w:textAlignment w:val="baseline"/>
              <w:rPr>
                <w:rFonts w:ascii="Arial" w:eastAsia="맑은 고딕" w:hAnsi="Arial" w:cs="Arial"/>
                <w:i/>
                <w:iCs/>
                <w:sz w:val="20"/>
                <w:szCs w:val="20"/>
                <w:lang w:eastAsia="ko-KR"/>
              </w:rPr>
            </w:pPr>
            <w:r w:rsidRPr="001268BD">
              <w:rPr>
                <w:rFonts w:ascii="Arial" w:eastAsia="맑은 고딕" w:hAnsi="Arial" w:cs="Arial"/>
                <w:i/>
                <w:iCs/>
                <w:sz w:val="20"/>
                <w:szCs w:val="20"/>
                <w:lang w:eastAsia="ko-KR"/>
              </w:rPr>
              <w:t xml:space="preserve">Consider intra-subband CLI and inter-subband CLI in case of the </w:t>
            </w:r>
            <w:r w:rsidRPr="001268BD">
              <w:rPr>
                <w:rFonts w:ascii="Arial" w:eastAsia="맑은 고딕" w:hAnsi="Arial" w:cs="Arial"/>
                <w:i/>
                <w:iCs/>
                <w:sz w:val="20"/>
                <w:szCs w:val="20"/>
                <w:lang w:val="en-US" w:eastAsia="ko-KR"/>
              </w:rPr>
              <w:t>subband non-overlapping full duplex</w:t>
            </w:r>
          </w:p>
          <w:p w14:paraId="538A0827" w14:textId="2D77F9C7" w:rsidR="00EF24FC" w:rsidRPr="001268BD" w:rsidRDefault="001268BD" w:rsidP="005710CE">
            <w:pPr>
              <w:pStyle w:val="af7"/>
              <w:numPr>
                <w:ilvl w:val="0"/>
                <w:numId w:val="14"/>
              </w:numPr>
              <w:overflowPunct w:val="0"/>
              <w:autoSpaceDE w:val="0"/>
              <w:autoSpaceDN w:val="0"/>
              <w:adjustRightInd w:val="0"/>
              <w:spacing w:after="180" w:line="240" w:lineRule="auto"/>
              <w:ind w:left="680"/>
              <w:contextualSpacing/>
              <w:jc w:val="both"/>
              <w:textAlignment w:val="baseline"/>
              <w:rPr>
                <w:rFonts w:ascii="Arial" w:eastAsia="맑은 고딕" w:hAnsi="Arial" w:cs="Arial"/>
                <w:i/>
                <w:iCs/>
                <w:sz w:val="20"/>
                <w:szCs w:val="20"/>
                <w:lang w:eastAsia="ko-KR"/>
              </w:rPr>
            </w:pPr>
            <w:r w:rsidRPr="001268BD">
              <w:rPr>
                <w:rFonts w:ascii="Arial" w:eastAsia="맑은 고딕" w:hAnsi="Arial" w:cs="Arial"/>
                <w:i/>
                <w:iCs/>
                <w:sz w:val="20"/>
                <w:szCs w:val="20"/>
                <w:lang w:eastAsia="ko-KR"/>
              </w:rPr>
              <w:t>Study the performance of the identified schemes as well as the impact on legacy operation assuming their co-existence in co-channel and adjacent channels (RAN1)</w:t>
            </w:r>
          </w:p>
        </w:tc>
      </w:tr>
    </w:tbl>
    <w:p w14:paraId="13C3E153" w14:textId="77777777" w:rsidR="00B355CE" w:rsidRDefault="00B355CE" w:rsidP="00B355CE">
      <w:pPr>
        <w:pStyle w:val="a8"/>
        <w:spacing w:before="120"/>
        <w:rPr>
          <w:rFonts w:cs="Arial"/>
          <w:szCs w:val="20"/>
        </w:rPr>
      </w:pPr>
    </w:p>
    <w:p w14:paraId="4803067B" w14:textId="01EF9585" w:rsidR="006247D4" w:rsidRDefault="0020441F" w:rsidP="00B355CE">
      <w:pPr>
        <w:pStyle w:val="a8"/>
        <w:spacing w:before="120"/>
        <w:rPr>
          <w:rFonts w:cs="Arial"/>
          <w:szCs w:val="20"/>
        </w:rPr>
      </w:pPr>
      <w:r w:rsidRPr="00857873">
        <w:rPr>
          <w:rFonts w:cs="Arial"/>
          <w:szCs w:val="20"/>
        </w:rPr>
        <w:t xml:space="preserve">In this contribution, </w:t>
      </w:r>
      <w:r w:rsidR="00EA4791">
        <w:rPr>
          <w:rFonts w:cs="Arial"/>
          <w:szCs w:val="20"/>
        </w:rPr>
        <w:t xml:space="preserve">we first </w:t>
      </w:r>
      <w:r w:rsidR="009F73F1">
        <w:rPr>
          <w:rFonts w:cs="Arial"/>
          <w:szCs w:val="20"/>
        </w:rPr>
        <w:t>p</w:t>
      </w:r>
      <w:r w:rsidRPr="00857873">
        <w:rPr>
          <w:rFonts w:cs="Arial"/>
          <w:szCs w:val="20"/>
        </w:rPr>
        <w:t xml:space="preserve">resent our views on </w:t>
      </w:r>
      <w:r w:rsidR="00EF5D45">
        <w:rPr>
          <w:rFonts w:cs="Arial"/>
          <w:szCs w:val="20"/>
        </w:rPr>
        <w:t xml:space="preserve">practical </w:t>
      </w:r>
      <w:r w:rsidR="00373733">
        <w:rPr>
          <w:rFonts w:cs="Arial"/>
          <w:szCs w:val="20"/>
        </w:rPr>
        <w:t xml:space="preserve">SBFD </w:t>
      </w:r>
      <w:r w:rsidR="0056514E">
        <w:rPr>
          <w:rFonts w:cs="Arial"/>
          <w:szCs w:val="20"/>
        </w:rPr>
        <w:t xml:space="preserve">design </w:t>
      </w:r>
      <w:r w:rsidR="0073292E">
        <w:rPr>
          <w:rFonts w:cs="Arial"/>
          <w:szCs w:val="20"/>
        </w:rPr>
        <w:t xml:space="preserve">requirements </w:t>
      </w:r>
      <w:r w:rsidR="00373733">
        <w:rPr>
          <w:rFonts w:cs="Arial"/>
          <w:szCs w:val="20"/>
        </w:rPr>
        <w:t xml:space="preserve">arising </w:t>
      </w:r>
      <w:r w:rsidR="009F73F1">
        <w:rPr>
          <w:rFonts w:cs="Arial"/>
          <w:szCs w:val="20"/>
        </w:rPr>
        <w:t xml:space="preserve">from both </w:t>
      </w:r>
      <w:r w:rsidR="00696B2E">
        <w:rPr>
          <w:rFonts w:cs="Arial"/>
          <w:szCs w:val="20"/>
        </w:rPr>
        <w:t xml:space="preserve">network deployment and UE implementation aspects when introducing </w:t>
      </w:r>
      <w:r w:rsidRPr="00857873">
        <w:rPr>
          <w:rFonts w:cs="Arial"/>
          <w:szCs w:val="20"/>
        </w:rPr>
        <w:t xml:space="preserve">simultaneous </w:t>
      </w:r>
      <w:r w:rsidR="0056514E">
        <w:rPr>
          <w:rFonts w:cs="Arial"/>
          <w:szCs w:val="20"/>
        </w:rPr>
        <w:t>transmission and reception</w:t>
      </w:r>
      <w:r w:rsidR="00696B2E">
        <w:rPr>
          <w:rFonts w:cs="Arial"/>
          <w:szCs w:val="20"/>
        </w:rPr>
        <w:t xml:space="preserve"> capability</w:t>
      </w:r>
      <w:r w:rsidR="005D1616">
        <w:rPr>
          <w:rFonts w:cs="Arial"/>
          <w:szCs w:val="20"/>
        </w:rPr>
        <w:t xml:space="preserve"> </w:t>
      </w:r>
      <w:r w:rsidR="005D1616" w:rsidRPr="005D1616">
        <w:rPr>
          <w:rFonts w:cs="Arial"/>
          <w:szCs w:val="20"/>
        </w:rPr>
        <w:t xml:space="preserve">at the gNB </w:t>
      </w:r>
      <w:r w:rsidR="00EF5D45">
        <w:rPr>
          <w:rFonts w:cs="Arial"/>
          <w:szCs w:val="20"/>
        </w:rPr>
        <w:t xml:space="preserve">for </w:t>
      </w:r>
      <w:r w:rsidR="00696B2E">
        <w:rPr>
          <w:rFonts w:cs="Arial"/>
          <w:szCs w:val="20"/>
        </w:rPr>
        <w:t xml:space="preserve">the </w:t>
      </w:r>
      <w:r w:rsidR="005D1616">
        <w:rPr>
          <w:rFonts w:cs="Arial"/>
          <w:szCs w:val="20"/>
        </w:rPr>
        <w:t xml:space="preserve">NR </w:t>
      </w:r>
      <w:r w:rsidR="005D1616" w:rsidRPr="005D1616">
        <w:rPr>
          <w:rFonts w:cs="Arial"/>
          <w:szCs w:val="20"/>
        </w:rPr>
        <w:t>TDD band</w:t>
      </w:r>
      <w:r w:rsidR="005D1616">
        <w:rPr>
          <w:rFonts w:cs="Arial"/>
          <w:szCs w:val="20"/>
        </w:rPr>
        <w:t>s</w:t>
      </w:r>
      <w:r w:rsidRPr="00857873">
        <w:rPr>
          <w:rFonts w:cs="Arial"/>
          <w:szCs w:val="20"/>
        </w:rPr>
        <w:t>.</w:t>
      </w:r>
      <w:r w:rsidR="005D1616">
        <w:rPr>
          <w:rFonts w:cs="Arial"/>
          <w:szCs w:val="20"/>
        </w:rPr>
        <w:t xml:space="preserve"> </w:t>
      </w:r>
      <w:r w:rsidR="00EA4791">
        <w:rPr>
          <w:rFonts w:cs="Arial"/>
          <w:szCs w:val="20"/>
        </w:rPr>
        <w:t>B</w:t>
      </w:r>
      <w:r w:rsidR="0005516C">
        <w:rPr>
          <w:rFonts w:cs="Arial"/>
          <w:szCs w:val="20"/>
        </w:rPr>
        <w:t xml:space="preserve">ackwards compatibility and benefits of using </w:t>
      </w:r>
      <w:r w:rsidR="009F73F1">
        <w:rPr>
          <w:rFonts w:cs="Arial"/>
          <w:szCs w:val="20"/>
        </w:rPr>
        <w:t xml:space="preserve">gNB-side SBFD </w:t>
      </w:r>
      <w:r w:rsidR="0005516C">
        <w:rPr>
          <w:rFonts w:cs="Arial"/>
          <w:szCs w:val="20"/>
        </w:rPr>
        <w:t xml:space="preserve">when </w:t>
      </w:r>
      <w:r w:rsidR="005D1616">
        <w:rPr>
          <w:rFonts w:cs="Arial"/>
          <w:szCs w:val="20"/>
        </w:rPr>
        <w:t xml:space="preserve">legacy UEs </w:t>
      </w:r>
      <w:r w:rsidR="0005516C">
        <w:rPr>
          <w:rFonts w:cs="Arial"/>
          <w:szCs w:val="20"/>
        </w:rPr>
        <w:t xml:space="preserve">are present in the </w:t>
      </w:r>
      <w:r w:rsidR="00565E66">
        <w:rPr>
          <w:rFonts w:cs="Arial"/>
          <w:szCs w:val="20"/>
        </w:rPr>
        <w:t xml:space="preserve">NR TDD </w:t>
      </w:r>
      <w:r w:rsidR="0005516C">
        <w:rPr>
          <w:rFonts w:cs="Arial"/>
          <w:szCs w:val="20"/>
        </w:rPr>
        <w:t>cell</w:t>
      </w:r>
      <w:r w:rsidR="00EA4791">
        <w:rPr>
          <w:rFonts w:cs="Arial"/>
          <w:szCs w:val="20"/>
        </w:rPr>
        <w:t xml:space="preserve"> are considered in Section </w:t>
      </w:r>
      <w:r w:rsidR="00471E3F">
        <w:rPr>
          <w:rFonts w:cs="Arial"/>
          <w:szCs w:val="20"/>
        </w:rPr>
        <w:fldChar w:fldCharType="begin"/>
      </w:r>
      <w:r w:rsidR="00471E3F">
        <w:rPr>
          <w:rFonts w:cs="Arial"/>
          <w:szCs w:val="20"/>
        </w:rPr>
        <w:instrText xml:space="preserve"> REF _Ref101859680 \r \h </w:instrText>
      </w:r>
      <w:r w:rsidR="00471E3F">
        <w:rPr>
          <w:rFonts w:cs="Arial"/>
          <w:szCs w:val="20"/>
        </w:rPr>
      </w:r>
      <w:r w:rsidR="00471E3F">
        <w:rPr>
          <w:rFonts w:cs="Arial"/>
          <w:szCs w:val="20"/>
        </w:rPr>
        <w:fldChar w:fldCharType="separate"/>
      </w:r>
      <w:r w:rsidR="00DD7F3C">
        <w:rPr>
          <w:rFonts w:cs="Arial"/>
          <w:szCs w:val="20"/>
        </w:rPr>
        <w:t>3</w:t>
      </w:r>
      <w:r w:rsidR="00471E3F">
        <w:rPr>
          <w:rFonts w:cs="Arial"/>
          <w:szCs w:val="20"/>
        </w:rPr>
        <w:fldChar w:fldCharType="end"/>
      </w:r>
      <w:r w:rsidR="005D1616">
        <w:rPr>
          <w:rFonts w:cs="Arial"/>
          <w:szCs w:val="20"/>
        </w:rPr>
        <w:t>.</w:t>
      </w:r>
      <w:r w:rsidR="0005516C">
        <w:rPr>
          <w:rFonts w:cs="Arial"/>
          <w:szCs w:val="20"/>
        </w:rPr>
        <w:t xml:space="preserve"> </w:t>
      </w:r>
      <w:r w:rsidR="00565E66">
        <w:rPr>
          <w:rFonts w:cs="Arial"/>
          <w:szCs w:val="20"/>
        </w:rPr>
        <w:t>UE e</w:t>
      </w:r>
      <w:r w:rsidR="0005516C">
        <w:rPr>
          <w:rFonts w:cs="Arial"/>
          <w:szCs w:val="20"/>
        </w:rPr>
        <w:t xml:space="preserve">nhancements </w:t>
      </w:r>
      <w:r w:rsidR="00EA4791">
        <w:rPr>
          <w:rFonts w:cs="Arial"/>
          <w:szCs w:val="20"/>
        </w:rPr>
        <w:t xml:space="preserve">for providing </w:t>
      </w:r>
      <w:r w:rsidR="0005516C">
        <w:rPr>
          <w:rFonts w:cs="Arial"/>
          <w:szCs w:val="20"/>
        </w:rPr>
        <w:t xml:space="preserve">support </w:t>
      </w:r>
      <w:r w:rsidR="000D73A4">
        <w:rPr>
          <w:rFonts w:cs="Arial"/>
          <w:szCs w:val="20"/>
        </w:rPr>
        <w:t>to gNB</w:t>
      </w:r>
      <w:r w:rsidR="00EA4791">
        <w:rPr>
          <w:rFonts w:cs="Arial"/>
          <w:szCs w:val="20"/>
        </w:rPr>
        <w:t>-side SBFD</w:t>
      </w:r>
      <w:r w:rsidR="000D73A4">
        <w:rPr>
          <w:rFonts w:cs="Arial"/>
          <w:szCs w:val="20"/>
        </w:rPr>
        <w:t xml:space="preserve"> </w:t>
      </w:r>
      <w:r w:rsidR="00465BAE">
        <w:rPr>
          <w:rFonts w:cs="Arial"/>
          <w:szCs w:val="20"/>
        </w:rPr>
        <w:t xml:space="preserve">operation </w:t>
      </w:r>
      <w:r w:rsidR="00565E66">
        <w:rPr>
          <w:rFonts w:cs="Arial"/>
          <w:szCs w:val="20"/>
        </w:rPr>
        <w:t xml:space="preserve">are possible in later </w:t>
      </w:r>
      <w:r w:rsidR="007E6055">
        <w:rPr>
          <w:rFonts w:cs="Arial"/>
          <w:szCs w:val="20"/>
        </w:rPr>
        <w:t>NR r</w:t>
      </w:r>
      <w:r w:rsidR="00565E66">
        <w:rPr>
          <w:rFonts w:cs="Arial"/>
          <w:szCs w:val="20"/>
        </w:rPr>
        <w:t xml:space="preserve">eleases. We discuss </w:t>
      </w:r>
      <w:r w:rsidR="00EF5D45">
        <w:rPr>
          <w:rFonts w:cs="Arial"/>
          <w:szCs w:val="20"/>
        </w:rPr>
        <w:t xml:space="preserve">several </w:t>
      </w:r>
      <w:r w:rsidR="00565E66">
        <w:rPr>
          <w:rFonts w:cs="Arial"/>
          <w:szCs w:val="20"/>
        </w:rPr>
        <w:t xml:space="preserve">possible </w:t>
      </w:r>
      <w:r w:rsidR="007751F2">
        <w:rPr>
          <w:rFonts w:cs="Arial"/>
          <w:szCs w:val="20"/>
        </w:rPr>
        <w:t xml:space="preserve">approaches for the SBFD </w:t>
      </w:r>
      <w:r w:rsidR="000D73A4">
        <w:rPr>
          <w:rFonts w:cs="Arial"/>
          <w:szCs w:val="20"/>
        </w:rPr>
        <w:t xml:space="preserve">design </w:t>
      </w:r>
      <w:r w:rsidR="0073292E">
        <w:rPr>
          <w:rFonts w:cs="Arial"/>
          <w:szCs w:val="20"/>
        </w:rPr>
        <w:t xml:space="preserve">and the corresponding solutions </w:t>
      </w:r>
      <w:r w:rsidR="000D73A4">
        <w:rPr>
          <w:rFonts w:cs="Arial"/>
          <w:szCs w:val="20"/>
        </w:rPr>
        <w:t xml:space="preserve">for </w:t>
      </w:r>
      <w:r w:rsidR="00FB0B5A">
        <w:rPr>
          <w:rFonts w:cs="Arial"/>
          <w:szCs w:val="20"/>
        </w:rPr>
        <w:t xml:space="preserve">such potential </w:t>
      </w:r>
      <w:r w:rsidR="000D73A4">
        <w:rPr>
          <w:rFonts w:cs="Arial"/>
          <w:szCs w:val="20"/>
        </w:rPr>
        <w:t xml:space="preserve">UE enhancements, </w:t>
      </w:r>
      <w:r w:rsidR="00565E66">
        <w:rPr>
          <w:rFonts w:cs="Arial"/>
          <w:szCs w:val="20"/>
        </w:rPr>
        <w:t xml:space="preserve">their </w:t>
      </w:r>
      <w:r w:rsidR="000D73A4">
        <w:rPr>
          <w:rFonts w:cs="Arial"/>
          <w:szCs w:val="20"/>
        </w:rPr>
        <w:t>feasibility,</w:t>
      </w:r>
      <w:r w:rsidR="00565E66">
        <w:rPr>
          <w:rFonts w:cs="Arial"/>
          <w:szCs w:val="20"/>
        </w:rPr>
        <w:t xml:space="preserve"> and </w:t>
      </w:r>
      <w:r w:rsidR="000D73A4">
        <w:rPr>
          <w:rFonts w:cs="Arial"/>
          <w:szCs w:val="20"/>
        </w:rPr>
        <w:t>the</w:t>
      </w:r>
      <w:r w:rsidR="0073292E">
        <w:rPr>
          <w:rFonts w:cs="Arial"/>
          <w:szCs w:val="20"/>
        </w:rPr>
        <w:t>ir</w:t>
      </w:r>
      <w:r w:rsidR="000D73A4">
        <w:rPr>
          <w:rFonts w:cs="Arial"/>
          <w:szCs w:val="20"/>
        </w:rPr>
        <w:t xml:space="preserve"> </w:t>
      </w:r>
      <w:r w:rsidR="00EF5D45">
        <w:rPr>
          <w:rFonts w:cs="Arial"/>
          <w:szCs w:val="20"/>
        </w:rPr>
        <w:t>benefit</w:t>
      </w:r>
      <w:r w:rsidR="007E6055">
        <w:rPr>
          <w:rFonts w:cs="Arial"/>
          <w:szCs w:val="20"/>
        </w:rPr>
        <w:t>s</w:t>
      </w:r>
      <w:r w:rsidR="00EF5D45">
        <w:rPr>
          <w:rFonts w:cs="Arial"/>
          <w:szCs w:val="20"/>
        </w:rPr>
        <w:t xml:space="preserve"> </w:t>
      </w:r>
      <w:r w:rsidR="000D73A4">
        <w:rPr>
          <w:rFonts w:cs="Arial"/>
          <w:szCs w:val="20"/>
        </w:rPr>
        <w:t xml:space="preserve">in Section </w:t>
      </w:r>
      <w:r w:rsidR="00471E3F">
        <w:rPr>
          <w:rFonts w:cs="Arial"/>
          <w:szCs w:val="20"/>
        </w:rPr>
        <w:fldChar w:fldCharType="begin"/>
      </w:r>
      <w:r w:rsidR="00471E3F">
        <w:rPr>
          <w:rFonts w:cs="Arial"/>
          <w:szCs w:val="20"/>
        </w:rPr>
        <w:instrText xml:space="preserve"> REF _Ref101859708 \r \h </w:instrText>
      </w:r>
      <w:r w:rsidR="00471E3F">
        <w:rPr>
          <w:rFonts w:cs="Arial"/>
          <w:szCs w:val="20"/>
        </w:rPr>
      </w:r>
      <w:r w:rsidR="00471E3F">
        <w:rPr>
          <w:rFonts w:cs="Arial"/>
          <w:szCs w:val="20"/>
        </w:rPr>
        <w:fldChar w:fldCharType="separate"/>
      </w:r>
      <w:r w:rsidR="00DD7F3C">
        <w:rPr>
          <w:rFonts w:cs="Arial"/>
          <w:szCs w:val="20"/>
        </w:rPr>
        <w:t>4</w:t>
      </w:r>
      <w:r w:rsidR="00471E3F">
        <w:rPr>
          <w:rFonts w:cs="Arial"/>
          <w:szCs w:val="20"/>
        </w:rPr>
        <w:fldChar w:fldCharType="end"/>
      </w:r>
      <w:r w:rsidR="000D73A4">
        <w:rPr>
          <w:rFonts w:cs="Arial"/>
          <w:szCs w:val="20"/>
        </w:rPr>
        <w:t>.</w:t>
      </w:r>
      <w:r w:rsidR="00EF5D45">
        <w:rPr>
          <w:rFonts w:cs="Arial"/>
          <w:szCs w:val="20"/>
        </w:rPr>
        <w:t xml:space="preserve"> </w:t>
      </w:r>
      <w:r w:rsidR="00FB0B5A" w:rsidRPr="00857873">
        <w:rPr>
          <w:rFonts w:cs="Arial"/>
          <w:szCs w:val="20"/>
        </w:rPr>
        <w:t>Please see our accompanying contribution</w:t>
      </w:r>
      <w:r w:rsidR="00EB61E3">
        <w:rPr>
          <w:rFonts w:eastAsia="맑은 고딕" w:cs="Arial" w:hint="eastAsia"/>
          <w:szCs w:val="20"/>
          <w:lang w:eastAsia="ko-KR"/>
        </w:rPr>
        <w:t>s</w:t>
      </w:r>
      <w:r w:rsidR="00FB0B5A" w:rsidRPr="00857873">
        <w:rPr>
          <w:rFonts w:cs="Arial"/>
          <w:szCs w:val="20"/>
        </w:rPr>
        <w:t xml:space="preserve"> </w:t>
      </w:r>
      <w:r w:rsidR="0074705A">
        <w:rPr>
          <w:rFonts w:cs="Arial"/>
          <w:szCs w:val="20"/>
        </w:rPr>
        <w:t xml:space="preserve">on </w:t>
      </w:r>
      <w:r w:rsidR="00FB0B5A">
        <w:rPr>
          <w:rFonts w:cs="Arial"/>
          <w:szCs w:val="20"/>
        </w:rPr>
        <w:t xml:space="preserve">CLI enhancements in the context of dynamic/flexible TDD </w:t>
      </w:r>
      <w:r w:rsidR="006B7C54">
        <w:rPr>
          <w:rFonts w:cs="Arial"/>
          <w:szCs w:val="20"/>
        </w:rPr>
        <w:t>[2]</w:t>
      </w:r>
      <w:r w:rsidR="00FB0B5A">
        <w:rPr>
          <w:rFonts w:cs="Arial"/>
          <w:szCs w:val="20"/>
        </w:rPr>
        <w:t>[3]</w:t>
      </w:r>
      <w:r w:rsidR="00FB0B5A" w:rsidRPr="00857873">
        <w:rPr>
          <w:rFonts w:cs="Arial"/>
          <w:szCs w:val="20"/>
        </w:rPr>
        <w:t>.</w:t>
      </w:r>
    </w:p>
    <w:p w14:paraId="1B92FC3E" w14:textId="3D44B9AF" w:rsidR="00716A86" w:rsidRPr="007E6055" w:rsidRDefault="008773E6" w:rsidP="007E6055">
      <w:pPr>
        <w:pStyle w:val="a8"/>
        <w:spacing w:before="120"/>
        <w:rPr>
          <w:rFonts w:cs="Arial"/>
          <w:szCs w:val="20"/>
          <w:lang w:val="en-GB"/>
        </w:rPr>
      </w:pPr>
      <w:r>
        <w:rPr>
          <w:rFonts w:cs="Arial"/>
          <w:szCs w:val="20"/>
        </w:rPr>
        <w:t xml:space="preserve">Note that in the remainder of this contribution we will simply refer to </w:t>
      </w:r>
      <w:r w:rsidR="000A5FBA">
        <w:rPr>
          <w:rFonts w:cs="Arial"/>
          <w:szCs w:val="20"/>
        </w:rPr>
        <w:t xml:space="preserve">SBFD for </w:t>
      </w:r>
      <w:r>
        <w:rPr>
          <w:rFonts w:cs="Arial"/>
          <w:szCs w:val="20"/>
          <w:lang w:val="en-GB"/>
        </w:rPr>
        <w:t xml:space="preserve">subband full-duplex operation using </w:t>
      </w:r>
      <w:r w:rsidRPr="009F73F1">
        <w:rPr>
          <w:rFonts w:cs="Arial"/>
          <w:i/>
          <w:iCs/>
          <w:szCs w:val="20"/>
          <w:lang w:val="en-GB"/>
        </w:rPr>
        <w:t>non-overlapping</w:t>
      </w:r>
      <w:r>
        <w:rPr>
          <w:rFonts w:cs="Arial"/>
          <w:szCs w:val="20"/>
          <w:lang w:val="en-GB"/>
        </w:rPr>
        <w:t xml:space="preserve"> subband allocations, e.g., as assumed by the R18 SID.</w:t>
      </w:r>
    </w:p>
    <w:p w14:paraId="60123794" w14:textId="6426C70D" w:rsidR="004000E8" w:rsidRPr="001E7AD0" w:rsidRDefault="00B355CE" w:rsidP="00873F07">
      <w:pPr>
        <w:pStyle w:val="1"/>
        <w:jc w:val="both"/>
        <w:rPr>
          <w:lang w:val="en-US"/>
        </w:rPr>
      </w:pPr>
      <w:r>
        <w:rPr>
          <w:lang w:val="en-US"/>
        </w:rPr>
        <w:lastRenderedPageBreak/>
        <w:t>SBFD d</w:t>
      </w:r>
      <w:r w:rsidR="003F1579">
        <w:rPr>
          <w:lang w:val="en-US"/>
        </w:rPr>
        <w:t>esign r</w:t>
      </w:r>
      <w:r w:rsidR="00847721">
        <w:rPr>
          <w:lang w:val="en-US"/>
        </w:rPr>
        <w:t>equirements</w:t>
      </w:r>
    </w:p>
    <w:p w14:paraId="0E62A315" w14:textId="0E54B8AA" w:rsidR="00610CE4" w:rsidRDefault="00610CE4" w:rsidP="00610CE4">
      <w:pPr>
        <w:pStyle w:val="a8"/>
        <w:spacing w:before="120"/>
        <w:rPr>
          <w:rFonts w:cs="Arial"/>
          <w:szCs w:val="20"/>
        </w:rPr>
      </w:pPr>
      <w:r>
        <w:rPr>
          <w:rFonts w:cs="Arial"/>
          <w:szCs w:val="20"/>
        </w:rPr>
        <w:t>When</w:t>
      </w:r>
      <w:r w:rsidRPr="000A0B67">
        <w:rPr>
          <w:rFonts w:cs="Arial"/>
          <w:szCs w:val="20"/>
        </w:rPr>
        <w:t xml:space="preserve"> </w:t>
      </w:r>
      <w:r>
        <w:rPr>
          <w:rFonts w:cs="Arial"/>
          <w:szCs w:val="20"/>
        </w:rPr>
        <w:t xml:space="preserve">SBFD is implemented </w:t>
      </w:r>
      <w:r w:rsidRPr="000A0B67">
        <w:rPr>
          <w:rFonts w:cs="Arial"/>
          <w:szCs w:val="20"/>
        </w:rPr>
        <w:t xml:space="preserve">at the </w:t>
      </w:r>
      <w:r>
        <w:rPr>
          <w:rFonts w:cs="Arial"/>
          <w:szCs w:val="20"/>
        </w:rPr>
        <w:t>gNB</w:t>
      </w:r>
      <w:r w:rsidRPr="000A0B67">
        <w:rPr>
          <w:rFonts w:cs="Arial"/>
          <w:szCs w:val="20"/>
        </w:rPr>
        <w:t>,</w:t>
      </w:r>
      <w:r>
        <w:rPr>
          <w:rFonts w:cs="Arial"/>
          <w:szCs w:val="20"/>
        </w:rPr>
        <w:t xml:space="preserve"> the </w:t>
      </w:r>
      <w:r w:rsidRPr="000A0B67">
        <w:rPr>
          <w:rFonts w:cs="Arial"/>
          <w:szCs w:val="20"/>
        </w:rPr>
        <w:t xml:space="preserve">received UL signal </w:t>
      </w:r>
      <w:r>
        <w:rPr>
          <w:rFonts w:cs="Arial"/>
          <w:szCs w:val="20"/>
        </w:rPr>
        <w:t xml:space="preserve">at the gNB </w:t>
      </w:r>
      <w:r w:rsidRPr="000A0B67">
        <w:rPr>
          <w:rFonts w:cs="Arial"/>
          <w:szCs w:val="20"/>
        </w:rPr>
        <w:t>is subject to co-channel cross-link interference (CLI)</w:t>
      </w:r>
      <w:r>
        <w:rPr>
          <w:rFonts w:cs="Arial"/>
          <w:szCs w:val="20"/>
        </w:rPr>
        <w:t xml:space="preserve"> from the gNB side transmitter</w:t>
      </w:r>
      <w:r w:rsidRPr="000A0B67">
        <w:rPr>
          <w:rFonts w:cs="Arial"/>
          <w:szCs w:val="20"/>
        </w:rPr>
        <w:t>.</w:t>
      </w:r>
      <w:r>
        <w:rPr>
          <w:rFonts w:cs="Arial"/>
          <w:szCs w:val="20"/>
        </w:rPr>
        <w:t xml:space="preserve"> M</w:t>
      </w:r>
      <w:r w:rsidRPr="000A0B67">
        <w:rPr>
          <w:rFonts w:cs="Arial"/>
          <w:szCs w:val="20"/>
        </w:rPr>
        <w:t xml:space="preserve">ethods </w:t>
      </w:r>
      <w:r>
        <w:rPr>
          <w:rFonts w:cs="Arial"/>
          <w:szCs w:val="20"/>
        </w:rPr>
        <w:t xml:space="preserve">to cancel the CLI </w:t>
      </w:r>
      <w:r w:rsidRPr="000A0B67">
        <w:rPr>
          <w:rFonts w:cs="Arial"/>
          <w:szCs w:val="20"/>
        </w:rPr>
        <w:t>include passive methods which rely on the antenna isolation between transmit and receive antennas, active methods which utilize RF or digital signal processing, hybrid methods using a combination of these</w:t>
      </w:r>
      <w:r>
        <w:rPr>
          <w:rFonts w:cs="Arial"/>
          <w:szCs w:val="20"/>
        </w:rPr>
        <w:t>, and filtering</w:t>
      </w:r>
      <w:r w:rsidRPr="000A0B67">
        <w:rPr>
          <w:rFonts w:cs="Arial"/>
          <w:szCs w:val="20"/>
        </w:rPr>
        <w:t>.</w:t>
      </w:r>
      <w:r>
        <w:rPr>
          <w:rFonts w:cs="Arial"/>
          <w:szCs w:val="20"/>
        </w:rPr>
        <w:t xml:space="preserve"> It has </w:t>
      </w:r>
      <w:r w:rsidRPr="000A0B67">
        <w:rPr>
          <w:rFonts w:cs="Arial"/>
          <w:szCs w:val="20"/>
        </w:rPr>
        <w:t xml:space="preserve">been demonstrated that handling co-channel CLI </w:t>
      </w:r>
      <w:r>
        <w:rPr>
          <w:rFonts w:cs="Arial"/>
          <w:szCs w:val="20"/>
        </w:rPr>
        <w:t xml:space="preserve">at the gNB </w:t>
      </w:r>
      <w:r w:rsidRPr="000A0B67">
        <w:rPr>
          <w:rFonts w:cs="Arial"/>
          <w:szCs w:val="20"/>
        </w:rPr>
        <w:t>is feasible</w:t>
      </w:r>
      <w:r>
        <w:rPr>
          <w:rFonts w:cs="Arial"/>
          <w:szCs w:val="20"/>
        </w:rPr>
        <w:t xml:space="preserve"> and within implementation range for FR1. For example, </w:t>
      </w:r>
      <w:r w:rsidRPr="00C55928">
        <w:rPr>
          <w:rFonts w:cs="Arial"/>
          <w:szCs w:val="20"/>
        </w:rPr>
        <w:t xml:space="preserve">antenna SIC </w:t>
      </w:r>
      <w:r>
        <w:rPr>
          <w:rFonts w:cs="Arial"/>
          <w:szCs w:val="20"/>
        </w:rPr>
        <w:t xml:space="preserve">can be </w:t>
      </w:r>
      <w:r w:rsidRPr="00C55928">
        <w:rPr>
          <w:rFonts w:cs="Arial"/>
          <w:szCs w:val="20"/>
        </w:rPr>
        <w:t xml:space="preserve">used to minimize </w:t>
      </w:r>
      <w:r>
        <w:rPr>
          <w:rFonts w:cs="Arial"/>
          <w:szCs w:val="20"/>
        </w:rPr>
        <w:t xml:space="preserve">the </w:t>
      </w:r>
      <w:r w:rsidRPr="00C55928">
        <w:rPr>
          <w:rFonts w:cs="Arial"/>
          <w:szCs w:val="20"/>
        </w:rPr>
        <w:t xml:space="preserve">leakage power from </w:t>
      </w:r>
      <w:r>
        <w:rPr>
          <w:rFonts w:cs="Arial"/>
          <w:szCs w:val="20"/>
        </w:rPr>
        <w:t xml:space="preserve">the </w:t>
      </w:r>
      <w:r w:rsidRPr="00C55928">
        <w:rPr>
          <w:rFonts w:cs="Arial"/>
          <w:szCs w:val="20"/>
        </w:rPr>
        <w:t>T</w:t>
      </w:r>
      <w:r>
        <w:rPr>
          <w:rFonts w:cs="Arial"/>
          <w:szCs w:val="20"/>
        </w:rPr>
        <w:t>x</w:t>
      </w:r>
      <w:r w:rsidRPr="00C55928">
        <w:rPr>
          <w:rFonts w:cs="Arial"/>
          <w:szCs w:val="20"/>
        </w:rPr>
        <w:t xml:space="preserve"> </w:t>
      </w:r>
      <w:r>
        <w:rPr>
          <w:rFonts w:cs="Arial"/>
          <w:szCs w:val="20"/>
        </w:rPr>
        <w:t xml:space="preserve">ports </w:t>
      </w:r>
      <w:r w:rsidRPr="00C55928">
        <w:rPr>
          <w:rFonts w:cs="Arial"/>
          <w:szCs w:val="20"/>
        </w:rPr>
        <w:t xml:space="preserve">to </w:t>
      </w:r>
      <w:r>
        <w:rPr>
          <w:rFonts w:cs="Arial"/>
          <w:szCs w:val="20"/>
        </w:rPr>
        <w:t xml:space="preserve">the </w:t>
      </w:r>
      <w:r w:rsidRPr="00C55928">
        <w:rPr>
          <w:rFonts w:cs="Arial"/>
          <w:szCs w:val="20"/>
        </w:rPr>
        <w:t>R</w:t>
      </w:r>
      <w:r>
        <w:rPr>
          <w:rFonts w:cs="Arial"/>
          <w:szCs w:val="20"/>
        </w:rPr>
        <w:t>x</w:t>
      </w:r>
      <w:r w:rsidRPr="00C55928">
        <w:rPr>
          <w:rFonts w:cs="Arial"/>
          <w:szCs w:val="20"/>
        </w:rPr>
        <w:t xml:space="preserve"> </w:t>
      </w:r>
      <w:r>
        <w:rPr>
          <w:rFonts w:cs="Arial"/>
          <w:szCs w:val="20"/>
        </w:rPr>
        <w:t xml:space="preserve">ports of the panel and </w:t>
      </w:r>
      <w:r w:rsidRPr="00C55928">
        <w:rPr>
          <w:rFonts w:cs="Arial"/>
          <w:szCs w:val="20"/>
        </w:rPr>
        <w:t xml:space="preserve">digital SIC </w:t>
      </w:r>
      <w:r>
        <w:rPr>
          <w:rFonts w:cs="Arial"/>
          <w:szCs w:val="20"/>
        </w:rPr>
        <w:t xml:space="preserve">is used </w:t>
      </w:r>
      <w:r w:rsidRPr="00C55928">
        <w:rPr>
          <w:rFonts w:cs="Arial"/>
          <w:szCs w:val="20"/>
        </w:rPr>
        <w:t xml:space="preserve">to handle any residual interference after antenna SIC. DL out-band signal </w:t>
      </w:r>
      <w:r>
        <w:rPr>
          <w:rFonts w:cs="Arial"/>
          <w:szCs w:val="20"/>
        </w:rPr>
        <w:t xml:space="preserve">power </w:t>
      </w:r>
      <w:r w:rsidRPr="00C55928">
        <w:rPr>
          <w:rFonts w:cs="Arial"/>
          <w:szCs w:val="20"/>
        </w:rPr>
        <w:t xml:space="preserve">flowing into the UL receiver path can be effectively suppressed below the noise floor level to guarantee the UL receiver performance. Also, by combining digital pre-distortion (DPD) at </w:t>
      </w:r>
      <w:r>
        <w:rPr>
          <w:rFonts w:cs="Arial"/>
          <w:szCs w:val="20"/>
        </w:rPr>
        <w:t xml:space="preserve">the Tx </w:t>
      </w:r>
      <w:r w:rsidRPr="00C55928">
        <w:rPr>
          <w:rFonts w:cs="Arial"/>
          <w:szCs w:val="20"/>
        </w:rPr>
        <w:t xml:space="preserve">path and digital SIC at </w:t>
      </w:r>
      <w:r>
        <w:rPr>
          <w:rFonts w:cs="Arial"/>
          <w:szCs w:val="20"/>
        </w:rPr>
        <w:t xml:space="preserve">the Rx </w:t>
      </w:r>
      <w:r w:rsidRPr="00C55928">
        <w:rPr>
          <w:rFonts w:cs="Arial"/>
          <w:szCs w:val="20"/>
        </w:rPr>
        <w:t xml:space="preserve">path, the out-band interference from the DL signal to the UL </w:t>
      </w:r>
      <w:r>
        <w:rPr>
          <w:rFonts w:cs="Arial"/>
          <w:szCs w:val="20"/>
        </w:rPr>
        <w:t xml:space="preserve">signal </w:t>
      </w:r>
      <w:r w:rsidRPr="00C55928">
        <w:rPr>
          <w:rFonts w:cs="Arial"/>
          <w:szCs w:val="20"/>
        </w:rPr>
        <w:t xml:space="preserve">can be effectively mitigated </w:t>
      </w:r>
      <w:r>
        <w:rPr>
          <w:rFonts w:cs="Arial"/>
          <w:szCs w:val="20"/>
        </w:rPr>
        <w:t xml:space="preserve">by the gNB </w:t>
      </w:r>
      <w:r w:rsidRPr="00C55928">
        <w:rPr>
          <w:rFonts w:cs="Arial"/>
          <w:szCs w:val="20"/>
        </w:rPr>
        <w:t>such that the</w:t>
      </w:r>
      <w:r>
        <w:rPr>
          <w:rFonts w:cs="Arial"/>
          <w:szCs w:val="20"/>
        </w:rPr>
        <w:t xml:space="preserve"> need for</w:t>
      </w:r>
      <w:r w:rsidRPr="00C55928">
        <w:rPr>
          <w:rFonts w:cs="Arial"/>
          <w:szCs w:val="20"/>
        </w:rPr>
        <w:t xml:space="preserve"> </w:t>
      </w:r>
      <w:r>
        <w:rPr>
          <w:rFonts w:cs="Arial"/>
          <w:szCs w:val="20"/>
        </w:rPr>
        <w:t xml:space="preserve">a </w:t>
      </w:r>
      <w:r w:rsidRPr="00C55928">
        <w:rPr>
          <w:rFonts w:cs="Arial"/>
          <w:szCs w:val="20"/>
        </w:rPr>
        <w:t>guard</w:t>
      </w:r>
      <w:r>
        <w:rPr>
          <w:rFonts w:cs="Arial"/>
          <w:szCs w:val="20"/>
        </w:rPr>
        <w:t xml:space="preserve"> </w:t>
      </w:r>
      <w:r w:rsidRPr="00C55928">
        <w:rPr>
          <w:rFonts w:cs="Arial"/>
          <w:szCs w:val="20"/>
        </w:rPr>
        <w:t>band between the UL and DL signal</w:t>
      </w:r>
      <w:r>
        <w:rPr>
          <w:rFonts w:cs="Arial"/>
          <w:szCs w:val="20"/>
        </w:rPr>
        <w:t>s</w:t>
      </w:r>
      <w:r w:rsidRPr="00C55928">
        <w:rPr>
          <w:rFonts w:cs="Arial"/>
          <w:szCs w:val="20"/>
        </w:rPr>
        <w:t xml:space="preserve"> </w:t>
      </w:r>
      <w:r>
        <w:rPr>
          <w:rFonts w:cs="Arial"/>
          <w:szCs w:val="20"/>
        </w:rPr>
        <w:t xml:space="preserve">is </w:t>
      </w:r>
      <w:r w:rsidRPr="00C55928">
        <w:rPr>
          <w:rFonts w:cs="Arial"/>
          <w:szCs w:val="20"/>
        </w:rPr>
        <w:t>minimized</w:t>
      </w:r>
      <w:r>
        <w:rPr>
          <w:rFonts w:cs="Arial"/>
          <w:szCs w:val="20"/>
        </w:rPr>
        <w:t xml:space="preserve"> [4]. In FR2, the use of separate antenna panels can provide additional spatial isolation</w:t>
      </w:r>
    </w:p>
    <w:p w14:paraId="482EF306" w14:textId="3B571DC0" w:rsidR="001E189D" w:rsidRDefault="007E6055" w:rsidP="007E6055">
      <w:pPr>
        <w:pStyle w:val="a8"/>
        <w:spacing w:before="120"/>
        <w:rPr>
          <w:rFonts w:cs="Arial"/>
          <w:szCs w:val="20"/>
        </w:rPr>
      </w:pPr>
      <w:r>
        <w:rPr>
          <w:rFonts w:cs="Arial"/>
          <w:szCs w:val="20"/>
        </w:rPr>
        <w:t xml:space="preserve">Using a single NR RF carrier, SBFD implements full-duplex transmission at the gNB in the BS channel bandwidth. In a slot where SBFD is supported and enabled, the gNB can </w:t>
      </w:r>
      <w:r w:rsidRPr="009F73F1">
        <w:rPr>
          <w:rFonts w:cs="Arial"/>
          <w:szCs w:val="20"/>
        </w:rPr>
        <w:t xml:space="preserve">schedule </w:t>
      </w:r>
      <w:r>
        <w:rPr>
          <w:rFonts w:cs="Arial"/>
          <w:szCs w:val="20"/>
        </w:rPr>
        <w:t xml:space="preserve">DL </w:t>
      </w:r>
      <w:r w:rsidR="0074705A">
        <w:rPr>
          <w:rFonts w:cs="Arial"/>
          <w:szCs w:val="20"/>
        </w:rPr>
        <w:t>and</w:t>
      </w:r>
      <w:r>
        <w:rPr>
          <w:rFonts w:cs="Arial"/>
          <w:szCs w:val="20"/>
        </w:rPr>
        <w:t xml:space="preserve"> UL </w:t>
      </w:r>
      <w:r w:rsidRPr="009F73F1">
        <w:rPr>
          <w:rFonts w:cs="Arial"/>
          <w:szCs w:val="20"/>
        </w:rPr>
        <w:t xml:space="preserve">resources to </w:t>
      </w:r>
      <w:r>
        <w:rPr>
          <w:rFonts w:cs="Arial"/>
          <w:szCs w:val="20"/>
        </w:rPr>
        <w:t xml:space="preserve">UEs </w:t>
      </w:r>
      <w:r w:rsidR="0074705A">
        <w:rPr>
          <w:rFonts w:cs="Arial"/>
          <w:szCs w:val="20"/>
        </w:rPr>
        <w:t>using non-overlapping frequency-domain resources</w:t>
      </w:r>
      <w:r w:rsidR="00610CE4">
        <w:rPr>
          <w:rFonts w:cs="Arial"/>
          <w:szCs w:val="20"/>
        </w:rPr>
        <w:t xml:space="preserve">. </w:t>
      </w:r>
      <w:r w:rsidR="0074705A">
        <w:rPr>
          <w:rFonts w:cs="Arial"/>
          <w:szCs w:val="20"/>
        </w:rPr>
        <w:t xml:space="preserve">The TDD </w:t>
      </w:r>
      <w:r>
        <w:rPr>
          <w:rFonts w:cs="Arial"/>
          <w:szCs w:val="20"/>
        </w:rPr>
        <w:t xml:space="preserve">UEs operate in half-duplex. When a UE is scheduled for DL reception in a slot, no simultaneous UL transmission from the same UE can occur using the same time-domain resources. The gNB </w:t>
      </w:r>
      <w:r w:rsidR="0074705A">
        <w:rPr>
          <w:rFonts w:cs="Arial"/>
          <w:szCs w:val="20"/>
        </w:rPr>
        <w:t xml:space="preserve">must </w:t>
      </w:r>
      <w:r>
        <w:rPr>
          <w:rFonts w:cs="Arial"/>
          <w:szCs w:val="20"/>
        </w:rPr>
        <w:t xml:space="preserve">account for Rx-Tx and Tx-Rx switching times </w:t>
      </w:r>
      <w:r w:rsidR="001E189D">
        <w:rPr>
          <w:rFonts w:cs="Arial"/>
          <w:szCs w:val="20"/>
        </w:rPr>
        <w:t xml:space="preserve">of the UE </w:t>
      </w:r>
      <w:r w:rsidR="0074705A">
        <w:rPr>
          <w:rFonts w:cs="Arial"/>
          <w:szCs w:val="20"/>
        </w:rPr>
        <w:t xml:space="preserve">when scheduling </w:t>
      </w:r>
      <w:r>
        <w:rPr>
          <w:rFonts w:cs="Arial"/>
          <w:szCs w:val="20"/>
        </w:rPr>
        <w:t xml:space="preserve">DL and UL </w:t>
      </w:r>
      <w:r w:rsidR="001E189D">
        <w:rPr>
          <w:rFonts w:cs="Arial"/>
          <w:szCs w:val="20"/>
        </w:rPr>
        <w:t xml:space="preserve">for the UE </w:t>
      </w:r>
      <w:r>
        <w:rPr>
          <w:rFonts w:cs="Arial"/>
          <w:szCs w:val="20"/>
        </w:rPr>
        <w:t xml:space="preserve">in different slots. </w:t>
      </w:r>
      <w:r w:rsidR="001E189D">
        <w:rPr>
          <w:rFonts w:cs="Arial"/>
          <w:szCs w:val="20"/>
        </w:rPr>
        <w:t>UL transmission from a UE in a slot with SBFD occurs in the SBFD UL subband. DL transmissions to UEs in a slot occur in the SBFD DL subbands at the higher and lower range of the BS channel BW</w:t>
      </w:r>
      <w:r w:rsidR="00610CE4">
        <w:rPr>
          <w:rFonts w:cs="Arial"/>
          <w:szCs w:val="20"/>
        </w:rPr>
        <w:t xml:space="preserve"> (Figure</w:t>
      </w:r>
      <w:r w:rsidR="00471E3F">
        <w:rPr>
          <w:rFonts w:cs="Arial"/>
          <w:szCs w:val="20"/>
        </w:rPr>
        <w:t xml:space="preserve"> 1</w:t>
      </w:r>
      <w:r w:rsidR="00610CE4">
        <w:rPr>
          <w:rFonts w:cs="Arial"/>
          <w:szCs w:val="20"/>
        </w:rPr>
        <w:t>)</w:t>
      </w:r>
      <w:r w:rsidR="001E189D">
        <w:rPr>
          <w:rFonts w:cs="Arial"/>
          <w:szCs w:val="20"/>
        </w:rPr>
        <w:t>.</w:t>
      </w:r>
    </w:p>
    <w:p w14:paraId="13C8A6D5" w14:textId="77777777" w:rsidR="00A73048" w:rsidRDefault="00A73048" w:rsidP="007E6055">
      <w:pPr>
        <w:pStyle w:val="a8"/>
        <w:spacing w:before="120"/>
        <w:rPr>
          <w:rFonts w:cs="Arial"/>
          <w:szCs w:val="20"/>
        </w:rPr>
      </w:pPr>
    </w:p>
    <w:p w14:paraId="258D234E" w14:textId="27F1EBE0" w:rsidR="00610CE4" w:rsidRDefault="003D495D" w:rsidP="00610CE4">
      <w:pPr>
        <w:spacing w:before="120" w:after="120"/>
        <w:jc w:val="center"/>
        <w:rPr>
          <w:color w:val="000000" w:themeColor="text1"/>
        </w:rPr>
      </w:pPr>
      <w:r>
        <w:rPr>
          <w:noProof/>
          <w:color w:val="000000" w:themeColor="text1"/>
          <w:lang w:eastAsia="ko-KR"/>
        </w:rPr>
        <w:drawing>
          <wp:inline distT="0" distB="0" distL="0" distR="0" wp14:anchorId="06F2A7D3" wp14:editId="1ABA8E63">
            <wp:extent cx="5478383" cy="1755651"/>
            <wp:effectExtent l="0" t="0" r="0" b="0"/>
            <wp:docPr id="2" name="Picture 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5804216" cy="1860070"/>
                    </a:xfrm>
                    <a:prstGeom prst="rect">
                      <a:avLst/>
                    </a:prstGeom>
                  </pic:spPr>
                </pic:pic>
              </a:graphicData>
            </a:graphic>
          </wp:inline>
        </w:drawing>
      </w:r>
    </w:p>
    <w:p w14:paraId="32903D34" w14:textId="0A8DBC53" w:rsidR="00610CE4" w:rsidRPr="00461140" w:rsidRDefault="00610CE4" w:rsidP="00610CE4">
      <w:pPr>
        <w:pStyle w:val="a5"/>
        <w:jc w:val="center"/>
        <w:rPr>
          <w:b w:val="0"/>
          <w:bCs/>
        </w:rPr>
      </w:pPr>
      <w:r w:rsidRPr="001E7AD0">
        <w:rPr>
          <w:b w:val="0"/>
          <w:bCs/>
        </w:rPr>
        <w:t xml:space="preserve">Figure </w:t>
      </w:r>
      <w:r w:rsidRPr="001E7AD0">
        <w:rPr>
          <w:b w:val="0"/>
          <w:bCs/>
        </w:rPr>
        <w:fldChar w:fldCharType="begin"/>
      </w:r>
      <w:r w:rsidRPr="001E7AD0">
        <w:rPr>
          <w:b w:val="0"/>
          <w:bCs/>
        </w:rPr>
        <w:instrText xml:space="preserve"> SEQ Figure \* ARABIC </w:instrText>
      </w:r>
      <w:r w:rsidRPr="001E7AD0">
        <w:rPr>
          <w:b w:val="0"/>
          <w:bCs/>
        </w:rPr>
        <w:fldChar w:fldCharType="separate"/>
      </w:r>
      <w:r w:rsidR="00DD7F3C">
        <w:rPr>
          <w:b w:val="0"/>
          <w:bCs/>
          <w:noProof/>
        </w:rPr>
        <w:t>1</w:t>
      </w:r>
      <w:r w:rsidRPr="001E7AD0">
        <w:rPr>
          <w:b w:val="0"/>
          <w:bCs/>
        </w:rPr>
        <w:fldChar w:fldCharType="end"/>
      </w:r>
      <w:r w:rsidRPr="001E7AD0">
        <w:rPr>
          <w:b w:val="0"/>
          <w:bCs/>
        </w:rPr>
        <w:t xml:space="preserve">: </w:t>
      </w:r>
      <w:r w:rsidR="00AE796E">
        <w:rPr>
          <w:b w:val="0"/>
          <w:bCs/>
        </w:rPr>
        <w:t>SBFD</w:t>
      </w:r>
    </w:p>
    <w:p w14:paraId="3F072460" w14:textId="77777777" w:rsidR="008F0C73" w:rsidRDefault="008F0C73" w:rsidP="007E6055">
      <w:pPr>
        <w:pStyle w:val="a8"/>
        <w:spacing w:before="120"/>
        <w:rPr>
          <w:rFonts w:cs="Arial"/>
          <w:szCs w:val="20"/>
        </w:rPr>
      </w:pPr>
    </w:p>
    <w:p w14:paraId="2A9C75D6" w14:textId="457B3B44" w:rsidR="001E189D" w:rsidRDefault="00A73048" w:rsidP="007E6055">
      <w:pPr>
        <w:pStyle w:val="a8"/>
        <w:spacing w:before="120"/>
        <w:rPr>
          <w:rFonts w:cs="Arial"/>
          <w:szCs w:val="20"/>
        </w:rPr>
      </w:pPr>
      <w:r>
        <w:rPr>
          <w:rFonts w:cs="Arial"/>
          <w:szCs w:val="20"/>
        </w:rPr>
        <w:t xml:space="preserve">In frequency-domain, </w:t>
      </w:r>
      <w:r w:rsidR="001E189D">
        <w:rPr>
          <w:rFonts w:cs="Arial"/>
          <w:szCs w:val="20"/>
        </w:rPr>
        <w:t xml:space="preserve">it can be expected that the SBFD UL subband is </w:t>
      </w:r>
      <w:r w:rsidR="00465BAE">
        <w:rPr>
          <w:rFonts w:cs="Arial"/>
          <w:szCs w:val="20"/>
        </w:rPr>
        <w:t xml:space="preserve">often </w:t>
      </w:r>
      <w:r w:rsidR="001E189D">
        <w:rPr>
          <w:rFonts w:cs="Arial"/>
          <w:szCs w:val="20"/>
        </w:rPr>
        <w:t xml:space="preserve">placed at the center of the BS channel BW which provides most </w:t>
      </w:r>
      <w:r w:rsidR="00610CE4">
        <w:rPr>
          <w:rFonts w:cs="Arial"/>
          <w:szCs w:val="20"/>
        </w:rPr>
        <w:t xml:space="preserve">frequency separation and </w:t>
      </w:r>
      <w:r w:rsidR="001E189D">
        <w:rPr>
          <w:rFonts w:cs="Arial"/>
          <w:szCs w:val="20"/>
        </w:rPr>
        <w:t xml:space="preserve">isolation towards </w:t>
      </w:r>
      <w:r w:rsidR="00610CE4">
        <w:rPr>
          <w:rFonts w:cs="Arial"/>
          <w:szCs w:val="20"/>
        </w:rPr>
        <w:t xml:space="preserve">the adjacent channels in band segments owned by other TDD operator(s). </w:t>
      </w:r>
      <w:r w:rsidR="00147D51">
        <w:rPr>
          <w:rFonts w:cs="Arial"/>
          <w:szCs w:val="20"/>
        </w:rPr>
        <w:t>I</w:t>
      </w:r>
      <w:r w:rsidR="00610CE4">
        <w:rPr>
          <w:rFonts w:cs="Arial"/>
          <w:szCs w:val="20"/>
        </w:rPr>
        <w:t xml:space="preserve">n cases where an operator </w:t>
      </w:r>
      <w:r w:rsidR="00147D51">
        <w:rPr>
          <w:rFonts w:cs="Arial"/>
          <w:szCs w:val="20"/>
        </w:rPr>
        <w:t xml:space="preserve">holds </w:t>
      </w:r>
      <w:r w:rsidR="00610CE4">
        <w:rPr>
          <w:rFonts w:cs="Arial"/>
          <w:szCs w:val="20"/>
        </w:rPr>
        <w:t>a band segment</w:t>
      </w:r>
      <w:r w:rsidR="00147D51">
        <w:rPr>
          <w:rFonts w:cs="Arial"/>
          <w:szCs w:val="20"/>
        </w:rPr>
        <w:t xml:space="preserve"> at the edge of the NR band</w:t>
      </w:r>
      <w:r w:rsidR="00610CE4">
        <w:rPr>
          <w:rFonts w:cs="Arial"/>
          <w:szCs w:val="20"/>
        </w:rPr>
        <w:t xml:space="preserve">, </w:t>
      </w:r>
      <w:r w:rsidR="00147D51">
        <w:rPr>
          <w:rFonts w:cs="Arial"/>
          <w:szCs w:val="20"/>
        </w:rPr>
        <w:t>placing the SBFD UL subband at the edge of the BS channel BW is an alternative.</w:t>
      </w:r>
      <w:r w:rsidR="006351CE">
        <w:rPr>
          <w:rFonts w:cs="Arial"/>
          <w:szCs w:val="20"/>
        </w:rPr>
        <w:t xml:space="preserve"> </w:t>
      </w:r>
      <w:r w:rsidR="006E43E4">
        <w:rPr>
          <w:rFonts w:cs="Arial"/>
          <w:szCs w:val="20"/>
        </w:rPr>
        <w:t xml:space="preserve">There will then be only 1 DL subband. </w:t>
      </w:r>
      <w:r w:rsidR="006351CE">
        <w:rPr>
          <w:rFonts w:cs="Arial"/>
          <w:szCs w:val="20"/>
        </w:rPr>
        <w:t xml:space="preserve">The size of the SBFD UL subband cannot be assumed fixed. At least for evaluation purposes, it may be assumed that the SBFD UL subband is 20 MHz wide, e.g., n78 and </w:t>
      </w:r>
      <w:r w:rsidR="00471E3F">
        <w:rPr>
          <w:rFonts w:cs="Arial"/>
          <w:szCs w:val="20"/>
        </w:rPr>
        <w:t>that</w:t>
      </w:r>
      <w:r w:rsidR="006351CE">
        <w:rPr>
          <w:rFonts w:cs="Arial"/>
          <w:szCs w:val="20"/>
        </w:rPr>
        <w:t xml:space="preserve"> the operator holds a 100 MHz band segment. However, many operators </w:t>
      </w:r>
      <w:r w:rsidR="00471E3F">
        <w:rPr>
          <w:rFonts w:cs="Arial"/>
          <w:szCs w:val="20"/>
        </w:rPr>
        <w:t>own</w:t>
      </w:r>
      <w:r w:rsidR="006351CE">
        <w:rPr>
          <w:rFonts w:cs="Arial"/>
          <w:szCs w:val="20"/>
        </w:rPr>
        <w:t xml:space="preserve"> band segments of smaller size</w:t>
      </w:r>
      <w:r w:rsidR="00471E3F">
        <w:rPr>
          <w:rFonts w:cs="Arial"/>
          <w:szCs w:val="20"/>
        </w:rPr>
        <w:t xml:space="preserve"> in n78</w:t>
      </w:r>
      <w:r w:rsidR="006351CE">
        <w:rPr>
          <w:rFonts w:cs="Arial"/>
          <w:szCs w:val="20"/>
        </w:rPr>
        <w:t xml:space="preserve">, e.g., 40 or 60 MHz, and some </w:t>
      </w:r>
      <w:r w:rsidR="006E43E4">
        <w:rPr>
          <w:rFonts w:cs="Arial"/>
          <w:szCs w:val="20"/>
        </w:rPr>
        <w:t xml:space="preserve">operators </w:t>
      </w:r>
      <w:r w:rsidR="006351CE">
        <w:rPr>
          <w:rFonts w:cs="Arial"/>
          <w:szCs w:val="20"/>
        </w:rPr>
        <w:t xml:space="preserve">may </w:t>
      </w:r>
      <w:r w:rsidR="006E43E4">
        <w:rPr>
          <w:rFonts w:cs="Arial"/>
          <w:szCs w:val="20"/>
        </w:rPr>
        <w:t xml:space="preserve">even </w:t>
      </w:r>
      <w:r w:rsidR="006351CE">
        <w:rPr>
          <w:rFonts w:cs="Arial"/>
          <w:szCs w:val="20"/>
        </w:rPr>
        <w:t xml:space="preserve">hold 2 </w:t>
      </w:r>
      <w:r w:rsidR="003D0F6C">
        <w:rPr>
          <w:rFonts w:cs="Arial"/>
          <w:szCs w:val="20"/>
        </w:rPr>
        <w:t xml:space="preserve">disjoint </w:t>
      </w:r>
      <w:r w:rsidR="006351CE">
        <w:rPr>
          <w:rFonts w:cs="Arial"/>
          <w:szCs w:val="20"/>
        </w:rPr>
        <w:t>band segments in n78</w:t>
      </w:r>
      <w:r w:rsidR="003D0F6C">
        <w:rPr>
          <w:rFonts w:cs="Arial"/>
          <w:szCs w:val="20"/>
        </w:rPr>
        <w:t xml:space="preserve">. This makes it necessary to account for the need to </w:t>
      </w:r>
      <w:r w:rsidR="006E43E4">
        <w:rPr>
          <w:rFonts w:cs="Arial"/>
          <w:szCs w:val="20"/>
        </w:rPr>
        <w:t xml:space="preserve">configure </w:t>
      </w:r>
      <w:r w:rsidR="003D0F6C">
        <w:rPr>
          <w:rFonts w:cs="Arial"/>
          <w:szCs w:val="20"/>
        </w:rPr>
        <w:t>an SBFD UL subband of smaller size than 20 MHz.</w:t>
      </w:r>
    </w:p>
    <w:p w14:paraId="40851570" w14:textId="3B7E59D5" w:rsidR="007E6055" w:rsidRDefault="00A73048" w:rsidP="007E6055">
      <w:pPr>
        <w:pStyle w:val="a8"/>
        <w:spacing w:before="120"/>
        <w:rPr>
          <w:rFonts w:cs="Arial"/>
          <w:szCs w:val="20"/>
        </w:rPr>
      </w:pPr>
      <w:r>
        <w:rPr>
          <w:rFonts w:cs="Arial"/>
          <w:szCs w:val="20"/>
        </w:rPr>
        <w:t xml:space="preserve">In time-domain, not all symbols and slots can be used for </w:t>
      </w:r>
      <w:r w:rsidR="007E6055">
        <w:rPr>
          <w:rFonts w:cs="Arial"/>
          <w:szCs w:val="20"/>
        </w:rPr>
        <w:t>SBFD</w:t>
      </w:r>
      <w:r>
        <w:rPr>
          <w:rFonts w:cs="Arial"/>
          <w:szCs w:val="20"/>
        </w:rPr>
        <w:t xml:space="preserve"> operation</w:t>
      </w:r>
      <w:r w:rsidR="007E6055">
        <w:rPr>
          <w:rFonts w:cs="Arial"/>
          <w:szCs w:val="20"/>
        </w:rPr>
        <w:t xml:space="preserve">. DL symbols carrying </w:t>
      </w:r>
      <w:r>
        <w:rPr>
          <w:rFonts w:cs="Arial"/>
          <w:szCs w:val="20"/>
        </w:rPr>
        <w:t xml:space="preserve">the </w:t>
      </w:r>
      <w:r w:rsidR="007E6055">
        <w:rPr>
          <w:rFonts w:cs="Arial"/>
          <w:szCs w:val="20"/>
        </w:rPr>
        <w:t>SSB(s)</w:t>
      </w:r>
      <w:r>
        <w:rPr>
          <w:rFonts w:cs="Arial"/>
          <w:szCs w:val="20"/>
        </w:rPr>
        <w:t xml:space="preserve">, CORESET0 and PDSCH carrying SIB1 </w:t>
      </w:r>
      <w:r w:rsidR="007E6055">
        <w:rPr>
          <w:rFonts w:cs="Arial"/>
          <w:szCs w:val="20"/>
        </w:rPr>
        <w:t xml:space="preserve">cannot be </w:t>
      </w:r>
      <w:r>
        <w:rPr>
          <w:rFonts w:cs="Arial"/>
          <w:szCs w:val="20"/>
        </w:rPr>
        <w:t xml:space="preserve">used </w:t>
      </w:r>
      <w:r w:rsidR="007E6055">
        <w:rPr>
          <w:rFonts w:cs="Arial"/>
          <w:szCs w:val="20"/>
        </w:rPr>
        <w:t>for UL transmissions</w:t>
      </w:r>
      <w:r>
        <w:rPr>
          <w:rFonts w:cs="Arial"/>
          <w:szCs w:val="20"/>
        </w:rPr>
        <w:t xml:space="preserve"> using the SBFD UL subband due to </w:t>
      </w:r>
      <w:r w:rsidR="006E43E4">
        <w:rPr>
          <w:rFonts w:cs="Arial"/>
          <w:szCs w:val="20"/>
        </w:rPr>
        <w:t xml:space="preserve">UE </w:t>
      </w:r>
      <w:r>
        <w:rPr>
          <w:rFonts w:cs="Arial"/>
          <w:szCs w:val="20"/>
        </w:rPr>
        <w:t>backwards</w:t>
      </w:r>
      <w:r w:rsidR="00465BAE">
        <w:rPr>
          <w:rFonts w:cs="Arial"/>
          <w:szCs w:val="20"/>
        </w:rPr>
        <w:t xml:space="preserve"> </w:t>
      </w:r>
      <w:r>
        <w:rPr>
          <w:rFonts w:cs="Arial"/>
          <w:szCs w:val="20"/>
        </w:rPr>
        <w:t>compatibility</w:t>
      </w:r>
      <w:r w:rsidR="00465BAE">
        <w:rPr>
          <w:rFonts w:cs="Arial"/>
          <w:szCs w:val="20"/>
        </w:rPr>
        <w:t xml:space="preserve"> considerations</w:t>
      </w:r>
      <w:r w:rsidR="007E6055">
        <w:rPr>
          <w:rFonts w:cs="Arial"/>
          <w:szCs w:val="20"/>
        </w:rPr>
        <w:t xml:space="preserve">. </w:t>
      </w:r>
      <w:r w:rsidR="00A16FA6">
        <w:rPr>
          <w:rFonts w:cs="Arial"/>
          <w:szCs w:val="20"/>
        </w:rPr>
        <w:t xml:space="preserve">Considering the UE Rx-Tx and Tx-Rx switching time requirements, this </w:t>
      </w:r>
      <w:r w:rsidR="00465BAE">
        <w:rPr>
          <w:rFonts w:cs="Arial"/>
          <w:szCs w:val="20"/>
        </w:rPr>
        <w:t xml:space="preserve">often </w:t>
      </w:r>
      <w:r w:rsidR="00A16FA6" w:rsidRPr="00A6081E">
        <w:rPr>
          <w:rFonts w:cs="Arial"/>
          <w:szCs w:val="20"/>
        </w:rPr>
        <w:t>implies that</w:t>
      </w:r>
      <w:r w:rsidR="00D33DF5" w:rsidRPr="00A6081E">
        <w:rPr>
          <w:rFonts w:cs="Arial"/>
          <w:szCs w:val="20"/>
        </w:rPr>
        <w:t xml:space="preserve"> </w:t>
      </w:r>
      <w:r w:rsidR="00A16FA6" w:rsidRPr="00A6081E">
        <w:rPr>
          <w:rFonts w:cs="Arial"/>
          <w:szCs w:val="20"/>
        </w:rPr>
        <w:t>DL slot</w:t>
      </w:r>
      <w:r w:rsidR="00D33DF5" w:rsidRPr="00A6081E">
        <w:rPr>
          <w:rFonts w:cs="Arial"/>
          <w:szCs w:val="20"/>
        </w:rPr>
        <w:t>s</w:t>
      </w:r>
      <w:r w:rsidR="00A16FA6" w:rsidRPr="00A6081E">
        <w:rPr>
          <w:rFonts w:cs="Arial"/>
          <w:szCs w:val="20"/>
        </w:rPr>
        <w:t xml:space="preserve"> </w:t>
      </w:r>
      <w:r w:rsidR="006F773E">
        <w:rPr>
          <w:rFonts w:cs="Arial"/>
          <w:szCs w:val="20"/>
        </w:rPr>
        <w:t>including SSBs</w:t>
      </w:r>
      <w:r w:rsidR="00A16FA6">
        <w:rPr>
          <w:rFonts w:cs="Arial"/>
          <w:szCs w:val="20"/>
        </w:rPr>
        <w:t xml:space="preserve"> are not available for SBFD operation </w:t>
      </w:r>
      <w:r w:rsidR="00465BAE">
        <w:rPr>
          <w:rFonts w:cs="Arial"/>
          <w:szCs w:val="20"/>
        </w:rPr>
        <w:t>(</w:t>
      </w:r>
      <w:r w:rsidR="00A16FA6">
        <w:rPr>
          <w:rFonts w:cs="Arial"/>
          <w:szCs w:val="20"/>
        </w:rPr>
        <w:t xml:space="preserve">depending </w:t>
      </w:r>
      <w:r w:rsidR="00A16FA6">
        <w:rPr>
          <w:rFonts w:cs="Arial"/>
          <w:szCs w:val="20"/>
        </w:rPr>
        <w:lastRenderedPageBreak/>
        <w:t>on the number of SSBs configured in the cell</w:t>
      </w:r>
      <w:r w:rsidR="00465BAE">
        <w:rPr>
          <w:rFonts w:cs="Arial"/>
          <w:szCs w:val="20"/>
        </w:rPr>
        <w:t>)</w:t>
      </w:r>
      <w:r w:rsidR="00A16FA6">
        <w:rPr>
          <w:rFonts w:cs="Arial"/>
          <w:szCs w:val="20"/>
        </w:rPr>
        <w:t xml:space="preserve">. SBFD operation </w:t>
      </w:r>
      <w:r w:rsidR="00E572ED">
        <w:rPr>
          <w:rFonts w:cs="Arial"/>
          <w:szCs w:val="20"/>
        </w:rPr>
        <w:t xml:space="preserve">in the </w:t>
      </w:r>
      <w:r w:rsidR="007E6055">
        <w:rPr>
          <w:rFonts w:cs="Arial"/>
          <w:szCs w:val="20"/>
        </w:rPr>
        <w:t xml:space="preserve">UL slot(s) </w:t>
      </w:r>
      <w:r w:rsidR="00A16FA6">
        <w:rPr>
          <w:rFonts w:cs="Arial"/>
          <w:szCs w:val="20"/>
        </w:rPr>
        <w:t xml:space="preserve">of </w:t>
      </w:r>
      <w:r w:rsidR="007E6055">
        <w:rPr>
          <w:rFonts w:cs="Arial"/>
          <w:szCs w:val="20"/>
        </w:rPr>
        <w:t xml:space="preserve">the TDD </w:t>
      </w:r>
      <w:r w:rsidR="00A16FA6">
        <w:rPr>
          <w:rFonts w:cs="Arial"/>
          <w:szCs w:val="20"/>
        </w:rPr>
        <w:t xml:space="preserve">UL-DL </w:t>
      </w:r>
      <w:r w:rsidR="007E6055">
        <w:rPr>
          <w:rFonts w:cs="Arial"/>
          <w:szCs w:val="20"/>
        </w:rPr>
        <w:t>frame configuration</w:t>
      </w:r>
      <w:r w:rsidR="006F773E">
        <w:rPr>
          <w:rFonts w:cs="Arial"/>
          <w:szCs w:val="20"/>
        </w:rPr>
        <w:t>, i.e., introducing DL subband in the UL slot(s),</w:t>
      </w:r>
      <w:r w:rsidR="00A16FA6">
        <w:rPr>
          <w:rFonts w:cs="Arial"/>
          <w:szCs w:val="20"/>
        </w:rPr>
        <w:t xml:space="preserve"> is possible in principl</w:t>
      </w:r>
      <w:r w:rsidR="00C25FC8">
        <w:rPr>
          <w:rFonts w:cs="Arial"/>
          <w:szCs w:val="20"/>
        </w:rPr>
        <w:t xml:space="preserve">e. </w:t>
      </w:r>
      <w:r w:rsidR="00E572ED">
        <w:rPr>
          <w:rFonts w:cs="Arial"/>
          <w:szCs w:val="20"/>
        </w:rPr>
        <w:t>However, a</w:t>
      </w:r>
      <w:r w:rsidR="00C25FC8">
        <w:rPr>
          <w:rFonts w:cs="Arial"/>
          <w:szCs w:val="20"/>
        </w:rPr>
        <w:t xml:space="preserve">ny DL transmission in the UL slot is </w:t>
      </w:r>
      <w:r w:rsidR="00A16FA6">
        <w:rPr>
          <w:rFonts w:cs="Arial"/>
          <w:szCs w:val="20"/>
        </w:rPr>
        <w:t xml:space="preserve">subject to </w:t>
      </w:r>
      <w:r w:rsidR="006F773E">
        <w:rPr>
          <w:rFonts w:cs="Arial"/>
          <w:szCs w:val="20"/>
        </w:rPr>
        <w:t>inter-</w:t>
      </w:r>
      <w:r w:rsidR="00C25FC8">
        <w:rPr>
          <w:rFonts w:cs="Arial"/>
          <w:szCs w:val="20"/>
        </w:rPr>
        <w:t xml:space="preserve">gNB co- and adjacent channel interference which makes the use of SBFD less </w:t>
      </w:r>
      <w:r w:rsidR="00D33DF5">
        <w:rPr>
          <w:rFonts w:cs="Arial"/>
          <w:szCs w:val="20"/>
        </w:rPr>
        <w:t xml:space="preserve">meaningful in practice when considering the </w:t>
      </w:r>
      <w:r w:rsidR="00E572ED">
        <w:rPr>
          <w:rFonts w:cs="Arial"/>
          <w:szCs w:val="20"/>
        </w:rPr>
        <w:t xml:space="preserve">typically </w:t>
      </w:r>
      <w:r w:rsidR="00D33DF5">
        <w:rPr>
          <w:rFonts w:cs="Arial"/>
          <w:szCs w:val="20"/>
        </w:rPr>
        <w:t xml:space="preserve">high </w:t>
      </w:r>
      <w:r w:rsidR="006F773E">
        <w:rPr>
          <w:rFonts w:cs="Arial"/>
          <w:szCs w:val="20"/>
        </w:rPr>
        <w:t xml:space="preserve">DL </w:t>
      </w:r>
      <w:r w:rsidR="00D33DF5">
        <w:rPr>
          <w:rFonts w:cs="Arial"/>
          <w:szCs w:val="20"/>
        </w:rPr>
        <w:t xml:space="preserve">Tx power levels and BTS-BTS interference scenarios </w:t>
      </w:r>
      <w:r w:rsidR="00E572ED">
        <w:rPr>
          <w:rFonts w:cs="Arial"/>
          <w:szCs w:val="20"/>
        </w:rPr>
        <w:t xml:space="preserve">in urban </w:t>
      </w:r>
      <w:r w:rsidR="00D33DF5">
        <w:rPr>
          <w:rFonts w:cs="Arial"/>
          <w:szCs w:val="20"/>
        </w:rPr>
        <w:t>macro and micro cells.</w:t>
      </w:r>
      <w:r w:rsidR="00CC3878">
        <w:rPr>
          <w:rFonts w:cs="Arial"/>
          <w:szCs w:val="20"/>
        </w:rPr>
        <w:t xml:space="preserve"> </w:t>
      </w:r>
      <w:r w:rsidR="006F773E">
        <w:rPr>
          <w:rFonts w:cs="Arial"/>
          <w:szCs w:val="20"/>
        </w:rPr>
        <w:t xml:space="preserve">It </w:t>
      </w:r>
      <w:r w:rsidR="00CC3878">
        <w:rPr>
          <w:rFonts w:cs="Arial"/>
          <w:szCs w:val="20"/>
        </w:rPr>
        <w:t xml:space="preserve">should therefore </w:t>
      </w:r>
      <w:r w:rsidR="00E572ED">
        <w:rPr>
          <w:rFonts w:cs="Arial"/>
          <w:szCs w:val="20"/>
        </w:rPr>
        <w:t xml:space="preserve">be </w:t>
      </w:r>
      <w:r w:rsidR="00CC3878">
        <w:rPr>
          <w:rFonts w:cs="Arial"/>
          <w:szCs w:val="20"/>
        </w:rPr>
        <w:t>assume</w:t>
      </w:r>
      <w:r w:rsidR="00E572ED">
        <w:rPr>
          <w:rFonts w:cs="Arial"/>
          <w:szCs w:val="20"/>
        </w:rPr>
        <w:t>d</w:t>
      </w:r>
      <w:r w:rsidR="00CC3878">
        <w:rPr>
          <w:rFonts w:cs="Arial"/>
          <w:szCs w:val="20"/>
        </w:rPr>
        <w:t xml:space="preserve"> that SBFD</w:t>
      </w:r>
      <w:r w:rsidR="006F773E">
        <w:rPr>
          <w:rFonts w:cs="Arial"/>
          <w:szCs w:val="20"/>
        </w:rPr>
        <w:t xml:space="preserve"> DL subband</w:t>
      </w:r>
      <w:r w:rsidR="00CC3878">
        <w:rPr>
          <w:rFonts w:cs="Arial"/>
          <w:szCs w:val="20"/>
        </w:rPr>
        <w:t xml:space="preserve"> is not configured in UL slots or symbols.</w:t>
      </w:r>
    </w:p>
    <w:p w14:paraId="6468BE19" w14:textId="401C2D3B" w:rsidR="00D33DF5" w:rsidRDefault="00D33DF5" w:rsidP="007E6055">
      <w:pPr>
        <w:pStyle w:val="a8"/>
        <w:spacing w:before="120"/>
        <w:rPr>
          <w:rFonts w:cs="Arial"/>
          <w:szCs w:val="20"/>
        </w:rPr>
      </w:pPr>
      <w:r>
        <w:rPr>
          <w:rFonts w:cs="Arial"/>
          <w:szCs w:val="20"/>
        </w:rPr>
        <w:t xml:space="preserve">gNB configurability </w:t>
      </w:r>
      <w:r w:rsidR="006351CE">
        <w:rPr>
          <w:rFonts w:cs="Arial"/>
          <w:szCs w:val="20"/>
        </w:rPr>
        <w:t xml:space="preserve">of the </w:t>
      </w:r>
      <w:r>
        <w:rPr>
          <w:rFonts w:cs="Arial"/>
          <w:szCs w:val="20"/>
        </w:rPr>
        <w:t xml:space="preserve">frequency-domain occupation of the SBFD UL subband </w:t>
      </w:r>
      <w:r w:rsidR="00E572ED">
        <w:rPr>
          <w:rFonts w:cs="Arial"/>
          <w:szCs w:val="20"/>
        </w:rPr>
        <w:t xml:space="preserve">in the BS channel BW </w:t>
      </w:r>
      <w:r>
        <w:rPr>
          <w:rFonts w:cs="Arial"/>
          <w:szCs w:val="20"/>
        </w:rPr>
        <w:t xml:space="preserve">and the </w:t>
      </w:r>
      <w:r w:rsidR="006351CE">
        <w:rPr>
          <w:rFonts w:cs="Arial"/>
          <w:szCs w:val="20"/>
        </w:rPr>
        <w:t xml:space="preserve">time-domain resources in which the SBFD UL subband can be scheduled </w:t>
      </w:r>
      <w:r w:rsidR="00CC3878">
        <w:rPr>
          <w:rFonts w:cs="Arial"/>
          <w:szCs w:val="20"/>
        </w:rPr>
        <w:t xml:space="preserve">by the gNB </w:t>
      </w:r>
      <w:r w:rsidR="006351CE">
        <w:rPr>
          <w:rFonts w:cs="Arial"/>
          <w:szCs w:val="20"/>
        </w:rPr>
        <w:t>is therefore necessary.</w:t>
      </w:r>
      <w:r w:rsidR="003D0F6C">
        <w:rPr>
          <w:rFonts w:cs="Arial"/>
          <w:szCs w:val="20"/>
        </w:rPr>
        <w:t xml:space="preserve"> Note that this does not </w:t>
      </w:r>
      <w:r w:rsidR="00E572ED">
        <w:rPr>
          <w:rFonts w:cs="Arial"/>
          <w:szCs w:val="20"/>
        </w:rPr>
        <w:t xml:space="preserve">necessarily </w:t>
      </w:r>
      <w:r w:rsidR="003D0F6C">
        <w:rPr>
          <w:rFonts w:cs="Arial"/>
          <w:szCs w:val="20"/>
        </w:rPr>
        <w:t xml:space="preserve">imply that the UE is aware of the </w:t>
      </w:r>
      <w:r w:rsidR="00880B24">
        <w:rPr>
          <w:rFonts w:cs="Arial"/>
          <w:szCs w:val="20"/>
        </w:rPr>
        <w:t xml:space="preserve">SBFD </w:t>
      </w:r>
      <w:r w:rsidR="003D0F6C">
        <w:rPr>
          <w:rFonts w:cs="Arial"/>
          <w:szCs w:val="20"/>
        </w:rPr>
        <w:t>UL subband configuration</w:t>
      </w:r>
      <w:r w:rsidR="00F66086">
        <w:rPr>
          <w:rFonts w:cs="Arial"/>
          <w:szCs w:val="20"/>
        </w:rPr>
        <w:t xml:space="preserve">, although in our view there are </w:t>
      </w:r>
      <w:r w:rsidR="00E572ED">
        <w:rPr>
          <w:rFonts w:cs="Arial"/>
          <w:szCs w:val="20"/>
        </w:rPr>
        <w:t xml:space="preserve">several </w:t>
      </w:r>
      <w:r w:rsidR="00F66086">
        <w:rPr>
          <w:rFonts w:cs="Arial"/>
          <w:szCs w:val="20"/>
        </w:rPr>
        <w:t xml:space="preserve">benefits to providing the UE with the SBFD UL subband configuration in the cell </w:t>
      </w:r>
      <w:r w:rsidR="00E572ED">
        <w:rPr>
          <w:rFonts w:cs="Arial"/>
          <w:szCs w:val="20"/>
        </w:rPr>
        <w:t>(</w:t>
      </w:r>
      <w:r w:rsidR="00633598">
        <w:rPr>
          <w:rFonts w:cs="Arial"/>
          <w:szCs w:val="20"/>
        </w:rPr>
        <w:t xml:space="preserve">as </w:t>
      </w:r>
      <w:r w:rsidR="00F66086">
        <w:rPr>
          <w:rFonts w:cs="Arial"/>
          <w:szCs w:val="20"/>
        </w:rPr>
        <w:t>further discussed in Section 4</w:t>
      </w:r>
      <w:r w:rsidR="00E572ED">
        <w:rPr>
          <w:rFonts w:cs="Arial"/>
          <w:szCs w:val="20"/>
        </w:rPr>
        <w:t>)</w:t>
      </w:r>
      <w:r w:rsidR="00F66086">
        <w:rPr>
          <w:rFonts w:cs="Arial"/>
          <w:szCs w:val="20"/>
        </w:rPr>
        <w:t>.</w:t>
      </w:r>
    </w:p>
    <w:p w14:paraId="119B5020" w14:textId="2E7D7FE6" w:rsidR="003D0F6C" w:rsidRPr="003D0F6C" w:rsidRDefault="003D0F6C" w:rsidP="003D0F6C">
      <w:pPr>
        <w:pStyle w:val="Proposal"/>
        <w:spacing w:before="120"/>
      </w:pPr>
      <w:r>
        <w:rPr>
          <w:color w:val="000000" w:themeColor="text1"/>
        </w:rPr>
        <w:t xml:space="preserve">The </w:t>
      </w:r>
      <w:r w:rsidR="00F66086">
        <w:rPr>
          <w:color w:val="000000" w:themeColor="text1"/>
        </w:rPr>
        <w:t xml:space="preserve">SBFD </w:t>
      </w:r>
      <w:r>
        <w:rPr>
          <w:color w:val="000000" w:themeColor="text1"/>
        </w:rPr>
        <w:t xml:space="preserve">frequency-domain occupation, e.g., </w:t>
      </w:r>
      <w:r w:rsidR="00F66086">
        <w:rPr>
          <w:color w:val="000000" w:themeColor="text1"/>
        </w:rPr>
        <w:t xml:space="preserve">the </w:t>
      </w:r>
      <w:r>
        <w:rPr>
          <w:color w:val="000000" w:themeColor="text1"/>
        </w:rPr>
        <w:t xml:space="preserve">location and </w:t>
      </w:r>
      <w:r w:rsidR="00E572ED">
        <w:rPr>
          <w:color w:val="000000" w:themeColor="text1"/>
        </w:rPr>
        <w:t>band</w:t>
      </w:r>
      <w:r w:rsidR="00F66086">
        <w:rPr>
          <w:color w:val="000000" w:themeColor="text1"/>
        </w:rPr>
        <w:t xml:space="preserve">width </w:t>
      </w:r>
      <w:r>
        <w:rPr>
          <w:color w:val="000000" w:themeColor="text1"/>
        </w:rPr>
        <w:t>of the SBFD UL subband in the BS channel BW is configurable</w:t>
      </w:r>
      <w:r w:rsidR="00F66086">
        <w:rPr>
          <w:color w:val="000000" w:themeColor="text1"/>
        </w:rPr>
        <w:t>.</w:t>
      </w:r>
    </w:p>
    <w:p w14:paraId="3FF93A65" w14:textId="5035AA79" w:rsidR="00F66086" w:rsidRPr="006E43E4" w:rsidRDefault="00F66086" w:rsidP="00F66086">
      <w:pPr>
        <w:pStyle w:val="Proposal"/>
        <w:spacing w:before="120"/>
      </w:pPr>
      <w:r>
        <w:rPr>
          <w:color w:val="000000" w:themeColor="text1"/>
        </w:rPr>
        <w:t>The SBFD time-domain resources, e.g., the symbols/slots of the TDD UL-DL frame configuration in which the SBFD UL subband can be scheduled are configurable.</w:t>
      </w:r>
    </w:p>
    <w:p w14:paraId="745E78D7" w14:textId="77777777" w:rsidR="001A4D2F" w:rsidRDefault="001A4D2F" w:rsidP="0088769B">
      <w:pPr>
        <w:jc w:val="both"/>
      </w:pPr>
    </w:p>
    <w:p w14:paraId="589F659F" w14:textId="36327673" w:rsidR="00CA0CD7" w:rsidRDefault="001A4D2F" w:rsidP="00CA0CD7">
      <w:pPr>
        <w:spacing w:before="120" w:after="120"/>
        <w:jc w:val="both"/>
      </w:pPr>
      <w:r>
        <w:t xml:space="preserve">When SBFD is supported by the gNB in the NR TDD cell, </w:t>
      </w:r>
      <w:r w:rsidR="00B306CE">
        <w:t xml:space="preserve">different </w:t>
      </w:r>
      <w:r w:rsidR="004846CA">
        <w:t xml:space="preserve">approaches </w:t>
      </w:r>
      <w:r w:rsidR="003C7EA0">
        <w:t xml:space="preserve">for the network </w:t>
      </w:r>
      <w:r w:rsidR="002F4B8D">
        <w:t xml:space="preserve">to </w:t>
      </w:r>
      <w:r w:rsidR="003C7EA0">
        <w:t xml:space="preserve">configure the UE </w:t>
      </w:r>
      <w:r w:rsidR="009B1717">
        <w:t>(Figure 2)</w:t>
      </w:r>
      <w:r w:rsidR="00B306CE">
        <w:t xml:space="preserve"> are possible</w:t>
      </w:r>
      <w:r w:rsidR="002F4B8D">
        <w:t>.</w:t>
      </w:r>
      <w:r w:rsidR="00930D56">
        <w:t xml:space="preserve"> </w:t>
      </w:r>
      <w:r w:rsidR="00954133">
        <w:t xml:space="preserve">The </w:t>
      </w:r>
      <w:r w:rsidR="00CA0CD7">
        <w:t>simplest</w:t>
      </w:r>
      <w:r w:rsidR="00B306CE">
        <w:t xml:space="preserve"> </w:t>
      </w:r>
      <w:r w:rsidR="004846CA">
        <w:t xml:space="preserve">approach </w:t>
      </w:r>
      <w:r w:rsidR="00954133">
        <w:t>is that t</w:t>
      </w:r>
      <w:r w:rsidR="002F4B8D">
        <w:t>he gNB configure</w:t>
      </w:r>
      <w:r w:rsidR="00CA0CD7">
        <w:t>s</w:t>
      </w:r>
      <w:r w:rsidR="002F4B8D">
        <w:t xml:space="preserve"> </w:t>
      </w:r>
      <w:r>
        <w:t xml:space="preserve">the SBFD UL subband </w:t>
      </w:r>
      <w:r w:rsidR="002F4B8D">
        <w:t xml:space="preserve">and the DL subband(s) </w:t>
      </w:r>
      <w:r w:rsidR="00B306CE">
        <w:t xml:space="preserve">for the UE </w:t>
      </w:r>
      <w:r>
        <w:t>in</w:t>
      </w:r>
      <w:r w:rsidR="00B306CE">
        <w:t>side</w:t>
      </w:r>
      <w:r>
        <w:t xml:space="preserve"> the UE channel BW</w:t>
      </w:r>
      <w:r w:rsidR="002F4B8D">
        <w:t xml:space="preserve">, e.g., </w:t>
      </w:r>
      <w:r w:rsidR="004846CA">
        <w:t xml:space="preserve">using </w:t>
      </w:r>
      <w:r w:rsidR="002F4B8D">
        <w:t>single-carrier operation with SBFD in the serving cell</w:t>
      </w:r>
      <w:r w:rsidR="00B306CE">
        <w:t xml:space="preserve"> (Figure 2)</w:t>
      </w:r>
      <w:r w:rsidR="002F4B8D">
        <w:t xml:space="preserve">. </w:t>
      </w:r>
      <w:r w:rsidR="0018551A">
        <w:t xml:space="preserve">A </w:t>
      </w:r>
      <w:r w:rsidR="00CA0CD7">
        <w:t xml:space="preserve">possibility </w:t>
      </w:r>
      <w:r w:rsidR="0018551A">
        <w:t xml:space="preserve">is </w:t>
      </w:r>
      <w:r w:rsidR="00B32F9E">
        <w:t xml:space="preserve">to configure the SBFD UL subband </w:t>
      </w:r>
      <w:r w:rsidR="00CA0CD7">
        <w:t xml:space="preserve">for the UE </w:t>
      </w:r>
      <w:r w:rsidR="00546EA7">
        <w:t xml:space="preserve">by means of a </w:t>
      </w:r>
      <w:r w:rsidR="0018551A">
        <w:t>SUL</w:t>
      </w:r>
      <w:r w:rsidR="00C47084">
        <w:t xml:space="preserve"> configuration</w:t>
      </w:r>
      <w:r w:rsidR="00310ACB">
        <w:t>.</w:t>
      </w:r>
      <w:r w:rsidR="00310ACB" w:rsidRPr="00404F42">
        <w:t xml:space="preserve"> </w:t>
      </w:r>
      <w:r w:rsidR="004630AD">
        <w:t>Another approach is the use of intra-band CA</w:t>
      </w:r>
      <w:r w:rsidR="006A2E52">
        <w:t xml:space="preserve"> for SBFD</w:t>
      </w:r>
      <w:r w:rsidR="004630AD">
        <w:t xml:space="preserve"> (Figure 3).</w:t>
      </w:r>
    </w:p>
    <w:p w14:paraId="60CD0025" w14:textId="2936B6BB" w:rsidR="00024DD6" w:rsidRDefault="00024DD6" w:rsidP="008773E6">
      <w:pPr>
        <w:spacing w:before="120" w:after="120"/>
        <w:jc w:val="both"/>
        <w:rPr>
          <w:color w:val="000000" w:themeColor="text1"/>
        </w:rPr>
      </w:pPr>
    </w:p>
    <w:p w14:paraId="1622BBC3" w14:textId="336EC5B2" w:rsidR="00B306CE" w:rsidRDefault="00B306CE" w:rsidP="0082097C">
      <w:pPr>
        <w:spacing w:before="120" w:after="120"/>
        <w:jc w:val="center"/>
        <w:rPr>
          <w:bCs/>
        </w:rPr>
      </w:pPr>
      <w:r>
        <w:rPr>
          <w:bCs/>
          <w:noProof/>
          <w:lang w:eastAsia="ko-KR"/>
        </w:rPr>
        <w:drawing>
          <wp:inline distT="0" distB="0" distL="0" distR="0" wp14:anchorId="3BA30705" wp14:editId="31D29708">
            <wp:extent cx="5653201" cy="2753582"/>
            <wp:effectExtent l="0" t="0" r="0" b="2540"/>
            <wp:docPr id="3" name="Picture 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 bar chart&#10;&#10;Description automatically generated"/>
                    <pic:cNvPicPr/>
                  </pic:nvPicPr>
                  <pic:blipFill>
                    <a:blip r:embed="rId9" cstate="print">
                      <a:extLst>
                        <a:ext uri="{28A0092B-C50C-407E-A947-70E740481C1C}">
                          <a14:useLocalDpi xmlns:a14="http://schemas.microsoft.com/office/drawing/2010/main" val="0"/>
                        </a:ext>
                      </a:extLst>
                    </a:blip>
                    <a:stretch>
                      <a:fillRect/>
                    </a:stretch>
                  </pic:blipFill>
                  <pic:spPr>
                    <a:xfrm>
                      <a:off x="0" y="0"/>
                      <a:ext cx="5755773" cy="2803543"/>
                    </a:xfrm>
                    <a:prstGeom prst="rect">
                      <a:avLst/>
                    </a:prstGeom>
                  </pic:spPr>
                </pic:pic>
              </a:graphicData>
            </a:graphic>
          </wp:inline>
        </w:drawing>
      </w:r>
    </w:p>
    <w:p w14:paraId="0FB63D0D" w14:textId="7AFBBFD3" w:rsidR="0088769B" w:rsidRDefault="00B306CE" w:rsidP="0082097C">
      <w:pPr>
        <w:spacing w:before="120" w:after="120"/>
        <w:jc w:val="center"/>
        <w:rPr>
          <w:color w:val="000000" w:themeColor="text1"/>
        </w:rPr>
      </w:pPr>
      <w:r w:rsidRPr="001E7AD0">
        <w:rPr>
          <w:bCs/>
        </w:rPr>
        <w:t xml:space="preserve">Figure </w:t>
      </w:r>
      <w:r w:rsidRPr="001E7AD0">
        <w:rPr>
          <w:b/>
          <w:bCs/>
        </w:rPr>
        <w:fldChar w:fldCharType="begin"/>
      </w:r>
      <w:r w:rsidRPr="001E7AD0">
        <w:rPr>
          <w:bCs/>
        </w:rPr>
        <w:instrText xml:space="preserve"> SEQ Figure \* ARABIC </w:instrText>
      </w:r>
      <w:r w:rsidRPr="001E7AD0">
        <w:rPr>
          <w:b/>
          <w:bCs/>
        </w:rPr>
        <w:fldChar w:fldCharType="separate"/>
      </w:r>
      <w:r w:rsidR="00DD7F3C">
        <w:rPr>
          <w:bCs/>
          <w:noProof/>
        </w:rPr>
        <w:t>2</w:t>
      </w:r>
      <w:r w:rsidRPr="001E7AD0">
        <w:rPr>
          <w:b/>
          <w:bCs/>
        </w:rPr>
        <w:fldChar w:fldCharType="end"/>
      </w:r>
      <w:r w:rsidRPr="001E7AD0">
        <w:rPr>
          <w:bCs/>
        </w:rPr>
        <w:t xml:space="preserve">: </w:t>
      </w:r>
      <w:r w:rsidRPr="003D495D">
        <w:rPr>
          <w:bCs/>
        </w:rPr>
        <w:t>SBFD using single carrier</w:t>
      </w:r>
      <w:r>
        <w:rPr>
          <w:bCs/>
        </w:rPr>
        <w:t xml:space="preserve"> or configured as </w:t>
      </w:r>
      <w:r w:rsidRPr="003D495D">
        <w:rPr>
          <w:bCs/>
        </w:rPr>
        <w:t>SUL</w:t>
      </w:r>
    </w:p>
    <w:p w14:paraId="4E37C5D9" w14:textId="4D89D8EB" w:rsidR="0082097C" w:rsidRDefault="0082097C" w:rsidP="00B306CE">
      <w:pPr>
        <w:spacing w:before="120" w:after="120"/>
        <w:rPr>
          <w:color w:val="000000" w:themeColor="text1"/>
        </w:rPr>
      </w:pPr>
    </w:p>
    <w:p w14:paraId="3C53883D" w14:textId="5099AD9B" w:rsidR="00B306CE" w:rsidRDefault="00B306CE" w:rsidP="00B306CE">
      <w:pPr>
        <w:spacing w:before="120" w:after="120"/>
        <w:jc w:val="center"/>
        <w:rPr>
          <w:color w:val="000000" w:themeColor="text1"/>
        </w:rPr>
      </w:pPr>
      <w:r>
        <w:rPr>
          <w:noProof/>
          <w:color w:val="000000" w:themeColor="text1"/>
          <w:lang w:eastAsia="ko-KR"/>
        </w:rPr>
        <w:lastRenderedPageBreak/>
        <w:drawing>
          <wp:inline distT="0" distB="0" distL="0" distR="0" wp14:anchorId="32A5F4A4" wp14:editId="21C6E84E">
            <wp:extent cx="5397113" cy="2683718"/>
            <wp:effectExtent l="0" t="0" r="635" b="0"/>
            <wp:docPr id="5" name="Picture 5" descr="Diagram, tab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Diagram, table&#10;&#10;Description automatically generated with medium confidenc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478362" cy="2724119"/>
                    </a:xfrm>
                    <a:prstGeom prst="rect">
                      <a:avLst/>
                    </a:prstGeom>
                  </pic:spPr>
                </pic:pic>
              </a:graphicData>
            </a:graphic>
          </wp:inline>
        </w:drawing>
      </w:r>
    </w:p>
    <w:p w14:paraId="5D50D75D" w14:textId="71A6F75B" w:rsidR="0088769B" w:rsidRPr="00461140" w:rsidRDefault="0088769B" w:rsidP="0088769B">
      <w:pPr>
        <w:pStyle w:val="a5"/>
        <w:jc w:val="center"/>
        <w:rPr>
          <w:b w:val="0"/>
          <w:bCs/>
        </w:rPr>
      </w:pPr>
      <w:r w:rsidRPr="001E7AD0">
        <w:rPr>
          <w:b w:val="0"/>
          <w:bCs/>
        </w:rPr>
        <w:t xml:space="preserve">Figure </w:t>
      </w:r>
      <w:r w:rsidRPr="001E7AD0">
        <w:rPr>
          <w:b w:val="0"/>
          <w:bCs/>
        </w:rPr>
        <w:fldChar w:fldCharType="begin"/>
      </w:r>
      <w:r w:rsidRPr="001E7AD0">
        <w:rPr>
          <w:b w:val="0"/>
          <w:bCs/>
        </w:rPr>
        <w:instrText xml:space="preserve"> SEQ Figure \* ARABIC </w:instrText>
      </w:r>
      <w:r w:rsidRPr="001E7AD0">
        <w:rPr>
          <w:b w:val="0"/>
          <w:bCs/>
        </w:rPr>
        <w:fldChar w:fldCharType="separate"/>
      </w:r>
      <w:r w:rsidR="00DD7F3C">
        <w:rPr>
          <w:b w:val="0"/>
          <w:bCs/>
          <w:noProof/>
        </w:rPr>
        <w:t>3</w:t>
      </w:r>
      <w:r w:rsidRPr="001E7AD0">
        <w:rPr>
          <w:b w:val="0"/>
          <w:bCs/>
        </w:rPr>
        <w:fldChar w:fldCharType="end"/>
      </w:r>
      <w:r w:rsidRPr="001E7AD0">
        <w:rPr>
          <w:b w:val="0"/>
          <w:bCs/>
        </w:rPr>
        <w:t xml:space="preserve">: </w:t>
      </w:r>
      <w:r w:rsidR="00633598" w:rsidRPr="003D495D">
        <w:rPr>
          <w:b w:val="0"/>
          <w:bCs/>
        </w:rPr>
        <w:t xml:space="preserve">SBFD </w:t>
      </w:r>
      <w:r w:rsidR="003465C7" w:rsidRPr="003D495D">
        <w:rPr>
          <w:b w:val="0"/>
          <w:bCs/>
        </w:rPr>
        <w:t xml:space="preserve">using intra-band </w:t>
      </w:r>
      <w:r w:rsidR="00495395" w:rsidRPr="003D495D">
        <w:rPr>
          <w:b w:val="0"/>
          <w:bCs/>
        </w:rPr>
        <w:t>CA</w:t>
      </w:r>
    </w:p>
    <w:p w14:paraId="794C1E5E" w14:textId="63538CD5" w:rsidR="00546EA7" w:rsidRDefault="00546EA7" w:rsidP="008773E6">
      <w:pPr>
        <w:spacing w:before="120" w:after="120"/>
        <w:jc w:val="both"/>
        <w:rPr>
          <w:color w:val="000000" w:themeColor="text1"/>
        </w:rPr>
      </w:pPr>
    </w:p>
    <w:p w14:paraId="5F75310F" w14:textId="320D26FD" w:rsidR="000E5204" w:rsidRDefault="000E5204" w:rsidP="008773E6">
      <w:pPr>
        <w:spacing w:before="120" w:after="120"/>
        <w:jc w:val="both"/>
        <w:rPr>
          <w:color w:val="000000" w:themeColor="text1"/>
        </w:rPr>
      </w:pPr>
      <w:r>
        <w:rPr>
          <w:color w:val="000000" w:themeColor="text1"/>
        </w:rPr>
        <w:t xml:space="preserve">Using FR1 intra-band </w:t>
      </w:r>
      <w:r w:rsidR="00A45402">
        <w:rPr>
          <w:color w:val="000000" w:themeColor="text1"/>
        </w:rPr>
        <w:t xml:space="preserve">TDD </w:t>
      </w:r>
      <w:r>
        <w:rPr>
          <w:color w:val="000000" w:themeColor="text1"/>
        </w:rPr>
        <w:t xml:space="preserve">carrier </w:t>
      </w:r>
      <w:r w:rsidRPr="004846CA">
        <w:rPr>
          <w:color w:val="000000" w:themeColor="text1"/>
        </w:rPr>
        <w:t>aggregation</w:t>
      </w:r>
      <w:r>
        <w:rPr>
          <w:color w:val="000000" w:themeColor="text1"/>
        </w:rPr>
        <w:t xml:space="preserve"> for SBFD, either </w:t>
      </w:r>
      <w:r>
        <w:t xml:space="preserve">2 or 3 CCs </w:t>
      </w:r>
      <w:r>
        <w:rPr>
          <w:color w:val="000000" w:themeColor="text1"/>
        </w:rPr>
        <w:t xml:space="preserve">need to be </w:t>
      </w:r>
      <w:r w:rsidRPr="004846CA">
        <w:rPr>
          <w:color w:val="000000" w:themeColor="text1"/>
        </w:rPr>
        <w:t>configured for the UE in the aggregated BS channel BW</w:t>
      </w:r>
      <w:r>
        <w:rPr>
          <w:color w:val="000000" w:themeColor="text1"/>
        </w:rPr>
        <w:t xml:space="preserve">. </w:t>
      </w:r>
      <w:r>
        <w:t>With 2 CC contiguous intra-band TDD CA, t</w:t>
      </w:r>
      <w:r w:rsidRPr="004846CA">
        <w:rPr>
          <w:color w:val="000000" w:themeColor="text1"/>
        </w:rPr>
        <w:t xml:space="preserve">he SBFD UL subband </w:t>
      </w:r>
      <w:r>
        <w:rPr>
          <w:color w:val="000000" w:themeColor="text1"/>
        </w:rPr>
        <w:t xml:space="preserve">must be </w:t>
      </w:r>
      <w:r w:rsidRPr="004846CA">
        <w:rPr>
          <w:color w:val="000000" w:themeColor="text1"/>
        </w:rPr>
        <w:t>contained in the transmission BW configuration of one of the 2 CCs</w:t>
      </w:r>
      <w:r>
        <w:rPr>
          <w:color w:val="000000" w:themeColor="text1"/>
        </w:rPr>
        <w:t xml:space="preserve"> (approach 3a in Figure 3)</w:t>
      </w:r>
      <w:r w:rsidRPr="004846CA">
        <w:rPr>
          <w:color w:val="000000" w:themeColor="text1"/>
        </w:rPr>
        <w:t>.</w:t>
      </w:r>
      <w:r>
        <w:rPr>
          <w:color w:val="000000" w:themeColor="text1"/>
        </w:rPr>
        <w:t xml:space="preserve"> </w:t>
      </w:r>
      <w:r w:rsidRPr="004846CA">
        <w:rPr>
          <w:color w:val="000000" w:themeColor="text1"/>
        </w:rPr>
        <w:t>It is possible to configure two non-contiguous CCs, but then parts of the available DL BW are not schedulable for the UE.</w:t>
      </w:r>
      <w:r>
        <w:rPr>
          <w:color w:val="000000" w:themeColor="text1"/>
        </w:rPr>
        <w:t xml:space="preserve"> With 3 CCs intra-band TDD CA, the SBFD UL subband is configured with an UL-heavy UL-DL frame configuration in one of the CCs and the </w:t>
      </w:r>
      <w:r>
        <w:t>DL subband(s) using are configured as the 2 remaining CCs (approach 3b in Figure 3)</w:t>
      </w:r>
      <w:r w:rsidR="00EE0EBF">
        <w:t xml:space="preserve">. When intra-band TDD CA is configured for the UE, it is in principle possible to configure the DL BWPs corresponding to the DL subbands independently from the </w:t>
      </w:r>
      <w:r w:rsidR="001A058D">
        <w:t>size of the SBFD UL subband</w:t>
      </w:r>
      <w:r w:rsidR="004D498C">
        <w:t xml:space="preserve">, use features </w:t>
      </w:r>
      <w:r w:rsidR="00EE0EBF">
        <w:t xml:space="preserve">such as R16 SCell Dormancy </w:t>
      </w:r>
      <w:r w:rsidR="001A058D">
        <w:t xml:space="preserve">for reception in the DL subbands, </w:t>
      </w:r>
      <w:r w:rsidR="004D498C">
        <w:t>or configure the CCs with unaligned frame boundaries and the slot offset.</w:t>
      </w:r>
    </w:p>
    <w:p w14:paraId="2804E58F" w14:textId="408938E6" w:rsidR="000E5204" w:rsidRDefault="00DF4085" w:rsidP="000E5204">
      <w:pPr>
        <w:spacing w:before="120" w:after="120"/>
        <w:jc w:val="both"/>
      </w:pPr>
      <w:r>
        <w:rPr>
          <w:color w:val="000000" w:themeColor="text1"/>
        </w:rPr>
        <w:t xml:space="preserve">However, </w:t>
      </w:r>
      <w:r w:rsidR="00AD342A" w:rsidRPr="004846CA">
        <w:rPr>
          <w:color w:val="000000" w:themeColor="text1"/>
        </w:rPr>
        <w:t xml:space="preserve">the use of </w:t>
      </w:r>
      <w:r w:rsidR="00555177" w:rsidRPr="004846CA">
        <w:rPr>
          <w:color w:val="000000" w:themeColor="text1"/>
        </w:rPr>
        <w:t xml:space="preserve">FR1 </w:t>
      </w:r>
      <w:r w:rsidR="00AD342A" w:rsidRPr="004846CA">
        <w:rPr>
          <w:color w:val="000000" w:themeColor="text1"/>
        </w:rPr>
        <w:t xml:space="preserve">intra-band CA for purpose of </w:t>
      </w:r>
      <w:r w:rsidR="00CD5720" w:rsidRPr="004846CA">
        <w:rPr>
          <w:color w:val="000000" w:themeColor="text1"/>
        </w:rPr>
        <w:t xml:space="preserve">enabling </w:t>
      </w:r>
      <w:r w:rsidR="00AD342A" w:rsidRPr="004846CA">
        <w:rPr>
          <w:color w:val="000000" w:themeColor="text1"/>
        </w:rPr>
        <w:t xml:space="preserve">SBFD operation </w:t>
      </w:r>
      <w:r w:rsidR="00CD5720" w:rsidRPr="004846CA">
        <w:rPr>
          <w:color w:val="000000" w:themeColor="text1"/>
        </w:rPr>
        <w:t xml:space="preserve">in </w:t>
      </w:r>
      <w:r w:rsidR="00546EA7" w:rsidRPr="004846CA">
        <w:rPr>
          <w:color w:val="000000" w:themeColor="text1"/>
        </w:rPr>
        <w:t xml:space="preserve">the </w:t>
      </w:r>
      <w:r w:rsidR="00CD5720" w:rsidRPr="004846CA">
        <w:rPr>
          <w:color w:val="000000" w:themeColor="text1"/>
        </w:rPr>
        <w:t xml:space="preserve">NR band </w:t>
      </w:r>
      <w:r w:rsidR="00AD342A" w:rsidRPr="004846CA">
        <w:rPr>
          <w:color w:val="000000" w:themeColor="text1"/>
        </w:rPr>
        <w:t xml:space="preserve">is </w:t>
      </w:r>
      <w:r>
        <w:rPr>
          <w:color w:val="000000" w:themeColor="text1"/>
        </w:rPr>
        <w:t xml:space="preserve">significantly </w:t>
      </w:r>
      <w:r w:rsidR="003465C7" w:rsidRPr="004846CA">
        <w:rPr>
          <w:color w:val="000000" w:themeColor="text1"/>
        </w:rPr>
        <w:t xml:space="preserve">more </w:t>
      </w:r>
      <w:r w:rsidR="00AD342A" w:rsidRPr="004846CA">
        <w:rPr>
          <w:color w:val="000000" w:themeColor="text1"/>
        </w:rPr>
        <w:t>challenging</w:t>
      </w:r>
      <w:r w:rsidR="003465C7" w:rsidRPr="004846CA">
        <w:rPr>
          <w:color w:val="000000" w:themeColor="text1"/>
        </w:rPr>
        <w:t xml:space="preserve"> than </w:t>
      </w:r>
      <w:r>
        <w:rPr>
          <w:color w:val="000000" w:themeColor="text1"/>
        </w:rPr>
        <w:t xml:space="preserve">using a </w:t>
      </w:r>
      <w:r w:rsidR="003465C7" w:rsidRPr="004846CA">
        <w:rPr>
          <w:color w:val="000000" w:themeColor="text1"/>
        </w:rPr>
        <w:t>single</w:t>
      </w:r>
      <w:r>
        <w:rPr>
          <w:color w:val="000000" w:themeColor="text1"/>
        </w:rPr>
        <w:t xml:space="preserve"> NR </w:t>
      </w:r>
      <w:r w:rsidR="003465C7" w:rsidRPr="004846CA">
        <w:rPr>
          <w:color w:val="000000" w:themeColor="text1"/>
        </w:rPr>
        <w:t>carrier</w:t>
      </w:r>
      <w:r w:rsidR="00AD342A" w:rsidRPr="004846CA">
        <w:rPr>
          <w:color w:val="000000" w:themeColor="text1"/>
        </w:rPr>
        <w:t>.</w:t>
      </w:r>
      <w:r w:rsidR="00D033F5">
        <w:rPr>
          <w:color w:val="000000" w:themeColor="text1"/>
        </w:rPr>
        <w:t xml:space="preserve"> </w:t>
      </w:r>
      <w:r w:rsidR="003D495D" w:rsidRPr="004846CA">
        <w:rPr>
          <w:color w:val="000000" w:themeColor="text1"/>
        </w:rPr>
        <w:t>UE complexity is increased</w:t>
      </w:r>
      <w:r w:rsidR="00546EA7" w:rsidRPr="004846CA">
        <w:rPr>
          <w:color w:val="000000" w:themeColor="text1"/>
        </w:rPr>
        <w:t xml:space="preserve"> when </w:t>
      </w:r>
      <w:r w:rsidR="001A058D">
        <w:rPr>
          <w:color w:val="000000" w:themeColor="text1"/>
        </w:rPr>
        <w:t xml:space="preserve">FR1 </w:t>
      </w:r>
      <w:r w:rsidR="00546EA7" w:rsidRPr="004846CA">
        <w:rPr>
          <w:color w:val="000000" w:themeColor="text1"/>
        </w:rPr>
        <w:t xml:space="preserve">intra-band </w:t>
      </w:r>
      <w:r w:rsidR="004D498C">
        <w:rPr>
          <w:color w:val="000000" w:themeColor="text1"/>
        </w:rPr>
        <w:t xml:space="preserve">TDD </w:t>
      </w:r>
      <w:r w:rsidR="00546EA7" w:rsidRPr="004846CA">
        <w:rPr>
          <w:color w:val="000000" w:themeColor="text1"/>
        </w:rPr>
        <w:t xml:space="preserve">CA </w:t>
      </w:r>
      <w:r w:rsidR="004D498C">
        <w:rPr>
          <w:color w:val="000000" w:themeColor="text1"/>
        </w:rPr>
        <w:t xml:space="preserve">becomes </w:t>
      </w:r>
      <w:r w:rsidR="00546EA7" w:rsidRPr="004846CA">
        <w:rPr>
          <w:color w:val="000000" w:themeColor="text1"/>
        </w:rPr>
        <w:t xml:space="preserve">prerequisite </w:t>
      </w:r>
      <w:r w:rsidR="004D498C">
        <w:rPr>
          <w:color w:val="000000" w:themeColor="text1"/>
        </w:rPr>
        <w:t xml:space="preserve">for </w:t>
      </w:r>
      <w:r w:rsidR="00546EA7" w:rsidRPr="004846CA">
        <w:rPr>
          <w:color w:val="000000" w:themeColor="text1"/>
        </w:rPr>
        <w:t xml:space="preserve">SBFD support in </w:t>
      </w:r>
      <w:r>
        <w:rPr>
          <w:color w:val="000000" w:themeColor="text1"/>
        </w:rPr>
        <w:t xml:space="preserve">the </w:t>
      </w:r>
      <w:r w:rsidR="00546EA7" w:rsidRPr="004846CA">
        <w:rPr>
          <w:color w:val="000000" w:themeColor="text1"/>
        </w:rPr>
        <w:t>NR band</w:t>
      </w:r>
      <w:r w:rsidR="003D495D" w:rsidRPr="004846CA">
        <w:rPr>
          <w:color w:val="000000" w:themeColor="text1"/>
        </w:rPr>
        <w:t xml:space="preserve">. </w:t>
      </w:r>
      <w:r w:rsidR="004D498C">
        <w:t xml:space="preserve">When 2 CCs are configured, 1 CC must still contain the SBFD UL subband and any transmission </w:t>
      </w:r>
      <w:r w:rsidR="004D498C" w:rsidRPr="001A058D">
        <w:t>and reception</w:t>
      </w:r>
      <w:r w:rsidR="004D498C">
        <w:t xml:space="preserve"> behavior with SBFD on this CC then still corresponds to the single NR carrier case.</w:t>
      </w:r>
      <w:r w:rsidR="001A058D">
        <w:t xml:space="preserve"> Spectral efficiency when using CA instead of single carrier for </w:t>
      </w:r>
      <w:r w:rsidR="00880B24">
        <w:t xml:space="preserve">SBFD </w:t>
      </w:r>
      <w:r w:rsidR="001A058D">
        <w:t xml:space="preserve">operation is reduced. </w:t>
      </w:r>
      <w:r w:rsidR="00555177" w:rsidRPr="004846CA">
        <w:rPr>
          <w:color w:val="000000" w:themeColor="text1"/>
        </w:rPr>
        <w:t>When</w:t>
      </w:r>
      <w:r w:rsidR="00870387" w:rsidRPr="004846CA">
        <w:rPr>
          <w:color w:val="000000" w:themeColor="text1"/>
        </w:rPr>
        <w:t xml:space="preserve"> including the mandated guard band</w:t>
      </w:r>
      <w:r w:rsidR="001A058D">
        <w:rPr>
          <w:color w:val="000000" w:themeColor="text1"/>
        </w:rPr>
        <w:t>(s)</w:t>
      </w:r>
      <w:r w:rsidR="00870387" w:rsidRPr="004846CA">
        <w:rPr>
          <w:color w:val="000000" w:themeColor="text1"/>
        </w:rPr>
        <w:t xml:space="preserve"> between the </w:t>
      </w:r>
      <w:r w:rsidR="00555177" w:rsidRPr="004846CA">
        <w:rPr>
          <w:color w:val="000000" w:themeColor="text1"/>
        </w:rPr>
        <w:t xml:space="preserve">2 </w:t>
      </w:r>
      <w:r w:rsidR="001A058D">
        <w:rPr>
          <w:color w:val="000000" w:themeColor="text1"/>
        </w:rPr>
        <w:t xml:space="preserve">(or 3) </w:t>
      </w:r>
      <w:r w:rsidR="00870387" w:rsidRPr="004846CA">
        <w:rPr>
          <w:color w:val="000000" w:themeColor="text1"/>
        </w:rPr>
        <w:t xml:space="preserve">CCs, </w:t>
      </w:r>
      <w:r w:rsidR="00555177" w:rsidRPr="004846CA">
        <w:rPr>
          <w:color w:val="000000" w:themeColor="text1"/>
        </w:rPr>
        <w:t xml:space="preserve">the </w:t>
      </w:r>
      <w:r w:rsidR="001A058D">
        <w:rPr>
          <w:color w:val="000000" w:themeColor="text1"/>
        </w:rPr>
        <w:t xml:space="preserve">number of schedulable RBs in the 2 (or 3) CCs of smaller channel BW </w:t>
      </w:r>
      <w:r w:rsidR="00870387" w:rsidRPr="004846CA">
        <w:rPr>
          <w:color w:val="000000" w:themeColor="text1"/>
        </w:rPr>
        <w:t xml:space="preserve">is reduced by </w:t>
      </w:r>
      <w:r w:rsidR="003465C7" w:rsidRPr="004846CA">
        <w:rPr>
          <w:color w:val="000000" w:themeColor="text1"/>
        </w:rPr>
        <w:t>5</w:t>
      </w:r>
      <w:r w:rsidR="00870387" w:rsidRPr="004846CA">
        <w:rPr>
          <w:color w:val="000000" w:themeColor="text1"/>
        </w:rPr>
        <w:t>-</w:t>
      </w:r>
      <w:r w:rsidR="003465C7" w:rsidRPr="004846CA">
        <w:rPr>
          <w:color w:val="000000" w:themeColor="text1"/>
        </w:rPr>
        <w:t>6</w:t>
      </w:r>
      <w:r w:rsidR="00870387" w:rsidRPr="004846CA">
        <w:rPr>
          <w:color w:val="000000" w:themeColor="text1"/>
        </w:rPr>
        <w:t xml:space="preserve">% </w:t>
      </w:r>
      <w:r w:rsidR="00546EA7" w:rsidRPr="004846CA">
        <w:rPr>
          <w:color w:val="000000" w:themeColor="text1"/>
        </w:rPr>
        <w:t xml:space="preserve">in typical configurations </w:t>
      </w:r>
      <w:r w:rsidR="00870387" w:rsidRPr="004846CA">
        <w:rPr>
          <w:color w:val="000000" w:themeColor="text1"/>
        </w:rPr>
        <w:t>when compared to the single</w:t>
      </w:r>
      <w:r w:rsidR="00870387">
        <w:rPr>
          <w:color w:val="000000" w:themeColor="text1"/>
        </w:rPr>
        <w:t xml:space="preserve"> carrier case</w:t>
      </w:r>
      <w:r w:rsidR="00021341">
        <w:rPr>
          <w:color w:val="000000" w:themeColor="text1"/>
        </w:rPr>
        <w:t xml:space="preserve">. The </w:t>
      </w:r>
      <w:r w:rsidR="001A058D">
        <w:rPr>
          <w:color w:val="000000" w:themeColor="text1"/>
        </w:rPr>
        <w:t xml:space="preserve">resulting </w:t>
      </w:r>
      <w:r w:rsidR="00D033F5">
        <w:rPr>
          <w:color w:val="000000" w:themeColor="text1"/>
        </w:rPr>
        <w:t xml:space="preserve">spectral efficiency </w:t>
      </w:r>
      <w:r w:rsidR="00021341">
        <w:rPr>
          <w:color w:val="000000" w:themeColor="text1"/>
        </w:rPr>
        <w:t xml:space="preserve">loss from the use of </w:t>
      </w:r>
      <w:r w:rsidR="00D033F5">
        <w:rPr>
          <w:color w:val="000000" w:themeColor="text1"/>
        </w:rPr>
        <w:t xml:space="preserve">TDD </w:t>
      </w:r>
      <w:r w:rsidR="00021341">
        <w:rPr>
          <w:color w:val="000000" w:themeColor="text1"/>
        </w:rPr>
        <w:t>intra-band CA</w:t>
      </w:r>
      <w:r w:rsidR="00555177">
        <w:rPr>
          <w:color w:val="000000" w:themeColor="text1"/>
        </w:rPr>
        <w:t xml:space="preserve"> </w:t>
      </w:r>
      <w:r w:rsidR="00D033F5">
        <w:rPr>
          <w:color w:val="000000" w:themeColor="text1"/>
        </w:rPr>
        <w:t xml:space="preserve">for SBFD </w:t>
      </w:r>
      <w:r w:rsidR="00021341">
        <w:rPr>
          <w:color w:val="000000" w:themeColor="text1"/>
        </w:rPr>
        <w:t xml:space="preserve">will depend </w:t>
      </w:r>
      <w:r w:rsidR="003465C7">
        <w:rPr>
          <w:color w:val="000000" w:themeColor="text1"/>
        </w:rPr>
        <w:t xml:space="preserve">on the BS transmission BW in the band, the size of the operator band segment and </w:t>
      </w:r>
      <w:r w:rsidR="00021341">
        <w:rPr>
          <w:color w:val="000000" w:themeColor="text1"/>
        </w:rPr>
        <w:t xml:space="preserve">the size and frequency-domain location of the </w:t>
      </w:r>
      <w:r w:rsidR="003465C7">
        <w:rPr>
          <w:color w:val="000000" w:themeColor="text1"/>
        </w:rPr>
        <w:t>SBFD UL subband</w:t>
      </w:r>
      <w:r w:rsidR="00870387">
        <w:rPr>
          <w:color w:val="000000" w:themeColor="text1"/>
        </w:rPr>
        <w:t>.</w:t>
      </w:r>
      <w:r w:rsidR="00317085">
        <w:rPr>
          <w:color w:val="000000" w:themeColor="text1"/>
        </w:rPr>
        <w:t xml:space="preserve"> </w:t>
      </w:r>
      <w:r w:rsidR="00D033F5">
        <w:rPr>
          <w:color w:val="000000" w:themeColor="text1"/>
        </w:rPr>
        <w:t xml:space="preserve">The </w:t>
      </w:r>
      <w:r w:rsidR="00555177" w:rsidRPr="004846CA">
        <w:rPr>
          <w:color w:val="000000" w:themeColor="text1"/>
        </w:rPr>
        <w:t xml:space="preserve">introduction of additional intra-band CA </w:t>
      </w:r>
      <w:r w:rsidR="00CD5720" w:rsidRPr="004846CA">
        <w:rPr>
          <w:color w:val="000000" w:themeColor="text1"/>
        </w:rPr>
        <w:t xml:space="preserve">configurations and BW combination (sets) for purpose of supporting SBFD </w:t>
      </w:r>
      <w:r w:rsidR="00D033F5">
        <w:rPr>
          <w:color w:val="000000" w:themeColor="text1"/>
        </w:rPr>
        <w:t xml:space="preserve">would result in </w:t>
      </w:r>
      <w:r w:rsidR="00B30F3E">
        <w:rPr>
          <w:color w:val="000000" w:themeColor="text1"/>
        </w:rPr>
        <w:t xml:space="preserve">significant </w:t>
      </w:r>
      <w:r w:rsidR="00CD5720" w:rsidRPr="004846CA">
        <w:rPr>
          <w:color w:val="000000" w:themeColor="text1"/>
        </w:rPr>
        <w:t>RAN4</w:t>
      </w:r>
      <w:r w:rsidR="00D033F5">
        <w:rPr>
          <w:color w:val="000000" w:themeColor="text1"/>
        </w:rPr>
        <w:t xml:space="preserve"> work</w:t>
      </w:r>
      <w:r w:rsidR="00CD5720" w:rsidRPr="004846CA">
        <w:rPr>
          <w:color w:val="000000" w:themeColor="text1"/>
        </w:rPr>
        <w:t xml:space="preserve">. </w:t>
      </w:r>
      <w:r w:rsidR="00642400" w:rsidRPr="004846CA">
        <w:rPr>
          <w:color w:val="000000" w:themeColor="text1"/>
        </w:rPr>
        <w:t xml:space="preserve">For </w:t>
      </w:r>
      <w:r w:rsidR="00D033F5">
        <w:rPr>
          <w:color w:val="000000" w:themeColor="text1"/>
        </w:rPr>
        <w:t xml:space="preserve">the </w:t>
      </w:r>
      <w:r w:rsidR="00CD5720" w:rsidRPr="004846CA">
        <w:rPr>
          <w:color w:val="000000" w:themeColor="text1"/>
        </w:rPr>
        <w:t xml:space="preserve">UE </w:t>
      </w:r>
      <w:r w:rsidR="00D033F5">
        <w:rPr>
          <w:color w:val="000000" w:themeColor="text1"/>
        </w:rPr>
        <w:t xml:space="preserve">DL </w:t>
      </w:r>
      <w:r w:rsidR="00CD5720" w:rsidRPr="004846CA">
        <w:rPr>
          <w:color w:val="000000" w:themeColor="text1"/>
        </w:rPr>
        <w:t>receiver</w:t>
      </w:r>
      <w:r w:rsidR="00D033F5">
        <w:rPr>
          <w:color w:val="000000" w:themeColor="text1"/>
        </w:rPr>
        <w:t xml:space="preserve"> performance</w:t>
      </w:r>
      <w:r w:rsidR="00642400" w:rsidRPr="004846CA">
        <w:rPr>
          <w:color w:val="000000" w:themeColor="text1"/>
        </w:rPr>
        <w:t xml:space="preserve">, the </w:t>
      </w:r>
      <w:r w:rsidR="00D033F5">
        <w:rPr>
          <w:color w:val="000000" w:themeColor="text1"/>
        </w:rPr>
        <w:t xml:space="preserve">potential </w:t>
      </w:r>
      <w:r w:rsidR="00642400" w:rsidRPr="004846CA">
        <w:rPr>
          <w:color w:val="000000" w:themeColor="text1"/>
        </w:rPr>
        <w:t>impact</w:t>
      </w:r>
      <w:r w:rsidR="00D033F5">
        <w:rPr>
          <w:color w:val="000000" w:themeColor="text1"/>
        </w:rPr>
        <w:t>s</w:t>
      </w:r>
      <w:r w:rsidR="00642400" w:rsidRPr="004846CA">
        <w:rPr>
          <w:color w:val="000000" w:themeColor="text1"/>
        </w:rPr>
        <w:t xml:space="preserve"> of UL transmissions </w:t>
      </w:r>
      <w:r w:rsidR="00D033F5">
        <w:rPr>
          <w:color w:val="000000" w:themeColor="text1"/>
        </w:rPr>
        <w:t xml:space="preserve">in </w:t>
      </w:r>
      <w:r w:rsidR="00642400" w:rsidRPr="004846CA">
        <w:rPr>
          <w:color w:val="000000" w:themeColor="text1"/>
        </w:rPr>
        <w:t xml:space="preserve">the SBFD UL subband </w:t>
      </w:r>
      <w:r w:rsidR="00D033F5">
        <w:rPr>
          <w:color w:val="000000" w:themeColor="text1"/>
        </w:rPr>
        <w:t xml:space="preserve">from UEs in proximity on DL reception </w:t>
      </w:r>
      <w:r w:rsidR="00642400" w:rsidRPr="004846CA">
        <w:rPr>
          <w:color w:val="000000" w:themeColor="text1"/>
        </w:rPr>
        <w:t xml:space="preserve">must </w:t>
      </w:r>
      <w:r w:rsidR="00021341" w:rsidRPr="004846CA">
        <w:rPr>
          <w:color w:val="000000" w:themeColor="text1"/>
        </w:rPr>
        <w:t xml:space="preserve">also </w:t>
      </w:r>
      <w:r w:rsidR="00642400" w:rsidRPr="004846CA">
        <w:rPr>
          <w:color w:val="000000" w:themeColor="text1"/>
        </w:rPr>
        <w:t>be considered</w:t>
      </w:r>
      <w:r w:rsidR="00D033F5">
        <w:rPr>
          <w:color w:val="000000" w:themeColor="text1"/>
        </w:rPr>
        <w:t xml:space="preserve">, in particular when using </w:t>
      </w:r>
      <w:r w:rsidR="00A45402">
        <w:rPr>
          <w:color w:val="000000" w:themeColor="text1"/>
        </w:rPr>
        <w:t xml:space="preserve">a </w:t>
      </w:r>
      <w:r w:rsidR="00D033F5">
        <w:rPr>
          <w:color w:val="000000" w:themeColor="text1"/>
        </w:rPr>
        <w:t xml:space="preserve">wideband </w:t>
      </w:r>
      <w:r w:rsidR="00B30F3E">
        <w:rPr>
          <w:color w:val="000000" w:themeColor="text1"/>
        </w:rPr>
        <w:t xml:space="preserve">UE </w:t>
      </w:r>
      <w:r w:rsidR="00D033F5">
        <w:rPr>
          <w:color w:val="000000" w:themeColor="text1"/>
        </w:rPr>
        <w:t xml:space="preserve">receiver </w:t>
      </w:r>
      <w:r w:rsidR="00A45402">
        <w:rPr>
          <w:color w:val="000000" w:themeColor="text1"/>
        </w:rPr>
        <w:t>implementation</w:t>
      </w:r>
      <w:r w:rsidR="00D033F5">
        <w:rPr>
          <w:color w:val="000000" w:themeColor="text1"/>
        </w:rPr>
        <w:t>.</w:t>
      </w:r>
    </w:p>
    <w:p w14:paraId="6F3F4776" w14:textId="09142B46" w:rsidR="00395CA7" w:rsidRDefault="00395CA7" w:rsidP="00395CA7">
      <w:pPr>
        <w:spacing w:before="120" w:after="120"/>
        <w:jc w:val="both"/>
        <w:rPr>
          <w:iCs/>
          <w:color w:val="000000" w:themeColor="text1"/>
          <w:lang w:val="en-GB"/>
        </w:rPr>
      </w:pPr>
      <w:r w:rsidRPr="004846CA">
        <w:rPr>
          <w:iCs/>
          <w:color w:val="000000" w:themeColor="text1"/>
          <w:lang w:val="en-GB"/>
        </w:rPr>
        <w:t xml:space="preserve">Using </w:t>
      </w:r>
      <w:r w:rsidR="00D033F5">
        <w:rPr>
          <w:iCs/>
          <w:color w:val="000000" w:themeColor="text1"/>
          <w:lang w:val="en-GB"/>
        </w:rPr>
        <w:t xml:space="preserve">FR2 </w:t>
      </w:r>
      <w:r w:rsidRPr="004846CA">
        <w:rPr>
          <w:iCs/>
          <w:color w:val="000000" w:themeColor="text1"/>
          <w:lang w:val="en-GB"/>
        </w:rPr>
        <w:t xml:space="preserve">intra-band carrier aggregation, </w:t>
      </w:r>
      <w:r w:rsidR="00D033F5" w:rsidRPr="004846CA">
        <w:rPr>
          <w:iCs/>
          <w:color w:val="000000" w:themeColor="text1"/>
          <w:lang w:val="en-GB"/>
        </w:rPr>
        <w:t xml:space="preserve">more flexibility </w:t>
      </w:r>
      <w:r w:rsidR="00D033F5">
        <w:rPr>
          <w:iCs/>
          <w:color w:val="000000" w:themeColor="text1"/>
          <w:lang w:val="en-GB"/>
        </w:rPr>
        <w:t>to introduce</w:t>
      </w:r>
      <w:r w:rsidR="00D033F5" w:rsidRPr="004846CA">
        <w:rPr>
          <w:iCs/>
          <w:color w:val="000000" w:themeColor="text1"/>
          <w:lang w:val="en-GB"/>
        </w:rPr>
        <w:t xml:space="preserve"> SBFD operation exists when compared to FR1.</w:t>
      </w:r>
      <w:r w:rsidR="00D033F5">
        <w:rPr>
          <w:iCs/>
          <w:color w:val="000000" w:themeColor="text1"/>
          <w:lang w:val="en-GB"/>
        </w:rPr>
        <w:t xml:space="preserve"> The </w:t>
      </w:r>
      <w:r w:rsidRPr="004846CA">
        <w:rPr>
          <w:iCs/>
          <w:color w:val="000000" w:themeColor="text1"/>
          <w:lang w:val="en-GB"/>
        </w:rPr>
        <w:t xml:space="preserve">support of NR FR2 CA with Independent Beam Management (IBM) and Common Beam Management (CBM) with simultaneous DL reception on different CCs from the co-located and non-collocated TRPs </w:t>
      </w:r>
      <w:r w:rsidR="00021341" w:rsidRPr="004846CA">
        <w:rPr>
          <w:iCs/>
          <w:color w:val="000000" w:themeColor="text1"/>
          <w:lang w:val="en-GB"/>
        </w:rPr>
        <w:t xml:space="preserve">has been </w:t>
      </w:r>
      <w:r w:rsidRPr="004846CA">
        <w:rPr>
          <w:iCs/>
          <w:color w:val="000000" w:themeColor="text1"/>
          <w:lang w:val="en-GB"/>
        </w:rPr>
        <w:t xml:space="preserve">introduced </w:t>
      </w:r>
      <w:r w:rsidR="00021341" w:rsidRPr="004846CA">
        <w:rPr>
          <w:iCs/>
          <w:color w:val="000000" w:themeColor="text1"/>
          <w:lang w:val="en-GB"/>
        </w:rPr>
        <w:t xml:space="preserve">in </w:t>
      </w:r>
      <w:r w:rsidRPr="004846CA">
        <w:rPr>
          <w:iCs/>
          <w:color w:val="000000" w:themeColor="text1"/>
          <w:lang w:val="en-GB"/>
        </w:rPr>
        <w:t xml:space="preserve">R16 and R17. IBM implies that a UE is capable of DL simultaneous reception on different UE panels/chains using separate beams on different CCs and requires improved UE BB and RF capabilities, e.g., multiple BB chains and support of multiple antenna panels. </w:t>
      </w:r>
      <w:r w:rsidR="00021341" w:rsidRPr="004846CA">
        <w:rPr>
          <w:iCs/>
          <w:color w:val="000000" w:themeColor="text1"/>
          <w:lang w:val="en-GB"/>
        </w:rPr>
        <w:t>R18 FR2 enhancements work is starting</w:t>
      </w:r>
      <w:r w:rsidR="00857C8B" w:rsidRPr="004846CA">
        <w:rPr>
          <w:iCs/>
          <w:color w:val="000000" w:themeColor="text1"/>
          <w:lang w:val="en-GB"/>
        </w:rPr>
        <w:t xml:space="preserve"> and will introduce </w:t>
      </w:r>
      <w:r w:rsidR="00857C8B" w:rsidRPr="004846CA">
        <w:rPr>
          <w:iCs/>
        </w:rPr>
        <w:t>requirements for FR2 UEs capable of multi-beam/multiple Rx chain simultaneous DL reception on a single CC to achieve improved RF, RRM and UE demodulation performance</w:t>
      </w:r>
      <w:r w:rsidR="00857C8B" w:rsidRPr="004846CA">
        <w:rPr>
          <w:iCs/>
          <w:color w:val="000000" w:themeColor="text1"/>
          <w:lang w:val="en-GB"/>
        </w:rPr>
        <w:t>.</w:t>
      </w:r>
    </w:p>
    <w:p w14:paraId="104676B6" w14:textId="35859360" w:rsidR="00395CA7" w:rsidRDefault="00B32F9E" w:rsidP="008773E6">
      <w:pPr>
        <w:spacing w:before="120" w:after="120"/>
        <w:jc w:val="both"/>
        <w:rPr>
          <w:color w:val="000000" w:themeColor="text1"/>
          <w:lang w:val="en-GB"/>
        </w:rPr>
      </w:pPr>
      <w:r>
        <w:rPr>
          <w:color w:val="000000" w:themeColor="text1"/>
          <w:lang w:val="en-GB"/>
        </w:rPr>
        <w:lastRenderedPageBreak/>
        <w:t xml:space="preserve">In summary, we think that the R18 </w:t>
      </w:r>
      <w:r w:rsidR="00C9156B">
        <w:rPr>
          <w:color w:val="000000" w:themeColor="text1"/>
          <w:lang w:val="en-GB"/>
        </w:rPr>
        <w:t xml:space="preserve">study should focus on </w:t>
      </w:r>
      <w:r w:rsidR="00310ACB">
        <w:rPr>
          <w:color w:val="000000" w:themeColor="text1"/>
          <w:lang w:val="en-GB"/>
        </w:rPr>
        <w:t xml:space="preserve">approach </w:t>
      </w:r>
      <w:r w:rsidR="00C9156B">
        <w:rPr>
          <w:color w:val="000000" w:themeColor="text1"/>
          <w:lang w:val="en-GB"/>
        </w:rPr>
        <w:t xml:space="preserve">1, e.g., SBFD operation using </w:t>
      </w:r>
      <w:r w:rsidR="00310ACB">
        <w:rPr>
          <w:color w:val="000000" w:themeColor="text1"/>
          <w:lang w:val="en-GB"/>
        </w:rPr>
        <w:t xml:space="preserve">a </w:t>
      </w:r>
      <w:r w:rsidR="00C9156B">
        <w:rPr>
          <w:color w:val="000000" w:themeColor="text1"/>
          <w:lang w:val="en-GB"/>
        </w:rPr>
        <w:t xml:space="preserve">single </w:t>
      </w:r>
      <w:r w:rsidR="00310ACB">
        <w:rPr>
          <w:color w:val="000000" w:themeColor="text1"/>
          <w:lang w:val="en-GB"/>
        </w:rPr>
        <w:t xml:space="preserve">NR </w:t>
      </w:r>
      <w:r w:rsidR="00C9156B">
        <w:rPr>
          <w:color w:val="000000" w:themeColor="text1"/>
          <w:lang w:val="en-GB"/>
        </w:rPr>
        <w:t>carrier, without precluding the possib</w:t>
      </w:r>
      <w:r w:rsidR="00A45402">
        <w:rPr>
          <w:color w:val="000000" w:themeColor="text1"/>
          <w:lang w:val="en-GB"/>
        </w:rPr>
        <w:t>ility of</w:t>
      </w:r>
      <w:r w:rsidR="00C9156B">
        <w:rPr>
          <w:color w:val="000000" w:themeColor="text1"/>
          <w:lang w:val="en-GB"/>
        </w:rPr>
        <w:t xml:space="preserve"> later </w:t>
      </w:r>
      <w:r w:rsidR="00E11E2F">
        <w:rPr>
          <w:color w:val="000000" w:themeColor="text1"/>
          <w:lang w:val="en-GB"/>
        </w:rPr>
        <w:t xml:space="preserve">study and specification </w:t>
      </w:r>
      <w:r w:rsidR="00C9156B">
        <w:rPr>
          <w:color w:val="000000" w:themeColor="text1"/>
          <w:lang w:val="en-GB"/>
        </w:rPr>
        <w:t xml:space="preserve">of </w:t>
      </w:r>
      <w:r w:rsidR="00310ACB">
        <w:rPr>
          <w:color w:val="000000" w:themeColor="text1"/>
          <w:lang w:val="en-GB"/>
        </w:rPr>
        <w:t xml:space="preserve">TDD </w:t>
      </w:r>
      <w:r w:rsidR="00C9156B">
        <w:rPr>
          <w:color w:val="000000" w:themeColor="text1"/>
          <w:lang w:val="en-GB"/>
        </w:rPr>
        <w:t xml:space="preserve">intra-band CA </w:t>
      </w:r>
      <w:r w:rsidR="002F547A">
        <w:rPr>
          <w:color w:val="000000" w:themeColor="text1"/>
          <w:lang w:val="en-GB"/>
        </w:rPr>
        <w:t xml:space="preserve">or SUL </w:t>
      </w:r>
      <w:r w:rsidR="00E11E2F">
        <w:rPr>
          <w:color w:val="000000" w:themeColor="text1"/>
          <w:lang w:val="en-GB"/>
        </w:rPr>
        <w:t xml:space="preserve">for purpose of configuring SBFD in the UE </w:t>
      </w:r>
      <w:r w:rsidR="00C9156B">
        <w:rPr>
          <w:color w:val="000000" w:themeColor="text1"/>
          <w:lang w:val="en-GB"/>
        </w:rPr>
        <w:t>whe</w:t>
      </w:r>
      <w:r w:rsidR="00317085">
        <w:rPr>
          <w:color w:val="000000" w:themeColor="text1"/>
          <w:lang w:val="en-GB"/>
        </w:rPr>
        <w:t>n possible</w:t>
      </w:r>
      <w:r w:rsidR="00C9156B">
        <w:rPr>
          <w:color w:val="000000" w:themeColor="text1"/>
          <w:lang w:val="en-GB"/>
        </w:rPr>
        <w:t xml:space="preserve"> </w:t>
      </w:r>
      <w:r w:rsidR="00E11E2F">
        <w:rPr>
          <w:color w:val="000000" w:themeColor="text1"/>
          <w:lang w:val="en-GB"/>
        </w:rPr>
        <w:t>and whe</w:t>
      </w:r>
      <w:r w:rsidR="00317085">
        <w:rPr>
          <w:color w:val="000000" w:themeColor="text1"/>
          <w:lang w:val="en-GB"/>
        </w:rPr>
        <w:t>re</w:t>
      </w:r>
      <w:r w:rsidR="00E11E2F">
        <w:rPr>
          <w:color w:val="000000" w:themeColor="text1"/>
          <w:lang w:val="en-GB"/>
        </w:rPr>
        <w:t xml:space="preserve"> </w:t>
      </w:r>
      <w:r w:rsidR="00C9156B">
        <w:rPr>
          <w:color w:val="000000" w:themeColor="text1"/>
          <w:lang w:val="en-GB"/>
        </w:rPr>
        <w:t>meaningful to do so.</w:t>
      </w:r>
    </w:p>
    <w:p w14:paraId="03946E2D" w14:textId="75B2DF7C" w:rsidR="00C9156B" w:rsidRPr="003D0F6C" w:rsidRDefault="005C785F" w:rsidP="00C9156B">
      <w:pPr>
        <w:pStyle w:val="Proposal"/>
        <w:spacing w:before="120"/>
      </w:pPr>
      <w:r>
        <w:rPr>
          <w:color w:val="000000" w:themeColor="text1"/>
        </w:rPr>
        <w:t>SBFD can be configured in the UE channel B</w:t>
      </w:r>
      <w:r w:rsidR="001F5D43">
        <w:rPr>
          <w:color w:val="000000" w:themeColor="text1"/>
        </w:rPr>
        <w:t>W</w:t>
      </w:r>
      <w:r w:rsidR="00D0239B">
        <w:rPr>
          <w:color w:val="000000" w:themeColor="text1"/>
        </w:rPr>
        <w:t xml:space="preserve"> of a single </w:t>
      </w:r>
      <w:r w:rsidR="00611EB6">
        <w:rPr>
          <w:color w:val="000000" w:themeColor="text1"/>
        </w:rPr>
        <w:t xml:space="preserve">NR </w:t>
      </w:r>
      <w:r w:rsidR="00D0239B">
        <w:rPr>
          <w:color w:val="000000" w:themeColor="text1"/>
        </w:rPr>
        <w:t xml:space="preserve">carrier. Further study </w:t>
      </w:r>
      <w:r w:rsidR="00932282">
        <w:rPr>
          <w:color w:val="000000" w:themeColor="text1"/>
        </w:rPr>
        <w:t xml:space="preserve">the potential benefits and impacts when using </w:t>
      </w:r>
      <w:r w:rsidR="00D0239B">
        <w:rPr>
          <w:color w:val="000000" w:themeColor="text1"/>
        </w:rPr>
        <w:t xml:space="preserve">intra-band CA or </w:t>
      </w:r>
      <w:r w:rsidR="00932282">
        <w:rPr>
          <w:color w:val="000000" w:themeColor="text1"/>
        </w:rPr>
        <w:t xml:space="preserve">configuring </w:t>
      </w:r>
      <w:r w:rsidR="00D0239B">
        <w:rPr>
          <w:color w:val="000000" w:themeColor="text1"/>
        </w:rPr>
        <w:t>SUL for SBFD.</w:t>
      </w:r>
    </w:p>
    <w:p w14:paraId="670796F2" w14:textId="77777777" w:rsidR="0088769B" w:rsidRDefault="0088769B" w:rsidP="008773E6">
      <w:pPr>
        <w:spacing w:before="120" w:after="120"/>
        <w:jc w:val="both"/>
        <w:rPr>
          <w:color w:val="000000" w:themeColor="text1"/>
        </w:rPr>
      </w:pPr>
    </w:p>
    <w:p w14:paraId="58BE35AC" w14:textId="5151571B" w:rsidR="0053535A" w:rsidRPr="001E7AD0" w:rsidRDefault="00191FD8" w:rsidP="00873F07">
      <w:pPr>
        <w:pStyle w:val="1"/>
        <w:jc w:val="both"/>
        <w:rPr>
          <w:lang w:val="en-US"/>
        </w:rPr>
      </w:pPr>
      <w:bookmarkStart w:id="1" w:name="_Ref101859680"/>
      <w:r>
        <w:rPr>
          <w:lang w:val="en-US"/>
        </w:rPr>
        <w:t>SBFD and l</w:t>
      </w:r>
      <w:r w:rsidR="009406C4">
        <w:rPr>
          <w:lang w:val="en-US"/>
        </w:rPr>
        <w:t>egacy UEs</w:t>
      </w:r>
      <w:bookmarkEnd w:id="1"/>
    </w:p>
    <w:p w14:paraId="4EED8135" w14:textId="77777777" w:rsidR="004E485E" w:rsidRDefault="00411EB4" w:rsidP="00411EB4">
      <w:pPr>
        <w:spacing w:before="120" w:after="120"/>
        <w:jc w:val="both"/>
        <w:rPr>
          <w:color w:val="000000" w:themeColor="text1"/>
        </w:rPr>
      </w:pPr>
      <w:r>
        <w:rPr>
          <w:color w:val="000000" w:themeColor="text1"/>
        </w:rPr>
        <w:t>When SBFD operation is supported by the gNB, backwards compatibility for legacy UEs must be assured. UE backwards compatibility must be considered from the perspective of both functional and operational backwards compatibility.</w:t>
      </w:r>
    </w:p>
    <w:p w14:paraId="638DD672" w14:textId="061C0EF6" w:rsidR="00411EB4" w:rsidRDefault="00411EB4" w:rsidP="00411EB4">
      <w:pPr>
        <w:spacing w:before="120" w:after="120"/>
        <w:jc w:val="both"/>
        <w:rPr>
          <w:color w:val="000000" w:themeColor="text1"/>
        </w:rPr>
      </w:pPr>
      <w:r>
        <w:rPr>
          <w:color w:val="000000" w:themeColor="text1"/>
        </w:rPr>
        <w:t xml:space="preserve">Functional backwards compatibility implies that legacy R15-R17 UEs can still connect to and establish service in the NR TDD cell. Transmission and reception of data and RRC/NAS signaling should still be possible without undue performance impact. </w:t>
      </w:r>
      <w:r w:rsidR="004E485E">
        <w:rPr>
          <w:color w:val="000000" w:themeColor="text1"/>
        </w:rPr>
        <w:t xml:space="preserve">In addition, legacy UEs can benefit from the availability of SBFD in an NR TDD cell, e.g., when DFFFU is configured in the cell. </w:t>
      </w:r>
      <w:r>
        <w:rPr>
          <w:color w:val="000000" w:themeColor="text1"/>
        </w:rPr>
        <w:t>Operational backwards compatibility means that legacy UEs should still be able to use existing deployed NR network features such as CA/DC when SBFD operation is introduced in a serving cell.</w:t>
      </w:r>
    </w:p>
    <w:p w14:paraId="2190E6A9" w14:textId="77777777" w:rsidR="004A39C7" w:rsidRDefault="004A39C7" w:rsidP="004A39C7">
      <w:pPr>
        <w:spacing w:before="120" w:after="120"/>
        <w:jc w:val="both"/>
        <w:rPr>
          <w:color w:val="000000" w:themeColor="text1"/>
        </w:rPr>
      </w:pPr>
      <w:r>
        <w:rPr>
          <w:color w:val="000000" w:themeColor="text1"/>
        </w:rPr>
        <w:t>Legacy UEs in SA mode when operating on a TDD cell with SBFD at the gNB can access the TDD cell as their serving cell. These UEs must be able to acquire the TDD cell with SBFD during initial cell-selection, complete initial network access in the TDD cell with SBFD and later perform cell re-selection in RRC_IDLE or RRC_INACTIVE when camped on the TDD cell.</w:t>
      </w:r>
    </w:p>
    <w:p w14:paraId="4EEDA61A" w14:textId="77777777" w:rsidR="004A39C7" w:rsidRDefault="004A39C7" w:rsidP="004A39C7">
      <w:pPr>
        <w:spacing w:before="120" w:after="120"/>
        <w:jc w:val="both"/>
        <w:rPr>
          <w:color w:val="000000" w:themeColor="text1"/>
        </w:rPr>
      </w:pPr>
      <w:r>
        <w:rPr>
          <w:color w:val="000000" w:themeColor="text1"/>
        </w:rPr>
        <w:t>Using n78, channel BW = 100 MHz, SCS = 30kHz and DXXSU as example where gNB-side SBFD operation is enabled in the 2</w:t>
      </w:r>
      <w:r w:rsidRPr="00E9320D">
        <w:rPr>
          <w:color w:val="000000" w:themeColor="text1"/>
          <w:vertAlign w:val="superscript"/>
        </w:rPr>
        <w:t>nd</w:t>
      </w:r>
      <w:r>
        <w:rPr>
          <w:color w:val="000000" w:themeColor="text1"/>
        </w:rPr>
        <w:t xml:space="preserve"> and 3</w:t>
      </w:r>
      <w:r w:rsidRPr="00E9320D">
        <w:rPr>
          <w:color w:val="000000" w:themeColor="text1"/>
          <w:vertAlign w:val="superscript"/>
        </w:rPr>
        <w:t>rd</w:t>
      </w:r>
      <w:r>
        <w:rPr>
          <w:color w:val="000000" w:themeColor="text1"/>
        </w:rPr>
        <w:t xml:space="preserve"> slot (Figure 1), the </w:t>
      </w:r>
      <w:r w:rsidRPr="00A34103">
        <w:rPr>
          <w:color w:val="000000" w:themeColor="text1"/>
        </w:rPr>
        <w:t>gNB can configure</w:t>
      </w:r>
      <w:r>
        <w:rPr>
          <w:color w:val="000000" w:themeColor="text1"/>
        </w:rPr>
        <w:t xml:space="preserve"> </w:t>
      </w:r>
      <w:r w:rsidRPr="009234EE">
        <w:rPr>
          <w:color w:val="000000" w:themeColor="text1"/>
        </w:rPr>
        <w:t xml:space="preserve">SIB1 </w:t>
      </w:r>
      <w:r>
        <w:rPr>
          <w:color w:val="000000" w:themeColor="text1"/>
        </w:rPr>
        <w:t xml:space="preserve">for the legacy UEs with </w:t>
      </w:r>
      <w:r>
        <w:rPr>
          <w:i/>
          <w:iCs/>
          <w:color w:val="000000" w:themeColor="text1"/>
        </w:rPr>
        <w:t>tdd</w:t>
      </w:r>
      <w:r w:rsidRPr="009234EE">
        <w:rPr>
          <w:i/>
          <w:iCs/>
          <w:color w:val="000000" w:themeColor="text1"/>
        </w:rPr>
        <w:t>-UL-DL-ConfigCommon</w:t>
      </w:r>
      <w:r w:rsidRPr="009234EE">
        <w:rPr>
          <w:color w:val="000000" w:themeColor="text1"/>
        </w:rPr>
        <w:t xml:space="preserve"> </w:t>
      </w:r>
      <w:r>
        <w:rPr>
          <w:color w:val="000000" w:themeColor="text1"/>
        </w:rPr>
        <w:t xml:space="preserve">as </w:t>
      </w:r>
      <w:r w:rsidRPr="009234EE">
        <w:rPr>
          <w:color w:val="000000" w:themeColor="text1"/>
        </w:rPr>
        <w:t>{</w:t>
      </w:r>
      <w:r w:rsidRPr="00BB4F1F">
        <w:rPr>
          <w:i/>
          <w:color w:val="000000" w:themeColor="text1"/>
        </w:rPr>
        <w:t>dl-UL-TransmissionPeriodicity, nrofDownlinkSlots, nrofDownlinkSymbols, nrofUplinkSlots, nrofUplinkSymbols</w:t>
      </w:r>
      <w:r w:rsidRPr="009234EE">
        <w:rPr>
          <w:color w:val="000000" w:themeColor="text1"/>
        </w:rPr>
        <w:t>} = {P = 2.5ms, 3 DL slots, 12 DL sym, 0 UL sym, 1 UL slot}</w:t>
      </w:r>
      <w:r>
        <w:rPr>
          <w:color w:val="000000" w:themeColor="text1"/>
        </w:rPr>
        <w:t>,</w:t>
      </w:r>
      <w:r w:rsidRPr="009234EE">
        <w:rPr>
          <w:color w:val="000000" w:themeColor="text1"/>
        </w:rPr>
        <w:t xml:space="preserve"> or DDD</w:t>
      </w:r>
      <w:r>
        <w:rPr>
          <w:color w:val="000000" w:themeColor="text1"/>
        </w:rPr>
        <w:t>S</w:t>
      </w:r>
      <w:r w:rsidRPr="009234EE">
        <w:rPr>
          <w:color w:val="000000" w:themeColor="text1"/>
        </w:rPr>
        <w:t xml:space="preserve">U. Legacy NR UEs </w:t>
      </w:r>
      <w:r>
        <w:rPr>
          <w:color w:val="000000" w:themeColor="text1"/>
        </w:rPr>
        <w:t xml:space="preserve">then </w:t>
      </w:r>
      <w:r w:rsidRPr="009234EE">
        <w:rPr>
          <w:color w:val="000000" w:themeColor="text1"/>
        </w:rPr>
        <w:t>consider only the last 2 symbols in slot #</w:t>
      </w:r>
      <w:r>
        <w:rPr>
          <w:color w:val="000000" w:themeColor="text1"/>
        </w:rPr>
        <w:t>3</w:t>
      </w:r>
      <w:r w:rsidRPr="009234EE">
        <w:rPr>
          <w:color w:val="000000" w:themeColor="text1"/>
        </w:rPr>
        <w:t xml:space="preserve"> as flexible symbols (F). This disables the possibility to schedule any UL transmissions for legacy UEs </w:t>
      </w:r>
      <w:r>
        <w:rPr>
          <w:color w:val="000000" w:themeColor="text1"/>
        </w:rPr>
        <w:t xml:space="preserve">using the SBFD </w:t>
      </w:r>
      <w:r w:rsidRPr="009234EE">
        <w:rPr>
          <w:color w:val="000000" w:themeColor="text1"/>
        </w:rPr>
        <w:t xml:space="preserve">UL subband </w:t>
      </w:r>
      <w:r>
        <w:rPr>
          <w:color w:val="000000" w:themeColor="text1"/>
        </w:rPr>
        <w:t xml:space="preserve">when SBFD operation is supported in </w:t>
      </w:r>
      <w:r w:rsidRPr="009234EE">
        <w:rPr>
          <w:color w:val="000000" w:themeColor="text1"/>
        </w:rPr>
        <w:t>slots #</w:t>
      </w:r>
      <w:r>
        <w:rPr>
          <w:color w:val="000000" w:themeColor="text1"/>
        </w:rPr>
        <w:t>1</w:t>
      </w:r>
      <w:r w:rsidRPr="009234EE">
        <w:rPr>
          <w:color w:val="000000" w:themeColor="text1"/>
        </w:rPr>
        <w:t xml:space="preserve"> and #</w:t>
      </w:r>
      <w:r>
        <w:rPr>
          <w:color w:val="000000" w:themeColor="text1"/>
        </w:rPr>
        <w:t>2</w:t>
      </w:r>
      <w:r w:rsidRPr="009234EE">
        <w:rPr>
          <w:color w:val="000000" w:themeColor="text1"/>
        </w:rPr>
        <w:t>.</w:t>
      </w:r>
    </w:p>
    <w:p w14:paraId="0E0A22F1" w14:textId="2AEE169F" w:rsidR="004A39C7" w:rsidRDefault="004A39C7" w:rsidP="004A39C7">
      <w:pPr>
        <w:spacing w:before="120" w:after="120"/>
        <w:jc w:val="both"/>
        <w:rPr>
          <w:color w:val="000000" w:themeColor="text1"/>
        </w:rPr>
      </w:pPr>
      <w:r>
        <w:rPr>
          <w:color w:val="000000" w:themeColor="text1"/>
        </w:rPr>
        <w:t xml:space="preserve">When </w:t>
      </w:r>
      <w:r w:rsidRPr="00A34103">
        <w:rPr>
          <w:color w:val="000000" w:themeColor="text1"/>
        </w:rPr>
        <w:t xml:space="preserve">SIB1 </w:t>
      </w:r>
      <w:r>
        <w:rPr>
          <w:i/>
          <w:iCs/>
          <w:color w:val="000000" w:themeColor="text1"/>
        </w:rPr>
        <w:t>tdd</w:t>
      </w:r>
      <w:r w:rsidRPr="00A34103">
        <w:rPr>
          <w:i/>
          <w:iCs/>
          <w:color w:val="000000" w:themeColor="text1"/>
        </w:rPr>
        <w:t>-UL-DL-ConfigCommon</w:t>
      </w:r>
      <w:r w:rsidRPr="00A34103">
        <w:rPr>
          <w:color w:val="000000" w:themeColor="text1"/>
        </w:rPr>
        <w:t xml:space="preserve"> </w:t>
      </w:r>
      <w:r>
        <w:rPr>
          <w:color w:val="000000" w:themeColor="text1"/>
        </w:rPr>
        <w:t xml:space="preserve">for the legacy UEs is configured with </w:t>
      </w:r>
      <w:r w:rsidRPr="00A34103">
        <w:rPr>
          <w:color w:val="000000" w:themeColor="text1"/>
        </w:rPr>
        <w:t>{</w:t>
      </w:r>
      <w:r w:rsidRPr="00BB4F1F">
        <w:rPr>
          <w:i/>
          <w:color w:val="000000" w:themeColor="text1"/>
        </w:rPr>
        <w:t>dl-UL-TransmissionPeriodicity, nrofDownlinkSlots, nrofDownlinkSymbols, nrofUplinkSlots, nrofUplinkSymbols</w:t>
      </w:r>
      <w:r w:rsidRPr="00A34103">
        <w:rPr>
          <w:color w:val="000000" w:themeColor="text1"/>
        </w:rPr>
        <w:t xml:space="preserve">} = </w:t>
      </w:r>
      <w:r w:rsidRPr="00C00028">
        <w:rPr>
          <w:color w:val="000000" w:themeColor="text1"/>
        </w:rPr>
        <w:t>{P = 2.5ms, 1 DL slot, 0 DL sym, 0 UL sym, 1 UL slot}</w:t>
      </w:r>
      <w:r>
        <w:rPr>
          <w:color w:val="000000" w:themeColor="text1"/>
        </w:rPr>
        <w:t xml:space="preserve">, </w:t>
      </w:r>
      <w:r w:rsidRPr="00A34103">
        <w:rPr>
          <w:color w:val="000000" w:themeColor="text1"/>
        </w:rPr>
        <w:t>or D</w:t>
      </w:r>
      <w:r>
        <w:rPr>
          <w:color w:val="000000" w:themeColor="text1"/>
        </w:rPr>
        <w:t>FFF</w:t>
      </w:r>
      <w:r w:rsidRPr="00A34103">
        <w:rPr>
          <w:color w:val="000000" w:themeColor="text1"/>
        </w:rPr>
        <w:t>U</w:t>
      </w:r>
      <w:r>
        <w:rPr>
          <w:color w:val="000000" w:themeColor="text1"/>
        </w:rPr>
        <w:t xml:space="preserve">, the gNB can schedule UL transmissions to legacy UEs using the SBFD UL subband in flexible symbols of slots #1 and #2 (Figure </w:t>
      </w:r>
      <w:r w:rsidR="00860998">
        <w:rPr>
          <w:color w:val="000000" w:themeColor="text1"/>
        </w:rPr>
        <w:t>4</w:t>
      </w:r>
      <w:r>
        <w:rPr>
          <w:color w:val="000000" w:themeColor="text1"/>
        </w:rPr>
        <w:t>). The UL BWP</w:t>
      </w:r>
      <w:r w:rsidR="00A45402">
        <w:rPr>
          <w:color w:val="000000" w:themeColor="text1"/>
        </w:rPr>
        <w:t>s</w:t>
      </w:r>
      <w:r>
        <w:rPr>
          <w:color w:val="000000" w:themeColor="text1"/>
        </w:rPr>
        <w:t xml:space="preserve"> of the legacy UEs must be configured inside the BS channel BW such that they contain the SBFD UL subband.</w:t>
      </w:r>
    </w:p>
    <w:p w14:paraId="35EB35D1" w14:textId="77777777" w:rsidR="004A39C7" w:rsidRDefault="004A39C7" w:rsidP="004A39C7">
      <w:pPr>
        <w:spacing w:before="120" w:after="120"/>
        <w:jc w:val="both"/>
        <w:rPr>
          <w:color w:val="000000" w:themeColor="text1"/>
        </w:rPr>
      </w:pPr>
    </w:p>
    <w:p w14:paraId="15593103" w14:textId="5BC22450" w:rsidR="00DD0116" w:rsidRDefault="00DD0116" w:rsidP="004A39C7">
      <w:pPr>
        <w:pStyle w:val="a5"/>
        <w:jc w:val="center"/>
        <w:rPr>
          <w:b w:val="0"/>
          <w:bCs/>
          <w:lang w:val="en-CA"/>
        </w:rPr>
      </w:pPr>
      <w:r>
        <w:rPr>
          <w:b w:val="0"/>
          <w:bCs/>
          <w:noProof/>
          <w:lang w:eastAsia="ko-KR"/>
        </w:rPr>
        <w:drawing>
          <wp:inline distT="0" distB="0" distL="0" distR="0" wp14:anchorId="41F7E7E8" wp14:editId="6C8E21AC">
            <wp:extent cx="5203179" cy="1755445"/>
            <wp:effectExtent l="0" t="0" r="4445" b="0"/>
            <wp:docPr id="9" name="Picture 9" descr="Chart,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Chart, box and whisker chart&#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270753" cy="1778243"/>
                    </a:xfrm>
                    <a:prstGeom prst="rect">
                      <a:avLst/>
                    </a:prstGeom>
                  </pic:spPr>
                </pic:pic>
              </a:graphicData>
            </a:graphic>
          </wp:inline>
        </w:drawing>
      </w:r>
    </w:p>
    <w:p w14:paraId="0F1210A1" w14:textId="441A3319" w:rsidR="004A39C7" w:rsidRPr="00DE5441" w:rsidRDefault="004A39C7" w:rsidP="004A39C7">
      <w:pPr>
        <w:pStyle w:val="a5"/>
        <w:jc w:val="center"/>
        <w:rPr>
          <w:b w:val="0"/>
          <w:bCs/>
          <w:lang w:val="en-CA"/>
        </w:rPr>
      </w:pPr>
      <w:r w:rsidRPr="00DE5441">
        <w:rPr>
          <w:b w:val="0"/>
          <w:bCs/>
          <w:lang w:val="en-CA"/>
        </w:rPr>
        <w:t xml:space="preserve">Figure </w:t>
      </w:r>
      <w:r w:rsidR="00860998">
        <w:rPr>
          <w:b w:val="0"/>
          <w:bCs/>
        </w:rPr>
        <w:t>4</w:t>
      </w:r>
      <w:r w:rsidRPr="00DE5441">
        <w:rPr>
          <w:b w:val="0"/>
          <w:bCs/>
          <w:lang w:val="en-CA"/>
        </w:rPr>
        <w:t xml:space="preserve">: </w:t>
      </w:r>
      <w:r>
        <w:rPr>
          <w:b w:val="0"/>
          <w:bCs/>
          <w:lang w:val="en-CA"/>
        </w:rPr>
        <w:t>SBFD operation for legacy UEs without specification impact, e.g., transparent mode</w:t>
      </w:r>
    </w:p>
    <w:p w14:paraId="4314A7EF" w14:textId="77777777" w:rsidR="004A39C7" w:rsidRDefault="004A39C7" w:rsidP="004A39C7">
      <w:pPr>
        <w:jc w:val="both"/>
      </w:pPr>
    </w:p>
    <w:p w14:paraId="0A7B658D" w14:textId="0DF79552" w:rsidR="004A39C7" w:rsidRDefault="004A39C7" w:rsidP="004A39C7">
      <w:pPr>
        <w:spacing w:before="120" w:after="120"/>
        <w:jc w:val="both"/>
        <w:rPr>
          <w:color w:val="000000" w:themeColor="text1"/>
        </w:rPr>
      </w:pPr>
      <w:r>
        <w:rPr>
          <w:color w:val="000000" w:themeColor="text1"/>
        </w:rPr>
        <w:t>Note that we assume here that n</w:t>
      </w:r>
      <w:r w:rsidRPr="00C00028">
        <w:rPr>
          <w:color w:val="000000" w:themeColor="text1"/>
        </w:rPr>
        <w:t xml:space="preserve">o UE-dedicated, e.g., </w:t>
      </w:r>
      <w:r>
        <w:rPr>
          <w:color w:val="000000" w:themeColor="text1"/>
        </w:rPr>
        <w:t xml:space="preserve">no </w:t>
      </w:r>
      <w:r w:rsidRPr="00C00028">
        <w:rPr>
          <w:color w:val="000000" w:themeColor="text1"/>
        </w:rPr>
        <w:t xml:space="preserve">UE-specific RRC UL-DL frame configuration is provided to the UEs by </w:t>
      </w:r>
      <w:r>
        <w:rPr>
          <w:color w:val="000000" w:themeColor="text1"/>
        </w:rPr>
        <w:t>RRC</w:t>
      </w:r>
      <w:r w:rsidRPr="00C00028">
        <w:rPr>
          <w:color w:val="000000" w:themeColor="text1"/>
        </w:rPr>
        <w:t>.</w:t>
      </w:r>
      <w:r>
        <w:rPr>
          <w:color w:val="000000" w:themeColor="text1"/>
        </w:rPr>
        <w:t xml:space="preserve"> Similarly, </w:t>
      </w:r>
      <w:r w:rsidRPr="00C00028">
        <w:rPr>
          <w:color w:val="000000" w:themeColor="text1"/>
        </w:rPr>
        <w:t xml:space="preserve">SFI, e.g., DCI </w:t>
      </w:r>
      <w:r>
        <w:rPr>
          <w:color w:val="000000" w:themeColor="text1"/>
        </w:rPr>
        <w:t xml:space="preserve">format </w:t>
      </w:r>
      <w:r w:rsidRPr="00C00028">
        <w:rPr>
          <w:color w:val="000000" w:themeColor="text1"/>
        </w:rPr>
        <w:t xml:space="preserve">2_0 is </w:t>
      </w:r>
      <w:r w:rsidR="00A45402">
        <w:rPr>
          <w:color w:val="000000" w:themeColor="text1"/>
        </w:rPr>
        <w:t xml:space="preserve">not </w:t>
      </w:r>
      <w:r>
        <w:rPr>
          <w:color w:val="000000" w:themeColor="text1"/>
        </w:rPr>
        <w:t xml:space="preserve">assumed as </w:t>
      </w:r>
      <w:r w:rsidRPr="00C00028">
        <w:rPr>
          <w:color w:val="000000" w:themeColor="text1"/>
        </w:rPr>
        <w:t>configured.</w:t>
      </w:r>
      <w:r>
        <w:rPr>
          <w:color w:val="000000" w:themeColor="text1"/>
        </w:rPr>
        <w:t xml:space="preserve"> This </w:t>
      </w:r>
      <w:r w:rsidRPr="00C00028">
        <w:rPr>
          <w:color w:val="000000" w:themeColor="text1"/>
        </w:rPr>
        <w:t xml:space="preserve">corresponds to typical </w:t>
      </w:r>
      <w:r>
        <w:rPr>
          <w:color w:val="000000" w:themeColor="text1"/>
        </w:rPr>
        <w:t xml:space="preserve">NR </w:t>
      </w:r>
      <w:r w:rsidRPr="00C00028">
        <w:rPr>
          <w:color w:val="000000" w:themeColor="text1"/>
        </w:rPr>
        <w:t xml:space="preserve">TDD </w:t>
      </w:r>
      <w:r>
        <w:rPr>
          <w:color w:val="000000" w:themeColor="text1"/>
        </w:rPr>
        <w:t xml:space="preserve">operation </w:t>
      </w:r>
      <w:r w:rsidRPr="00C00028">
        <w:rPr>
          <w:color w:val="000000" w:themeColor="text1"/>
        </w:rPr>
        <w:t xml:space="preserve">where FG 5-1 </w:t>
      </w:r>
      <w:r>
        <w:rPr>
          <w:color w:val="000000" w:themeColor="text1"/>
        </w:rPr>
        <w:t xml:space="preserve">support </w:t>
      </w:r>
      <w:r w:rsidRPr="00C00028">
        <w:rPr>
          <w:color w:val="000000" w:themeColor="text1"/>
        </w:rPr>
        <w:t>is mandatory for the UE, but FG 5-1a (UE-specific RRC UL</w:t>
      </w:r>
      <w:r>
        <w:rPr>
          <w:color w:val="000000" w:themeColor="text1"/>
        </w:rPr>
        <w:t>-</w:t>
      </w:r>
      <w:r w:rsidRPr="00C00028">
        <w:rPr>
          <w:color w:val="000000" w:themeColor="text1"/>
        </w:rPr>
        <w:t>DL frame configuration) and FG 3-6 (SFI) are optional UE features</w:t>
      </w:r>
      <w:r>
        <w:rPr>
          <w:color w:val="000000" w:themeColor="text1"/>
        </w:rPr>
        <w:t xml:space="preserve"> (and not usually implemented)</w:t>
      </w:r>
      <w:r w:rsidRPr="00C00028">
        <w:rPr>
          <w:color w:val="000000" w:themeColor="text1"/>
        </w:rPr>
        <w:t>.</w:t>
      </w:r>
    </w:p>
    <w:p w14:paraId="3AF39103" w14:textId="77777777" w:rsidR="004A39C7" w:rsidRDefault="004A39C7" w:rsidP="004A39C7">
      <w:pPr>
        <w:spacing w:before="120" w:after="120"/>
        <w:jc w:val="both"/>
        <w:rPr>
          <w:color w:val="000000" w:themeColor="text1"/>
        </w:rPr>
      </w:pPr>
      <w:r>
        <w:rPr>
          <w:color w:val="000000" w:themeColor="text1"/>
        </w:rPr>
        <w:t>When DFFFU is configured, the gNB can transparently schedule UL transmissions to legacy UEs using the SBFD UL subband of slots #1 and #2, e.g., using UL resource allocation type 1. The R15 UE follows the gNB scheduling assignments for the semi-static symbols/slots configured as F. Limitations exist for example with respect to CSI-RS resource configurations when configured in these slots. UL scheduling by the gNB cancels UE reception for such RRC configured DL signals. Similar considerations apply to RRC configured UL signals/channels. Reception of a scheduling DCI by the UE will cancel the configured UL transmission and the UE transmits or receives the scheduled signal/channel. The R15 UE can be configured with multiple open loop power-control parameter sets when scheduled for UL transmissions in SBFD slots and the normal UL slot(s). The use of the DFFFU UL-DL frame configuration results in “transparent” SBFD operation, e.g., based on existing specifications and UE behavior.</w:t>
      </w:r>
    </w:p>
    <w:p w14:paraId="2D0F022C" w14:textId="4E1D0EC7" w:rsidR="004A39C7" w:rsidRPr="007B7943" w:rsidRDefault="0054281C" w:rsidP="007B7943">
      <w:pPr>
        <w:pStyle w:val="Proposal"/>
        <w:numPr>
          <w:ilvl w:val="0"/>
          <w:numId w:val="29"/>
        </w:numPr>
        <w:spacing w:before="120"/>
        <w:rPr>
          <w:color w:val="000000" w:themeColor="text1"/>
        </w:rPr>
      </w:pPr>
      <w:r>
        <w:rPr>
          <w:color w:val="000000" w:themeColor="text1"/>
        </w:rPr>
        <w:t>L</w:t>
      </w:r>
      <w:r w:rsidR="004A39C7" w:rsidRPr="007B7943">
        <w:rPr>
          <w:color w:val="000000" w:themeColor="text1"/>
        </w:rPr>
        <w:t>egacy UE</w:t>
      </w:r>
      <w:r>
        <w:rPr>
          <w:color w:val="000000" w:themeColor="text1"/>
        </w:rPr>
        <w:t>s</w:t>
      </w:r>
      <w:r w:rsidR="004A39C7" w:rsidRPr="007B7943">
        <w:rPr>
          <w:color w:val="000000" w:themeColor="text1"/>
        </w:rPr>
        <w:t xml:space="preserve"> can be scheduled in </w:t>
      </w:r>
      <w:r w:rsidR="000D5355">
        <w:rPr>
          <w:color w:val="000000" w:themeColor="text1"/>
        </w:rPr>
        <w:t xml:space="preserve">the </w:t>
      </w:r>
      <w:r w:rsidR="004A39C7" w:rsidRPr="007B7943">
        <w:rPr>
          <w:color w:val="000000" w:themeColor="text1"/>
        </w:rPr>
        <w:t xml:space="preserve">SBFD UL subband </w:t>
      </w:r>
      <w:r>
        <w:rPr>
          <w:color w:val="000000" w:themeColor="text1"/>
        </w:rPr>
        <w:t>b</w:t>
      </w:r>
      <w:r w:rsidRPr="007B7943">
        <w:rPr>
          <w:color w:val="000000" w:themeColor="text1"/>
        </w:rPr>
        <w:t xml:space="preserve">y configuring flexible symbols in </w:t>
      </w:r>
      <w:r>
        <w:rPr>
          <w:color w:val="000000" w:themeColor="text1"/>
        </w:rPr>
        <w:t xml:space="preserve">the </w:t>
      </w:r>
      <w:r w:rsidRPr="007B7943">
        <w:rPr>
          <w:color w:val="000000" w:themeColor="text1"/>
        </w:rPr>
        <w:t>SBFD</w:t>
      </w:r>
      <w:r>
        <w:rPr>
          <w:color w:val="000000" w:themeColor="text1"/>
        </w:rPr>
        <w:t xml:space="preserve"> slot</w:t>
      </w:r>
      <w:r w:rsidRPr="007B7943">
        <w:rPr>
          <w:color w:val="000000" w:themeColor="text1"/>
        </w:rPr>
        <w:t xml:space="preserve"> </w:t>
      </w:r>
      <w:r w:rsidR="000D5355">
        <w:rPr>
          <w:color w:val="000000" w:themeColor="text1"/>
        </w:rPr>
        <w:t xml:space="preserve">using existing </w:t>
      </w:r>
      <w:r w:rsidR="004A39C7" w:rsidRPr="007B7943">
        <w:rPr>
          <w:color w:val="000000" w:themeColor="text1"/>
        </w:rPr>
        <w:t>RAN1 specification</w:t>
      </w:r>
      <w:r w:rsidR="000D5355">
        <w:rPr>
          <w:color w:val="000000" w:themeColor="text1"/>
        </w:rPr>
        <w:t>s</w:t>
      </w:r>
      <w:r w:rsidR="00F94604">
        <w:rPr>
          <w:color w:val="000000" w:themeColor="text1"/>
        </w:rPr>
        <w:t xml:space="preserve"> and UE behavior</w:t>
      </w:r>
      <w:r w:rsidR="004A39C7" w:rsidRPr="007B7943">
        <w:rPr>
          <w:color w:val="000000" w:themeColor="text1"/>
        </w:rPr>
        <w:t>.</w:t>
      </w:r>
    </w:p>
    <w:p w14:paraId="3F7768CE" w14:textId="77777777" w:rsidR="000D5355" w:rsidRDefault="000D5355" w:rsidP="004A39C7">
      <w:pPr>
        <w:spacing w:before="120" w:after="120"/>
        <w:jc w:val="both"/>
        <w:rPr>
          <w:color w:val="000000" w:themeColor="text1"/>
        </w:rPr>
      </w:pPr>
    </w:p>
    <w:p w14:paraId="33D322E8" w14:textId="31E8AA8E" w:rsidR="004A39C7" w:rsidRDefault="004A39C7" w:rsidP="004A39C7">
      <w:pPr>
        <w:spacing w:before="120" w:after="120"/>
        <w:jc w:val="both"/>
        <w:rPr>
          <w:color w:val="000000" w:themeColor="text1"/>
        </w:rPr>
      </w:pPr>
      <w:r>
        <w:rPr>
          <w:color w:val="000000" w:themeColor="text1"/>
        </w:rPr>
        <w:t xml:space="preserve">Another consideration is the BWP configuration of the UE. In NR TDD, a DL and UL BWP pair with the same configured </w:t>
      </w:r>
      <w:r w:rsidRPr="00B84B24">
        <w:rPr>
          <w:i/>
          <w:iCs/>
          <w:color w:val="000000" w:themeColor="text1"/>
        </w:rPr>
        <w:t>bwp-id</w:t>
      </w:r>
      <w:r>
        <w:rPr>
          <w:color w:val="000000" w:themeColor="text1"/>
        </w:rPr>
        <w:t xml:space="preserve"> must have the same center frequency. Most UE implementations only support FG 6-0 (single BWP re-configurable by RRC). When UEs supporting only a single BWP are scheduled in the SBFD UL subband, the UE UL BWP must then be configured such that it comprises the entire SBFD UL subband. Depending on the frequency occupancy of the SBFD UL subband in the UE channel BW, the size of the UE DL BWP can then not always be selected by the gNB to fit the DL traffic profile of the UE under the condition that the center frequency of the DL and UL BWP pair remains aligned. This can negatively impact the UE power consumption during DL reception in RRC_CONNECTED. It is desirable for SBFD operation that a DL BWP of size from 20 to 40 MHz can be configured by the gNB without losing the ability to schedule the UE in the SBFD UL subband. When FGs 6-1 to 6-4 (2 or 4 BWPs with same or different SCS) are available in the UE implementation, the active BWP can be switched by DCI. However, DL switching delay of 2 or 5 slots in the SCS=30 kHz case </w:t>
      </w:r>
      <w:r w:rsidR="007C50E8">
        <w:rPr>
          <w:color w:val="000000" w:themeColor="text1"/>
        </w:rPr>
        <w:t>is</w:t>
      </w:r>
      <w:r>
        <w:rPr>
          <w:color w:val="000000" w:themeColor="text1"/>
        </w:rPr>
        <w:t xml:space="preserve"> incurred depending on the UE capability </w:t>
      </w:r>
      <w:r>
        <w:rPr>
          <w:i/>
          <w:iCs/>
          <w:color w:val="000000" w:themeColor="text1"/>
        </w:rPr>
        <w:t>bwp-SwitchingDelay</w:t>
      </w:r>
      <w:r>
        <w:rPr>
          <w:color w:val="000000" w:themeColor="text1"/>
        </w:rPr>
        <w:t>.</w:t>
      </w:r>
      <w:r>
        <w:rPr>
          <w:i/>
          <w:iCs/>
          <w:color w:val="000000" w:themeColor="text1"/>
        </w:rPr>
        <w:t xml:space="preserve"> </w:t>
      </w:r>
      <w:r>
        <w:rPr>
          <w:color w:val="000000" w:themeColor="text1"/>
        </w:rPr>
        <w:t>RRC re-configuration delay of a single BWP is even longer, e.g., 10 ms. Therefore, if BWP switching or re-configuration is used, the UE DL and UL UPT can be impacted.</w:t>
      </w:r>
    </w:p>
    <w:p w14:paraId="45EEFEB7" w14:textId="13FE71CA" w:rsidR="004A39C7" w:rsidRDefault="004A39C7" w:rsidP="004A39C7">
      <w:pPr>
        <w:spacing w:before="120" w:after="120"/>
        <w:jc w:val="both"/>
        <w:rPr>
          <w:color w:val="000000" w:themeColor="text1"/>
        </w:rPr>
      </w:pPr>
      <w:r>
        <w:rPr>
          <w:color w:val="000000" w:themeColor="text1"/>
        </w:rPr>
        <w:t>Generally, it is very desirable that the introduction of gNB-side SBFD in the TDD cell does not increase the UE implementation complexity. SBFD operation must therefore be possible for UEs supporting only a single BWP. Moreover, single local oscillator implementation for the UE TDD implementation when operating in an NR band must remain possible. SBFD operation assuming that UEs implement multiple BWPs should not be the design objective.</w:t>
      </w:r>
    </w:p>
    <w:p w14:paraId="7CAE838D" w14:textId="6FD7733B" w:rsidR="004A39C7" w:rsidRPr="00DC38E7" w:rsidRDefault="004A39C7" w:rsidP="004A39C7">
      <w:pPr>
        <w:pStyle w:val="Proposal"/>
        <w:spacing w:before="120"/>
      </w:pPr>
      <w:r>
        <w:rPr>
          <w:color w:val="000000" w:themeColor="text1"/>
        </w:rPr>
        <w:t xml:space="preserve">SBFD </w:t>
      </w:r>
      <w:r w:rsidR="00F94604">
        <w:rPr>
          <w:color w:val="000000" w:themeColor="text1"/>
        </w:rPr>
        <w:t xml:space="preserve">operation </w:t>
      </w:r>
      <w:r>
        <w:rPr>
          <w:color w:val="000000" w:themeColor="text1"/>
        </w:rPr>
        <w:t xml:space="preserve">is supported for UEs implementing </w:t>
      </w:r>
      <w:r w:rsidR="00F94604">
        <w:rPr>
          <w:color w:val="000000" w:themeColor="text1"/>
        </w:rPr>
        <w:t xml:space="preserve">only </w:t>
      </w:r>
      <w:r>
        <w:rPr>
          <w:color w:val="000000" w:themeColor="text1"/>
        </w:rPr>
        <w:t>a single DL and UL BWP pair with aligned center frequency</w:t>
      </w:r>
    </w:p>
    <w:p w14:paraId="1A003E5E" w14:textId="77777777" w:rsidR="004A39C7" w:rsidRDefault="004A39C7" w:rsidP="00411EB4">
      <w:pPr>
        <w:spacing w:before="120" w:after="120"/>
        <w:jc w:val="both"/>
        <w:rPr>
          <w:color w:val="000000" w:themeColor="text1"/>
        </w:rPr>
      </w:pPr>
    </w:p>
    <w:p w14:paraId="6F6C0500" w14:textId="328456BC" w:rsidR="00411EB4" w:rsidRDefault="00317085" w:rsidP="00411EB4">
      <w:pPr>
        <w:spacing w:before="120" w:after="120"/>
        <w:jc w:val="both"/>
        <w:rPr>
          <w:color w:val="000000" w:themeColor="text1"/>
        </w:rPr>
      </w:pPr>
      <w:r>
        <w:rPr>
          <w:color w:val="000000" w:themeColor="text1"/>
        </w:rPr>
        <w:t>When SBFD is supported in a TDD serving cell of an NR band, l</w:t>
      </w:r>
      <w:r w:rsidR="00411EB4">
        <w:rPr>
          <w:color w:val="000000" w:themeColor="text1"/>
        </w:rPr>
        <w:t xml:space="preserve">egacy NR UEs can use </w:t>
      </w:r>
      <w:r w:rsidR="00134D27">
        <w:rPr>
          <w:color w:val="000000" w:themeColor="text1"/>
        </w:rPr>
        <w:t>intra-band</w:t>
      </w:r>
      <w:r w:rsidR="001B3E71">
        <w:rPr>
          <w:color w:val="000000" w:themeColor="text1"/>
        </w:rPr>
        <w:t xml:space="preserve"> CA</w:t>
      </w:r>
      <w:r w:rsidR="00134D27">
        <w:rPr>
          <w:color w:val="000000" w:themeColor="text1"/>
        </w:rPr>
        <w:t xml:space="preserve">, inter-band </w:t>
      </w:r>
      <w:r w:rsidR="001B3E71">
        <w:rPr>
          <w:color w:val="000000" w:themeColor="text1"/>
        </w:rPr>
        <w:t xml:space="preserve">CA, </w:t>
      </w:r>
      <w:r w:rsidR="00134D27">
        <w:rPr>
          <w:color w:val="000000" w:themeColor="text1"/>
        </w:rPr>
        <w:t xml:space="preserve">FR1-FR2 </w:t>
      </w:r>
      <w:r w:rsidR="00411EB4">
        <w:rPr>
          <w:color w:val="000000" w:themeColor="text1"/>
        </w:rPr>
        <w:t>CA</w:t>
      </w:r>
      <w:r w:rsidR="00134D27">
        <w:rPr>
          <w:color w:val="000000" w:themeColor="text1"/>
        </w:rPr>
        <w:t xml:space="preserve">, EN-DC or </w:t>
      </w:r>
      <w:r w:rsidR="00411EB4">
        <w:rPr>
          <w:color w:val="000000" w:themeColor="text1"/>
        </w:rPr>
        <w:t>NR</w:t>
      </w:r>
      <w:r w:rsidR="001B3E71">
        <w:rPr>
          <w:color w:val="000000" w:themeColor="text1"/>
        </w:rPr>
        <w:t>-</w:t>
      </w:r>
      <w:r w:rsidR="00411EB4">
        <w:rPr>
          <w:color w:val="000000" w:themeColor="text1"/>
        </w:rPr>
        <w:t>DC. The TDD cell with SBFD must be able to operate as PCell, SCell or SpCell for the legacy UEs.</w:t>
      </w:r>
    </w:p>
    <w:p w14:paraId="1E08CD02" w14:textId="5980C043" w:rsidR="00411EB4" w:rsidRDefault="001B3E71" w:rsidP="00021F86">
      <w:pPr>
        <w:spacing w:before="120" w:after="120"/>
        <w:jc w:val="both"/>
        <w:rPr>
          <w:color w:val="000000" w:themeColor="text1"/>
        </w:rPr>
      </w:pPr>
      <w:r>
        <w:rPr>
          <w:color w:val="000000" w:themeColor="text1"/>
        </w:rPr>
        <w:t xml:space="preserve">Using the example of </w:t>
      </w:r>
      <w:r w:rsidR="00411EB4">
        <w:rPr>
          <w:color w:val="000000" w:themeColor="text1"/>
        </w:rPr>
        <w:t>FR1-FR1 inter-band CA, it can be expected that the mid-band TDD cell with SBFD will often be configured as SCell</w:t>
      </w:r>
      <w:r w:rsidR="004635AA">
        <w:rPr>
          <w:color w:val="000000" w:themeColor="text1"/>
        </w:rPr>
        <w:t xml:space="preserve"> (Figure </w:t>
      </w:r>
      <w:r w:rsidR="00860998">
        <w:rPr>
          <w:color w:val="000000" w:themeColor="text1"/>
        </w:rPr>
        <w:t>5</w:t>
      </w:r>
      <w:r w:rsidR="004635AA">
        <w:rPr>
          <w:color w:val="000000" w:themeColor="text1"/>
        </w:rPr>
        <w:t>)</w:t>
      </w:r>
      <w:r w:rsidR="00411EB4">
        <w:rPr>
          <w:color w:val="000000" w:themeColor="text1"/>
        </w:rPr>
        <w:t xml:space="preserve">. </w:t>
      </w:r>
      <w:r>
        <w:rPr>
          <w:color w:val="000000" w:themeColor="text1"/>
        </w:rPr>
        <w:t xml:space="preserve">Relevant deployment cases </w:t>
      </w:r>
      <w:r w:rsidR="00411EB4">
        <w:rPr>
          <w:color w:val="000000" w:themeColor="text1"/>
        </w:rPr>
        <w:t>are n3+</w:t>
      </w:r>
      <w:r w:rsidR="00411EB4" w:rsidRPr="00511080">
        <w:rPr>
          <w:color w:val="000000" w:themeColor="text1"/>
        </w:rPr>
        <w:t xml:space="preserve">n78 </w:t>
      </w:r>
      <w:r w:rsidR="00411EB4">
        <w:rPr>
          <w:color w:val="000000" w:themeColor="text1"/>
        </w:rPr>
        <w:t xml:space="preserve">or n41+n78. The n78 </w:t>
      </w:r>
      <w:r w:rsidR="002B6319">
        <w:rPr>
          <w:color w:val="000000" w:themeColor="text1"/>
        </w:rPr>
        <w:t xml:space="preserve">(3.5 GHz) </w:t>
      </w:r>
      <w:r w:rsidR="00411EB4">
        <w:rPr>
          <w:color w:val="000000" w:themeColor="text1"/>
        </w:rPr>
        <w:t xml:space="preserve">TDD cell with SBFD can use up to </w:t>
      </w:r>
      <w:r w:rsidR="00411EB4" w:rsidRPr="00511080">
        <w:rPr>
          <w:color w:val="000000" w:themeColor="text1"/>
        </w:rPr>
        <w:t xml:space="preserve">100 MHz </w:t>
      </w:r>
      <w:r w:rsidR="00411EB4">
        <w:rPr>
          <w:color w:val="000000" w:themeColor="text1"/>
        </w:rPr>
        <w:t xml:space="preserve">channel BW. The </w:t>
      </w:r>
      <w:r w:rsidR="00411EB4" w:rsidRPr="00511080">
        <w:rPr>
          <w:color w:val="000000" w:themeColor="text1"/>
        </w:rPr>
        <w:t xml:space="preserve">n3 </w:t>
      </w:r>
      <w:r w:rsidR="00411EB4">
        <w:rPr>
          <w:color w:val="000000" w:themeColor="text1"/>
        </w:rPr>
        <w:t>(</w:t>
      </w:r>
      <w:r w:rsidR="00411EB4" w:rsidRPr="00511080">
        <w:rPr>
          <w:color w:val="000000" w:themeColor="text1"/>
        </w:rPr>
        <w:t>1.7 GHz)</w:t>
      </w:r>
      <w:r w:rsidR="00411EB4">
        <w:rPr>
          <w:color w:val="000000" w:themeColor="text1"/>
        </w:rPr>
        <w:t xml:space="preserve"> FDD carrier or the n41 (2.5 </w:t>
      </w:r>
      <w:r w:rsidR="00411EB4">
        <w:rPr>
          <w:color w:val="000000" w:themeColor="text1"/>
        </w:rPr>
        <w:lastRenderedPageBreak/>
        <w:t xml:space="preserve">GHz) TDD carrier provide the coverage layer and are configured as PCell for the legacy UEs. </w:t>
      </w:r>
      <w:r w:rsidR="00411EB4" w:rsidRPr="00511080">
        <w:rPr>
          <w:color w:val="000000" w:themeColor="text1"/>
        </w:rPr>
        <w:t>Note</w:t>
      </w:r>
      <w:r w:rsidR="00411EB4">
        <w:rPr>
          <w:color w:val="000000" w:themeColor="text1"/>
        </w:rPr>
        <w:t xml:space="preserve"> that</w:t>
      </w:r>
      <w:r w:rsidR="00411EB4" w:rsidRPr="00511080">
        <w:rPr>
          <w:color w:val="000000" w:themeColor="text1"/>
        </w:rPr>
        <w:t xml:space="preserve"> simultaneous Tx</w:t>
      </w:r>
      <w:r w:rsidR="00411EB4">
        <w:rPr>
          <w:color w:val="000000" w:themeColor="text1"/>
        </w:rPr>
        <w:t>/Rx</w:t>
      </w:r>
      <w:r w:rsidR="00411EB4" w:rsidRPr="00511080">
        <w:rPr>
          <w:color w:val="000000" w:themeColor="text1"/>
        </w:rPr>
        <w:t xml:space="preserve"> capability is </w:t>
      </w:r>
      <w:r w:rsidR="00411EB4">
        <w:rPr>
          <w:color w:val="000000" w:themeColor="text1"/>
        </w:rPr>
        <w:t xml:space="preserve">mandated for the </w:t>
      </w:r>
      <w:r w:rsidR="00411EB4" w:rsidRPr="00511080">
        <w:rPr>
          <w:color w:val="000000" w:themeColor="text1"/>
        </w:rPr>
        <w:t xml:space="preserve">UE </w:t>
      </w:r>
      <w:r w:rsidR="002B6319">
        <w:rPr>
          <w:color w:val="000000" w:themeColor="text1"/>
        </w:rPr>
        <w:t xml:space="preserve">for </w:t>
      </w:r>
      <w:r w:rsidR="00411EB4" w:rsidRPr="00511080">
        <w:rPr>
          <w:color w:val="000000" w:themeColor="text1"/>
        </w:rPr>
        <w:t>n3+n78, but not for n41+n78</w:t>
      </w:r>
      <w:r w:rsidR="00411EB4">
        <w:rPr>
          <w:color w:val="000000" w:themeColor="text1"/>
        </w:rPr>
        <w:t>.</w:t>
      </w:r>
      <w:r w:rsidR="00021F86">
        <w:rPr>
          <w:color w:val="000000" w:themeColor="text1"/>
        </w:rPr>
        <w:t xml:space="preserve"> In this case, the </w:t>
      </w:r>
      <w:r w:rsidR="00021F86" w:rsidRPr="00021F86">
        <w:rPr>
          <w:color w:val="000000" w:themeColor="text1"/>
        </w:rPr>
        <w:t xml:space="preserve">PCell </w:t>
      </w:r>
      <w:r w:rsidRPr="00021F86">
        <w:rPr>
          <w:color w:val="000000" w:themeColor="text1"/>
        </w:rPr>
        <w:t>is in</w:t>
      </w:r>
      <w:r w:rsidR="00021F86" w:rsidRPr="00021F86">
        <w:rPr>
          <w:color w:val="000000" w:themeColor="text1"/>
        </w:rPr>
        <w:t xml:space="preserve"> a different band </w:t>
      </w:r>
      <w:r w:rsidR="00021F86">
        <w:rPr>
          <w:color w:val="000000" w:themeColor="text1"/>
        </w:rPr>
        <w:t xml:space="preserve">and the TDD </w:t>
      </w:r>
      <w:r w:rsidR="00021F86" w:rsidRPr="00021F86">
        <w:rPr>
          <w:color w:val="000000" w:themeColor="text1"/>
        </w:rPr>
        <w:t xml:space="preserve">SCell with </w:t>
      </w:r>
      <w:r w:rsidR="00021F86">
        <w:rPr>
          <w:color w:val="000000" w:themeColor="text1"/>
        </w:rPr>
        <w:t xml:space="preserve">SBFD </w:t>
      </w:r>
      <w:r w:rsidR="00021F86" w:rsidRPr="00021F86">
        <w:rPr>
          <w:color w:val="000000" w:themeColor="text1"/>
        </w:rPr>
        <w:t>will then carry DL data</w:t>
      </w:r>
      <w:r w:rsidR="00021F86">
        <w:rPr>
          <w:color w:val="000000" w:themeColor="text1"/>
        </w:rPr>
        <w:t xml:space="preserve">. </w:t>
      </w:r>
      <w:r>
        <w:rPr>
          <w:color w:val="000000" w:themeColor="text1"/>
        </w:rPr>
        <w:t xml:space="preserve">The </w:t>
      </w:r>
      <w:r w:rsidR="00021F86">
        <w:rPr>
          <w:color w:val="000000" w:themeColor="text1"/>
        </w:rPr>
        <w:t xml:space="preserve">TDD SCell with SBFD </w:t>
      </w:r>
      <w:r>
        <w:rPr>
          <w:color w:val="000000" w:themeColor="text1"/>
        </w:rPr>
        <w:t>will then mostly be used for DL data</w:t>
      </w:r>
      <w:r w:rsidR="00021F86" w:rsidRPr="00021F86">
        <w:rPr>
          <w:color w:val="000000" w:themeColor="text1"/>
        </w:rPr>
        <w:t xml:space="preserve">, so </w:t>
      </w:r>
      <w:r w:rsidR="00021F86">
        <w:rPr>
          <w:color w:val="000000" w:themeColor="text1"/>
        </w:rPr>
        <w:t xml:space="preserve">the </w:t>
      </w:r>
      <w:r>
        <w:rPr>
          <w:color w:val="000000" w:themeColor="text1"/>
        </w:rPr>
        <w:t xml:space="preserve">SCell </w:t>
      </w:r>
      <w:r w:rsidR="00021F86" w:rsidRPr="00021F86">
        <w:rPr>
          <w:color w:val="000000" w:themeColor="text1"/>
        </w:rPr>
        <w:t xml:space="preserve">UL </w:t>
      </w:r>
      <w:r w:rsidR="00021F86">
        <w:rPr>
          <w:color w:val="000000" w:themeColor="text1"/>
        </w:rPr>
        <w:t xml:space="preserve">does not </w:t>
      </w:r>
      <w:r w:rsidR="00021F86" w:rsidRPr="00021F86">
        <w:rPr>
          <w:color w:val="000000" w:themeColor="text1"/>
        </w:rPr>
        <w:t xml:space="preserve">benefit from </w:t>
      </w:r>
      <w:r>
        <w:rPr>
          <w:color w:val="000000" w:themeColor="text1"/>
        </w:rPr>
        <w:t xml:space="preserve">the availability of </w:t>
      </w:r>
      <w:r w:rsidR="00021F86">
        <w:rPr>
          <w:color w:val="000000" w:themeColor="text1"/>
        </w:rPr>
        <w:t>SBFD.</w:t>
      </w:r>
    </w:p>
    <w:p w14:paraId="7AA22B8B" w14:textId="01A4BF99" w:rsidR="00A51238" w:rsidRPr="00DF346E" w:rsidRDefault="00A51238" w:rsidP="00A51238">
      <w:pPr>
        <w:tabs>
          <w:tab w:val="num" w:pos="720"/>
        </w:tabs>
        <w:spacing w:before="120" w:after="120"/>
        <w:jc w:val="both"/>
        <w:rPr>
          <w:color w:val="000000" w:themeColor="text1"/>
        </w:rPr>
      </w:pPr>
      <w:r>
        <w:rPr>
          <w:color w:val="000000" w:themeColor="text1"/>
        </w:rPr>
        <w:t xml:space="preserve">Using the example of FR1-FR2 CA, it is possible that the mid-band TDD cell with SBFD is configured as PCell. One relevant case is </w:t>
      </w:r>
      <w:r w:rsidRPr="00CF2F8E">
        <w:rPr>
          <w:color w:val="000000" w:themeColor="text1"/>
        </w:rPr>
        <w:t>n78</w:t>
      </w:r>
      <w:r>
        <w:rPr>
          <w:color w:val="000000" w:themeColor="text1"/>
        </w:rPr>
        <w:t>+</w:t>
      </w:r>
      <w:r w:rsidRPr="00CF2F8E">
        <w:rPr>
          <w:color w:val="000000" w:themeColor="text1"/>
        </w:rPr>
        <w:t>n257</w:t>
      </w:r>
      <w:r>
        <w:rPr>
          <w:color w:val="000000" w:themeColor="text1"/>
        </w:rPr>
        <w:t xml:space="preserve">. For example, the n257 </w:t>
      </w:r>
      <w:r w:rsidRPr="00CF2F8E">
        <w:rPr>
          <w:color w:val="000000" w:themeColor="text1"/>
        </w:rPr>
        <w:t>(28 GHz)</w:t>
      </w:r>
      <w:r>
        <w:rPr>
          <w:color w:val="000000" w:themeColor="text1"/>
        </w:rPr>
        <w:t xml:space="preserve"> TDD cell is then configured with </w:t>
      </w:r>
      <w:r w:rsidRPr="00CF2F8E">
        <w:rPr>
          <w:color w:val="000000" w:themeColor="text1"/>
        </w:rPr>
        <w:t>200 MHz</w:t>
      </w:r>
      <w:r>
        <w:rPr>
          <w:color w:val="000000" w:themeColor="text1"/>
        </w:rPr>
        <w:t xml:space="preserve"> and </w:t>
      </w:r>
      <w:r w:rsidRPr="00CF2F8E">
        <w:rPr>
          <w:color w:val="000000" w:themeColor="text1"/>
        </w:rPr>
        <w:t>120 kHz</w:t>
      </w:r>
      <w:r>
        <w:rPr>
          <w:color w:val="000000" w:themeColor="text1"/>
        </w:rPr>
        <w:t xml:space="preserve">. </w:t>
      </w:r>
      <w:r w:rsidRPr="00CF2F8E">
        <w:rPr>
          <w:color w:val="000000" w:themeColor="text1"/>
        </w:rPr>
        <w:t>Note</w:t>
      </w:r>
      <w:r>
        <w:rPr>
          <w:color w:val="000000" w:themeColor="text1"/>
        </w:rPr>
        <w:t xml:space="preserve"> that </w:t>
      </w:r>
      <w:r w:rsidRPr="00CF2F8E">
        <w:rPr>
          <w:color w:val="000000" w:themeColor="text1"/>
        </w:rPr>
        <w:t>simultaneous Tx</w:t>
      </w:r>
      <w:r>
        <w:rPr>
          <w:color w:val="000000" w:themeColor="text1"/>
        </w:rPr>
        <w:t>/Rx</w:t>
      </w:r>
      <w:r w:rsidRPr="00CF2F8E">
        <w:rPr>
          <w:color w:val="000000" w:themeColor="text1"/>
        </w:rPr>
        <w:t xml:space="preserve"> capability is mandatory for the UE for this combination (like for any FR1-FR2</w:t>
      </w:r>
      <w:r>
        <w:rPr>
          <w:color w:val="000000" w:themeColor="text1"/>
        </w:rPr>
        <w:t xml:space="preserve"> combination</w:t>
      </w:r>
      <w:r w:rsidRPr="00CF2F8E">
        <w:rPr>
          <w:color w:val="000000" w:themeColor="text1"/>
        </w:rPr>
        <w:t>)</w:t>
      </w:r>
      <w:r>
        <w:rPr>
          <w:color w:val="000000" w:themeColor="text1"/>
        </w:rPr>
        <w:t xml:space="preserve">. The FR1 TDD </w:t>
      </w:r>
      <w:r w:rsidRPr="00DF346E">
        <w:rPr>
          <w:color w:val="000000" w:themeColor="text1"/>
        </w:rPr>
        <w:t xml:space="preserve">PCell with </w:t>
      </w:r>
      <w:r>
        <w:rPr>
          <w:color w:val="000000" w:themeColor="text1"/>
        </w:rPr>
        <w:t xml:space="preserve">SBFD </w:t>
      </w:r>
      <w:r w:rsidRPr="00DF346E">
        <w:rPr>
          <w:color w:val="000000" w:themeColor="text1"/>
        </w:rPr>
        <w:t>carr</w:t>
      </w:r>
      <w:r>
        <w:rPr>
          <w:color w:val="000000" w:themeColor="text1"/>
        </w:rPr>
        <w:t>ies</w:t>
      </w:r>
      <w:r w:rsidRPr="00DF346E">
        <w:rPr>
          <w:color w:val="000000" w:themeColor="text1"/>
        </w:rPr>
        <w:t xml:space="preserve"> DL &amp; UL control (L1</w:t>
      </w:r>
      <w:r>
        <w:rPr>
          <w:color w:val="000000" w:themeColor="text1"/>
        </w:rPr>
        <w:t xml:space="preserve">, RRC, </w:t>
      </w:r>
      <w:r w:rsidRPr="00DF346E">
        <w:rPr>
          <w:color w:val="000000" w:themeColor="text1"/>
        </w:rPr>
        <w:t>NAS) for both CCs</w:t>
      </w:r>
      <w:r>
        <w:rPr>
          <w:color w:val="000000" w:themeColor="text1"/>
        </w:rPr>
        <w:t xml:space="preserve">. The FR1 TDD PCell with SBFD may </w:t>
      </w:r>
      <w:r w:rsidRPr="00DF346E">
        <w:rPr>
          <w:color w:val="000000" w:themeColor="text1"/>
        </w:rPr>
        <w:t xml:space="preserve">carry </w:t>
      </w:r>
      <w:r>
        <w:rPr>
          <w:color w:val="000000" w:themeColor="text1"/>
        </w:rPr>
        <w:t xml:space="preserve">both </w:t>
      </w:r>
      <w:r w:rsidRPr="00DF346E">
        <w:rPr>
          <w:color w:val="000000" w:themeColor="text1"/>
        </w:rPr>
        <w:t xml:space="preserve">DL </w:t>
      </w:r>
      <w:r>
        <w:rPr>
          <w:color w:val="000000" w:themeColor="text1"/>
        </w:rPr>
        <w:t>and</w:t>
      </w:r>
      <w:r w:rsidRPr="00DF346E">
        <w:rPr>
          <w:color w:val="000000" w:themeColor="text1"/>
        </w:rPr>
        <w:t xml:space="preserve"> UL data</w:t>
      </w:r>
      <w:r>
        <w:rPr>
          <w:color w:val="000000" w:themeColor="text1"/>
        </w:rPr>
        <w:t>, so improved UL performance in the PCell with SBFD is beneficial.</w:t>
      </w:r>
    </w:p>
    <w:p w14:paraId="29D9B939" w14:textId="77777777" w:rsidR="008F0C73" w:rsidRDefault="008F0C73" w:rsidP="00021F86">
      <w:pPr>
        <w:spacing w:before="120" w:after="120"/>
        <w:jc w:val="both"/>
        <w:rPr>
          <w:color w:val="000000" w:themeColor="text1"/>
        </w:rPr>
      </w:pPr>
    </w:p>
    <w:p w14:paraId="06A89084" w14:textId="102581ED" w:rsidR="00FB4492" w:rsidRDefault="004635AA" w:rsidP="00FB4492">
      <w:pPr>
        <w:spacing w:before="120" w:after="120"/>
        <w:jc w:val="center"/>
        <w:rPr>
          <w:color w:val="000000" w:themeColor="text1"/>
        </w:rPr>
      </w:pPr>
      <w:r>
        <w:rPr>
          <w:noProof/>
          <w:color w:val="000000" w:themeColor="text1"/>
          <w:lang w:eastAsia="ko-KR"/>
        </w:rPr>
        <w:drawing>
          <wp:inline distT="0" distB="0" distL="0" distR="0" wp14:anchorId="09F60F1B" wp14:editId="744E1256">
            <wp:extent cx="5427478" cy="2638004"/>
            <wp:effectExtent l="0" t="0" r="0" b="3810"/>
            <wp:docPr id="4" name="Picture 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10;&#10;Description automatically generat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518434" cy="2682213"/>
                    </a:xfrm>
                    <a:prstGeom prst="rect">
                      <a:avLst/>
                    </a:prstGeom>
                  </pic:spPr>
                </pic:pic>
              </a:graphicData>
            </a:graphic>
          </wp:inline>
        </w:drawing>
      </w:r>
    </w:p>
    <w:p w14:paraId="0BBCDACB" w14:textId="6A58DD75" w:rsidR="00FB4492" w:rsidRPr="00DE5441" w:rsidRDefault="00FB4492" w:rsidP="00FB4492">
      <w:pPr>
        <w:pStyle w:val="a5"/>
        <w:jc w:val="center"/>
        <w:rPr>
          <w:b w:val="0"/>
          <w:bCs/>
          <w:lang w:val="en-CA"/>
        </w:rPr>
      </w:pPr>
      <w:r w:rsidRPr="00DE5441">
        <w:rPr>
          <w:b w:val="0"/>
          <w:bCs/>
          <w:lang w:val="en-CA"/>
        </w:rPr>
        <w:t xml:space="preserve">Figure </w:t>
      </w:r>
      <w:r w:rsidR="00860998">
        <w:rPr>
          <w:b w:val="0"/>
          <w:bCs/>
        </w:rPr>
        <w:t>5</w:t>
      </w:r>
      <w:r w:rsidRPr="00DE5441">
        <w:rPr>
          <w:b w:val="0"/>
          <w:bCs/>
          <w:lang w:val="en-CA"/>
        </w:rPr>
        <w:t xml:space="preserve">: </w:t>
      </w:r>
      <w:r w:rsidR="004635AA">
        <w:rPr>
          <w:b w:val="0"/>
          <w:bCs/>
          <w:lang w:val="en-CA"/>
        </w:rPr>
        <w:t>SBFD on SCell for FR1 inter-band CA (n41+n78)</w:t>
      </w:r>
    </w:p>
    <w:p w14:paraId="69F22BAC" w14:textId="77777777" w:rsidR="008F0C73" w:rsidRDefault="008F0C73" w:rsidP="00DF346E">
      <w:pPr>
        <w:tabs>
          <w:tab w:val="num" w:pos="720"/>
        </w:tabs>
        <w:spacing w:before="120" w:after="120"/>
        <w:jc w:val="both"/>
        <w:rPr>
          <w:color w:val="000000" w:themeColor="text1"/>
        </w:rPr>
      </w:pPr>
    </w:p>
    <w:p w14:paraId="7E301DCA" w14:textId="0D2FACDD" w:rsidR="00134D27" w:rsidRPr="00CF2F8E" w:rsidRDefault="001D3352" w:rsidP="00CF2F8E">
      <w:pPr>
        <w:tabs>
          <w:tab w:val="num" w:pos="720"/>
        </w:tabs>
        <w:spacing w:before="120" w:after="120"/>
        <w:jc w:val="both"/>
        <w:rPr>
          <w:color w:val="000000" w:themeColor="text1"/>
          <w:lang w:val="en-CA"/>
        </w:rPr>
      </w:pPr>
      <w:r>
        <w:rPr>
          <w:color w:val="000000" w:themeColor="text1"/>
        </w:rPr>
        <w:t xml:space="preserve">Examples </w:t>
      </w:r>
      <w:r w:rsidR="00614C8D">
        <w:rPr>
          <w:color w:val="000000" w:themeColor="text1"/>
        </w:rPr>
        <w:t xml:space="preserve">for EN-DC or NR-DC </w:t>
      </w:r>
      <w:r>
        <w:rPr>
          <w:color w:val="000000" w:themeColor="text1"/>
        </w:rPr>
        <w:t>are</w:t>
      </w:r>
      <w:r w:rsidR="00614C8D">
        <w:rPr>
          <w:color w:val="000000" w:themeColor="text1"/>
        </w:rPr>
        <w:t xml:space="preserve"> </w:t>
      </w:r>
      <w:r w:rsidR="00134D27">
        <w:rPr>
          <w:color w:val="000000" w:themeColor="text1"/>
        </w:rPr>
        <w:t>inter-band EN-DC within FR1, e.g., DC_</w:t>
      </w:r>
      <w:r>
        <w:rPr>
          <w:color w:val="000000" w:themeColor="text1"/>
        </w:rPr>
        <w:t>1A</w:t>
      </w:r>
      <w:r w:rsidR="00134D27">
        <w:rPr>
          <w:color w:val="000000" w:themeColor="text1"/>
        </w:rPr>
        <w:t>_n78</w:t>
      </w:r>
      <w:r>
        <w:rPr>
          <w:color w:val="000000" w:themeColor="text1"/>
        </w:rPr>
        <w:t xml:space="preserve">A or FR1-FR2 inter-band </w:t>
      </w:r>
      <w:r w:rsidRPr="001D3352">
        <w:rPr>
          <w:color w:val="000000" w:themeColor="text1"/>
        </w:rPr>
        <w:t>DC_n78A-n257A</w:t>
      </w:r>
      <w:r>
        <w:rPr>
          <w:color w:val="000000" w:themeColor="text1"/>
        </w:rPr>
        <w:t xml:space="preserve"> using 2 bands.</w:t>
      </w:r>
      <w:r w:rsidR="00021F86">
        <w:rPr>
          <w:color w:val="000000" w:themeColor="text1"/>
        </w:rPr>
        <w:t xml:space="preserve"> </w:t>
      </w:r>
      <w:r w:rsidR="00614C8D">
        <w:rPr>
          <w:color w:val="000000" w:themeColor="text1"/>
        </w:rPr>
        <w:t xml:space="preserve">Note that </w:t>
      </w:r>
      <w:r w:rsidR="00021F86" w:rsidRPr="00021F86">
        <w:rPr>
          <w:color w:val="000000" w:themeColor="text1"/>
        </w:rPr>
        <w:t xml:space="preserve">UL data </w:t>
      </w:r>
      <w:r w:rsidR="00614C8D">
        <w:rPr>
          <w:color w:val="000000" w:themeColor="text1"/>
        </w:rPr>
        <w:t xml:space="preserve">is </w:t>
      </w:r>
      <w:r w:rsidR="00E9320D">
        <w:rPr>
          <w:color w:val="000000" w:themeColor="text1"/>
        </w:rPr>
        <w:t xml:space="preserve">then </w:t>
      </w:r>
      <w:r w:rsidR="00021F86" w:rsidRPr="00021F86">
        <w:rPr>
          <w:color w:val="000000" w:themeColor="text1"/>
        </w:rPr>
        <w:t xml:space="preserve">present </w:t>
      </w:r>
      <w:r w:rsidR="00614C8D">
        <w:rPr>
          <w:color w:val="000000" w:themeColor="text1"/>
        </w:rPr>
        <w:t xml:space="preserve">in both cases on the </w:t>
      </w:r>
      <w:r w:rsidR="00DE5441">
        <w:rPr>
          <w:color w:val="000000" w:themeColor="text1"/>
        </w:rPr>
        <w:t xml:space="preserve">n78 </w:t>
      </w:r>
      <w:r w:rsidR="00614C8D">
        <w:rPr>
          <w:color w:val="000000" w:themeColor="text1"/>
        </w:rPr>
        <w:t xml:space="preserve">TDD cell with SBFD, so </w:t>
      </w:r>
      <w:r w:rsidR="00DE5441">
        <w:rPr>
          <w:color w:val="000000" w:themeColor="text1"/>
        </w:rPr>
        <w:t xml:space="preserve">any </w:t>
      </w:r>
      <w:r w:rsidR="00614C8D">
        <w:rPr>
          <w:color w:val="000000" w:themeColor="text1"/>
        </w:rPr>
        <w:t>benefits (or penalties</w:t>
      </w:r>
      <w:r w:rsidR="00DE5441">
        <w:rPr>
          <w:color w:val="000000" w:themeColor="text1"/>
        </w:rPr>
        <w:t xml:space="preserve"> incurred</w:t>
      </w:r>
      <w:r w:rsidR="00614C8D">
        <w:rPr>
          <w:color w:val="000000" w:themeColor="text1"/>
        </w:rPr>
        <w:t>) from introduction of SBFD</w:t>
      </w:r>
      <w:r w:rsidR="00DE5441">
        <w:rPr>
          <w:color w:val="000000" w:themeColor="text1"/>
        </w:rPr>
        <w:t xml:space="preserve"> apply</w:t>
      </w:r>
      <w:r w:rsidR="00614C8D">
        <w:rPr>
          <w:color w:val="000000" w:themeColor="text1"/>
        </w:rPr>
        <w:t>.</w:t>
      </w:r>
    </w:p>
    <w:p w14:paraId="3B7575A7" w14:textId="6B58B2C2" w:rsidR="0078425E" w:rsidRDefault="00DF346E" w:rsidP="00411EB4">
      <w:pPr>
        <w:spacing w:before="120" w:after="120"/>
        <w:jc w:val="both"/>
        <w:rPr>
          <w:color w:val="000000" w:themeColor="text1"/>
        </w:rPr>
      </w:pPr>
      <w:r>
        <w:rPr>
          <w:color w:val="000000" w:themeColor="text1"/>
        </w:rPr>
        <w:t xml:space="preserve">Deployment of SBFD in a network region of an NR band by the operator should not prevent the operator from continuing to serve the legacy UEs in </w:t>
      </w:r>
      <w:r w:rsidR="00E9320D">
        <w:rPr>
          <w:color w:val="000000" w:themeColor="text1"/>
        </w:rPr>
        <w:t xml:space="preserve">that band </w:t>
      </w:r>
      <w:r>
        <w:rPr>
          <w:color w:val="000000" w:themeColor="text1"/>
        </w:rPr>
        <w:t xml:space="preserve">to avoid the need for segregation of the legacy and later release UEs through frequency layers in the deployment. </w:t>
      </w:r>
      <w:r w:rsidR="00614C8D">
        <w:rPr>
          <w:color w:val="000000" w:themeColor="text1"/>
        </w:rPr>
        <w:t>Therefore, it is necessary to consider the use and impact of the SBFD UL subband when the TDD cell with SBFD is configured as PCell, SCell or SpCell using CA or DC.</w:t>
      </w:r>
      <w:r w:rsidR="0078425E">
        <w:rPr>
          <w:color w:val="000000" w:themeColor="text1"/>
        </w:rPr>
        <w:t xml:space="preserve"> From the point-of-view of functional backwards-compatibility for the legacy UEs, it is </w:t>
      </w:r>
      <w:r w:rsidR="00E9320D">
        <w:rPr>
          <w:color w:val="000000" w:themeColor="text1"/>
        </w:rPr>
        <w:t xml:space="preserve">also </w:t>
      </w:r>
      <w:r w:rsidR="0078425E">
        <w:rPr>
          <w:color w:val="000000" w:themeColor="text1"/>
        </w:rPr>
        <w:t xml:space="preserve">necessary to continue to support the case that the TDD cell with </w:t>
      </w:r>
      <w:r w:rsidR="00880B24">
        <w:rPr>
          <w:color w:val="000000" w:themeColor="text1"/>
        </w:rPr>
        <w:t xml:space="preserve">SBFD </w:t>
      </w:r>
      <w:r w:rsidR="0078425E">
        <w:rPr>
          <w:color w:val="000000" w:themeColor="text1"/>
        </w:rPr>
        <w:t xml:space="preserve">in band is configured as PCell, SCell or SpCell. In terms of operational backwards-compatibility, it is important to continue to support the case that the later release UEs providing improved support for SBFD at the gNB can still use CA or DC </w:t>
      </w:r>
      <w:r w:rsidR="00A34103">
        <w:rPr>
          <w:color w:val="000000" w:themeColor="text1"/>
        </w:rPr>
        <w:t xml:space="preserve">“as is” </w:t>
      </w:r>
      <w:r w:rsidR="0078425E">
        <w:rPr>
          <w:color w:val="000000" w:themeColor="text1"/>
        </w:rPr>
        <w:t xml:space="preserve">without changes to the operator’s </w:t>
      </w:r>
      <w:r w:rsidR="00A34103">
        <w:rPr>
          <w:color w:val="000000" w:themeColor="text1"/>
        </w:rPr>
        <w:t>deployment grid</w:t>
      </w:r>
      <w:r w:rsidR="0078425E">
        <w:rPr>
          <w:color w:val="000000" w:themeColor="text1"/>
        </w:rPr>
        <w:t>.</w:t>
      </w:r>
    </w:p>
    <w:p w14:paraId="0965BECE" w14:textId="312482EE" w:rsidR="00614C8D" w:rsidRPr="003D0F6C" w:rsidRDefault="006D7685" w:rsidP="00614C8D">
      <w:pPr>
        <w:pStyle w:val="Proposal"/>
        <w:spacing w:before="120"/>
      </w:pPr>
      <w:r>
        <w:rPr>
          <w:color w:val="000000" w:themeColor="text1"/>
        </w:rPr>
        <w:t xml:space="preserve">RAN1 </w:t>
      </w:r>
      <w:r w:rsidR="000A5788">
        <w:rPr>
          <w:color w:val="000000" w:themeColor="text1"/>
        </w:rPr>
        <w:t xml:space="preserve">to </w:t>
      </w:r>
      <w:r>
        <w:rPr>
          <w:color w:val="000000" w:themeColor="text1"/>
        </w:rPr>
        <w:t>stud</w:t>
      </w:r>
      <w:r w:rsidR="00C80D45">
        <w:rPr>
          <w:color w:val="000000" w:themeColor="text1"/>
        </w:rPr>
        <w:t>y</w:t>
      </w:r>
      <w:r>
        <w:rPr>
          <w:color w:val="000000" w:themeColor="text1"/>
        </w:rPr>
        <w:t xml:space="preserve"> the use and </w:t>
      </w:r>
      <w:r w:rsidR="00220B58">
        <w:rPr>
          <w:color w:val="000000" w:themeColor="text1"/>
        </w:rPr>
        <w:t xml:space="preserve">evaluate the potential </w:t>
      </w:r>
      <w:r>
        <w:rPr>
          <w:color w:val="000000" w:themeColor="text1"/>
        </w:rPr>
        <w:t>impact</w:t>
      </w:r>
      <w:r w:rsidR="00220B58">
        <w:rPr>
          <w:color w:val="000000" w:themeColor="text1"/>
        </w:rPr>
        <w:t>s</w:t>
      </w:r>
      <w:r>
        <w:rPr>
          <w:color w:val="000000" w:themeColor="text1"/>
        </w:rPr>
        <w:t xml:space="preserve"> </w:t>
      </w:r>
      <w:r w:rsidR="00220B58">
        <w:rPr>
          <w:color w:val="000000" w:themeColor="text1"/>
        </w:rPr>
        <w:t>from</w:t>
      </w:r>
      <w:r>
        <w:rPr>
          <w:color w:val="000000" w:themeColor="text1"/>
        </w:rPr>
        <w:t xml:space="preserve"> SBFD when a </w:t>
      </w:r>
      <w:r w:rsidR="00614C8D">
        <w:rPr>
          <w:color w:val="000000" w:themeColor="text1"/>
        </w:rPr>
        <w:t xml:space="preserve">TDD serving cell with SBFD </w:t>
      </w:r>
      <w:r>
        <w:rPr>
          <w:color w:val="000000" w:themeColor="text1"/>
        </w:rPr>
        <w:t>is</w:t>
      </w:r>
      <w:r w:rsidR="00481FFB">
        <w:rPr>
          <w:color w:val="000000" w:themeColor="text1"/>
        </w:rPr>
        <w:t xml:space="preserve"> </w:t>
      </w:r>
      <w:r w:rsidR="00614C8D">
        <w:rPr>
          <w:color w:val="000000" w:themeColor="text1"/>
        </w:rPr>
        <w:t>configured as PCell, SCell or SpCell for a UE.</w:t>
      </w:r>
    </w:p>
    <w:p w14:paraId="532D0834" w14:textId="77777777" w:rsidR="00831C5A" w:rsidRDefault="00831C5A" w:rsidP="00873F07">
      <w:pPr>
        <w:jc w:val="both"/>
      </w:pPr>
    </w:p>
    <w:p w14:paraId="53D064EA" w14:textId="5CDE923E" w:rsidR="009406C4" w:rsidRPr="001E7AD0" w:rsidRDefault="009406C4" w:rsidP="00873F07">
      <w:pPr>
        <w:pStyle w:val="1"/>
        <w:jc w:val="both"/>
        <w:rPr>
          <w:lang w:val="en-US"/>
        </w:rPr>
      </w:pPr>
      <w:bookmarkStart w:id="2" w:name="_Ref101859708"/>
      <w:r>
        <w:rPr>
          <w:lang w:val="en-US"/>
        </w:rPr>
        <w:lastRenderedPageBreak/>
        <w:t>UE enhancements for improved SBFD performance</w:t>
      </w:r>
      <w:bookmarkEnd w:id="2"/>
    </w:p>
    <w:p w14:paraId="12874F78" w14:textId="62768ED1" w:rsidR="0088769B" w:rsidRPr="001E7AD0" w:rsidRDefault="0088769B" w:rsidP="0088769B">
      <w:pPr>
        <w:pStyle w:val="20"/>
        <w:jc w:val="both"/>
        <w:rPr>
          <w:lang w:val="en-US"/>
        </w:rPr>
      </w:pPr>
      <w:r>
        <w:rPr>
          <w:lang w:val="en-US"/>
        </w:rPr>
        <w:t>Scheduling</w:t>
      </w:r>
    </w:p>
    <w:p w14:paraId="5753724D" w14:textId="6763348B" w:rsidR="00C67DB5" w:rsidRPr="007E1240" w:rsidRDefault="00565443" w:rsidP="00873F07">
      <w:pPr>
        <w:jc w:val="both"/>
      </w:pPr>
      <w:r>
        <w:t xml:space="preserve">One of the key features of NR is the support for dynamic TDD </w:t>
      </w:r>
      <w:r w:rsidR="00C27498">
        <w:t xml:space="preserve">operation where the gNB scheduler </w:t>
      </w:r>
      <w:r w:rsidR="00DD75AE">
        <w:t xml:space="preserve">can </w:t>
      </w:r>
      <w:r w:rsidR="00C27498">
        <w:t xml:space="preserve">dynamically determine the transmission direction. </w:t>
      </w:r>
      <w:r w:rsidR="00FB16E8">
        <w:t xml:space="preserve">NR uses 3 different signaling </w:t>
      </w:r>
      <w:r w:rsidR="00C27498">
        <w:t xml:space="preserve">mechanisms to provide the information to the UE whether a transmission resource is used for UL or DL. The basic principle is that the UE monitors the configured PDCCH and then transmits or receives according to the received DCI. </w:t>
      </w:r>
      <w:r w:rsidR="007E1240">
        <w:t xml:space="preserve">The UL-DL frame configuration can be signaled to the UE as cell-specific pattern, e.g., </w:t>
      </w:r>
      <w:r w:rsidR="00C27498" w:rsidRPr="00A34103">
        <w:rPr>
          <w:color w:val="000000" w:themeColor="text1"/>
        </w:rPr>
        <w:t xml:space="preserve">SIB1 </w:t>
      </w:r>
      <w:r w:rsidR="00D60FF6">
        <w:rPr>
          <w:i/>
          <w:iCs/>
          <w:color w:val="000000" w:themeColor="text1"/>
        </w:rPr>
        <w:t>tdd</w:t>
      </w:r>
      <w:r w:rsidR="00C27498" w:rsidRPr="00A34103">
        <w:rPr>
          <w:i/>
          <w:iCs/>
          <w:color w:val="000000" w:themeColor="text1"/>
        </w:rPr>
        <w:t>-UL-DL-ConfigCommon</w:t>
      </w:r>
      <w:r w:rsidR="007E1240">
        <w:rPr>
          <w:color w:val="000000" w:themeColor="text1"/>
        </w:rPr>
        <w:t>,</w:t>
      </w:r>
      <w:r w:rsidR="00C27498">
        <w:rPr>
          <w:color w:val="000000" w:themeColor="text1"/>
        </w:rPr>
        <w:t xml:space="preserve"> </w:t>
      </w:r>
      <w:r w:rsidR="007E1240">
        <w:rPr>
          <w:color w:val="000000" w:themeColor="text1"/>
        </w:rPr>
        <w:t xml:space="preserve">and a UE-specific pattern can additionally be configured by </w:t>
      </w:r>
      <w:r w:rsidR="00D60FF6">
        <w:rPr>
          <w:i/>
          <w:iCs/>
          <w:color w:val="000000" w:themeColor="text1"/>
        </w:rPr>
        <w:t>tdd</w:t>
      </w:r>
      <w:r w:rsidR="007E1240" w:rsidRPr="00A34103">
        <w:rPr>
          <w:i/>
          <w:iCs/>
          <w:color w:val="000000" w:themeColor="text1"/>
        </w:rPr>
        <w:t>-UL-DL-Config</w:t>
      </w:r>
      <w:r w:rsidR="007E1240">
        <w:rPr>
          <w:i/>
          <w:iCs/>
          <w:color w:val="000000" w:themeColor="text1"/>
        </w:rPr>
        <w:t>Dedicated</w:t>
      </w:r>
      <w:r w:rsidR="007E1240">
        <w:rPr>
          <w:color w:val="000000" w:themeColor="text1"/>
        </w:rPr>
        <w:t xml:space="preserve">. The third possibility is to configure SFI, e.g., DCI </w:t>
      </w:r>
      <w:r w:rsidR="0068345C">
        <w:rPr>
          <w:color w:val="000000" w:themeColor="text1"/>
        </w:rPr>
        <w:t xml:space="preserve">format </w:t>
      </w:r>
      <w:r w:rsidR="007E1240">
        <w:rPr>
          <w:color w:val="000000" w:themeColor="text1"/>
        </w:rPr>
        <w:t>2_0.</w:t>
      </w:r>
    </w:p>
    <w:p w14:paraId="6EB7FFE8" w14:textId="0813D9BA" w:rsidR="008465FA" w:rsidRDefault="007E1240" w:rsidP="00873F07">
      <w:pPr>
        <w:jc w:val="both"/>
      </w:pPr>
      <w:r>
        <w:t xml:space="preserve">When SBFD is </w:t>
      </w:r>
      <w:r w:rsidR="00D36A83">
        <w:t>introduced</w:t>
      </w:r>
      <w:r>
        <w:t xml:space="preserve">, these NR principles should be preserved. </w:t>
      </w:r>
      <w:r w:rsidR="00143EDF">
        <w:t xml:space="preserve">gNB scheduling decides if a transmission resource is used for UL or DL when SBFD is deployed in the cell. </w:t>
      </w:r>
      <w:r w:rsidR="00C676A0">
        <w:t xml:space="preserve">The frequency occupancy of the SBFD UL subband in the BS channel BW must be configurable to adjust SBFD </w:t>
      </w:r>
      <w:r w:rsidR="00D36A83">
        <w:t xml:space="preserve">according </w:t>
      </w:r>
      <w:r w:rsidR="00C676A0">
        <w:t xml:space="preserve">to deployment needs, e.g., </w:t>
      </w:r>
      <w:r w:rsidR="00D36A83">
        <w:t xml:space="preserve">depending on the </w:t>
      </w:r>
      <w:r w:rsidR="00C676A0">
        <w:t xml:space="preserve">operator band segment and according to the capabilities of the gNB-side SBFD implementation. UL transmissions from UEs </w:t>
      </w:r>
      <w:r w:rsidR="00B55D0E">
        <w:t xml:space="preserve">in SBFD time-domain resources </w:t>
      </w:r>
      <w:r w:rsidR="00143EDF">
        <w:t xml:space="preserve">are </w:t>
      </w:r>
      <w:r w:rsidR="00D36A83">
        <w:t xml:space="preserve">then </w:t>
      </w:r>
      <w:r w:rsidR="00143EDF">
        <w:t xml:space="preserve">possible only inside the </w:t>
      </w:r>
      <w:r w:rsidR="00C676A0">
        <w:t>SBFD UL subband</w:t>
      </w:r>
      <w:r w:rsidR="00143EDF">
        <w:t xml:space="preserve">, but not in the DL subband(s) of the SBFD time-domain resource. </w:t>
      </w:r>
      <w:r w:rsidR="00B55D0E">
        <w:t xml:space="preserve">gNB-side CLI cancellation restricts the possibility of UL transmissions outside the SBFD UL subband. </w:t>
      </w:r>
      <w:r w:rsidR="00143EDF">
        <w:t>However, the gNB scheduler can still schedule the SBFD UL subband for DL transmissions to UEs as needed</w:t>
      </w:r>
      <w:r w:rsidR="00D36A83">
        <w:t xml:space="preserve">, e.g., the SBFD time-domain resource is used for DL only. It is </w:t>
      </w:r>
      <w:r w:rsidR="00D82EF5">
        <w:t xml:space="preserve">undesirable that the introduction of the </w:t>
      </w:r>
      <w:r w:rsidR="00D36A83">
        <w:t xml:space="preserve">SBFD </w:t>
      </w:r>
      <w:r w:rsidR="00D82EF5">
        <w:t>feature results in hard UL-DL resource partitioning in the TDD cell.</w:t>
      </w:r>
      <w:r w:rsidR="00EC7C2A">
        <w:t xml:space="preserve"> </w:t>
      </w:r>
      <w:r w:rsidR="00B55D0E">
        <w:t xml:space="preserve">This principle is shown in Figure </w:t>
      </w:r>
      <w:r w:rsidR="00860998">
        <w:t>6</w:t>
      </w:r>
      <w:r w:rsidR="00B55D0E">
        <w:t xml:space="preserve"> where an UL transmission using the SBFD UL subband is scheduled for the UE in slot #1</w:t>
      </w:r>
      <w:r w:rsidR="00D36A83">
        <w:t xml:space="preserve"> but </w:t>
      </w:r>
      <w:r w:rsidR="00B55D0E">
        <w:t>is then used for DL scheduling to the UE in slot #2.</w:t>
      </w:r>
    </w:p>
    <w:p w14:paraId="00A1C6E4" w14:textId="0ED0237C" w:rsidR="008F6C4D" w:rsidRDefault="0068345C" w:rsidP="009353A0">
      <w:pPr>
        <w:pStyle w:val="Proposal"/>
        <w:spacing w:before="120"/>
      </w:pPr>
      <w:r>
        <w:rPr>
          <w:color w:val="000000" w:themeColor="text1"/>
        </w:rPr>
        <w:t xml:space="preserve">For a UE, the </w:t>
      </w:r>
      <w:r w:rsidR="008F6C4D">
        <w:rPr>
          <w:color w:val="000000" w:themeColor="text1"/>
        </w:rPr>
        <w:t xml:space="preserve">transmission direction </w:t>
      </w:r>
      <w:r w:rsidR="00716CCC">
        <w:rPr>
          <w:color w:val="000000" w:themeColor="text1"/>
        </w:rPr>
        <w:t xml:space="preserve">of </w:t>
      </w:r>
      <w:r w:rsidR="00977B20">
        <w:rPr>
          <w:color w:val="000000" w:themeColor="text1"/>
        </w:rPr>
        <w:t xml:space="preserve">a symbol </w:t>
      </w:r>
      <w:r>
        <w:rPr>
          <w:color w:val="000000" w:themeColor="text1"/>
        </w:rPr>
        <w:t xml:space="preserve">in the </w:t>
      </w:r>
      <w:r w:rsidRPr="008F6C4D">
        <w:rPr>
          <w:color w:val="000000" w:themeColor="text1"/>
        </w:rPr>
        <w:t>SBFD UL subband</w:t>
      </w:r>
      <w:r>
        <w:rPr>
          <w:color w:val="000000" w:themeColor="text1"/>
        </w:rPr>
        <w:t xml:space="preserve"> </w:t>
      </w:r>
      <w:r w:rsidR="00393006">
        <w:rPr>
          <w:color w:val="000000" w:themeColor="text1"/>
        </w:rPr>
        <w:t>is determined by gNB scheduling</w:t>
      </w:r>
    </w:p>
    <w:p w14:paraId="7D08A429" w14:textId="77777777" w:rsidR="008465FA" w:rsidRDefault="008465FA" w:rsidP="008465FA">
      <w:pPr>
        <w:spacing w:before="120" w:after="120"/>
        <w:jc w:val="both"/>
        <w:rPr>
          <w:color w:val="000000" w:themeColor="text1"/>
        </w:rPr>
      </w:pPr>
    </w:p>
    <w:p w14:paraId="57A92853" w14:textId="389AA178" w:rsidR="00860844" w:rsidRDefault="00860844" w:rsidP="008465FA">
      <w:pPr>
        <w:pStyle w:val="a5"/>
        <w:jc w:val="center"/>
        <w:rPr>
          <w:b w:val="0"/>
          <w:bCs/>
          <w:lang w:val="en-CA"/>
        </w:rPr>
      </w:pPr>
      <w:r>
        <w:rPr>
          <w:b w:val="0"/>
          <w:bCs/>
          <w:noProof/>
          <w:lang w:eastAsia="ko-KR"/>
        </w:rPr>
        <w:drawing>
          <wp:inline distT="0" distB="0" distL="0" distR="0" wp14:anchorId="1F315C7A" wp14:editId="4AC60F6B">
            <wp:extent cx="5295900" cy="1881778"/>
            <wp:effectExtent l="0" t="0" r="0" b="0"/>
            <wp:docPr id="10" name="Picture 10" descr="Chart,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Chart, box and whisker chart&#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348234" cy="1900374"/>
                    </a:xfrm>
                    <a:prstGeom prst="rect">
                      <a:avLst/>
                    </a:prstGeom>
                  </pic:spPr>
                </pic:pic>
              </a:graphicData>
            </a:graphic>
          </wp:inline>
        </w:drawing>
      </w:r>
    </w:p>
    <w:p w14:paraId="333170E1" w14:textId="44CEA933" w:rsidR="008465FA" w:rsidRPr="00DE5441" w:rsidRDefault="008465FA" w:rsidP="008465FA">
      <w:pPr>
        <w:pStyle w:val="a5"/>
        <w:jc w:val="center"/>
        <w:rPr>
          <w:b w:val="0"/>
          <w:bCs/>
          <w:lang w:val="en-CA"/>
        </w:rPr>
      </w:pPr>
      <w:r w:rsidRPr="00DE5441">
        <w:rPr>
          <w:b w:val="0"/>
          <w:bCs/>
          <w:lang w:val="en-CA"/>
        </w:rPr>
        <w:t xml:space="preserve">Figure </w:t>
      </w:r>
      <w:r w:rsidR="00860998">
        <w:rPr>
          <w:b w:val="0"/>
          <w:bCs/>
        </w:rPr>
        <w:t>6</w:t>
      </w:r>
      <w:r w:rsidRPr="00DE5441">
        <w:rPr>
          <w:b w:val="0"/>
          <w:bCs/>
          <w:lang w:val="en-CA"/>
        </w:rPr>
        <w:t xml:space="preserve">: </w:t>
      </w:r>
      <w:r>
        <w:rPr>
          <w:b w:val="0"/>
          <w:bCs/>
          <w:lang w:val="en-CA"/>
        </w:rPr>
        <w:t>Scheduling principles with SBFD</w:t>
      </w:r>
    </w:p>
    <w:p w14:paraId="18FB556B" w14:textId="77777777" w:rsidR="008465FA" w:rsidRPr="008465FA" w:rsidRDefault="008465FA" w:rsidP="00873F07">
      <w:pPr>
        <w:jc w:val="both"/>
        <w:rPr>
          <w:lang w:val="en-CA"/>
        </w:rPr>
      </w:pPr>
    </w:p>
    <w:p w14:paraId="443AF992" w14:textId="473DD295" w:rsidR="008F6C4D" w:rsidRDefault="00393006" w:rsidP="00873F07">
      <w:pPr>
        <w:jc w:val="both"/>
      </w:pPr>
      <w:r>
        <w:t xml:space="preserve">It must then be considered what kind of signaling is used by the gNB to assign the transmission direction of the </w:t>
      </w:r>
      <w:r w:rsidR="00880B24">
        <w:t xml:space="preserve">SBFD </w:t>
      </w:r>
      <w:r>
        <w:t xml:space="preserve">UL subband and if the frequency occupancy of the SBFD </w:t>
      </w:r>
      <w:r w:rsidR="008B2FAC">
        <w:t xml:space="preserve">UL </w:t>
      </w:r>
      <w:r>
        <w:t>subband in the UE channel bandwidth needs to be known by the UE</w:t>
      </w:r>
      <w:r w:rsidR="00977B20">
        <w:t>.</w:t>
      </w:r>
    </w:p>
    <w:p w14:paraId="1D960DC3" w14:textId="11E0454A" w:rsidR="00816E7E" w:rsidRDefault="008B2FAC" w:rsidP="00873F07">
      <w:pPr>
        <w:jc w:val="both"/>
      </w:pPr>
      <w:r>
        <w:t xml:space="preserve">Similar to the CSI-RS resource configuration, the frequency occupancy of the SBFD UL subband has a start RB and allocation bandwidth. In time-domain, </w:t>
      </w:r>
      <w:r w:rsidR="00977B20">
        <w:t xml:space="preserve">UL transmissions in the </w:t>
      </w:r>
      <w:r>
        <w:t xml:space="preserve">SBFD UL subband may not be </w:t>
      </w:r>
      <w:r w:rsidR="00977B20">
        <w:t xml:space="preserve">possible </w:t>
      </w:r>
      <w:r>
        <w:t>on all symbols in a slot, e.g., when PDCCH m</w:t>
      </w:r>
      <w:r w:rsidR="00816E7E">
        <w:t>onitoring at the beginning of the slot is configured on the first symbol of the slot. In principle, it is possible to use the existing PDSCH and PUSCH resource allocation types 0/1 when scheduling the UE in DL and UL. A guard band between DL subband(s) and the UL subband in SBFD slots is implicitly provided by gNB scheduling.</w:t>
      </w:r>
      <w:r w:rsidR="00977B20">
        <w:t xml:space="preserve"> The gNB must ensure that the PUSCH is allocated or that PUCCH resource are configured for the UE in the SBFD UL subband.</w:t>
      </w:r>
    </w:p>
    <w:p w14:paraId="7FEA8E83" w14:textId="76446C26" w:rsidR="00566521" w:rsidRDefault="00977B20" w:rsidP="00873F07">
      <w:pPr>
        <w:jc w:val="both"/>
      </w:pPr>
      <w:r>
        <w:lastRenderedPageBreak/>
        <w:t xml:space="preserve">If the frequency occupancy of the SBFD UL subband in the configured UE channel BW is not known to the UE, it is significantly harder to </w:t>
      </w:r>
      <w:r w:rsidR="009D3BEA">
        <w:t xml:space="preserve">implement UL Tx and DL Rx filtering in the UE. While it should not be assumed that UE implementations with enhanced support for gNB-side </w:t>
      </w:r>
      <w:r w:rsidR="00D60FF6">
        <w:t xml:space="preserve">SBFD </w:t>
      </w:r>
      <w:r w:rsidR="009D3BEA">
        <w:t>must use more stringent Tx/Rx filtering than what is currently necessary to meet the existing NR UE RF requirements to improve their in-channel selectivity and in-band blocking performance, it is desirable to enable such UE functionality as capability.</w:t>
      </w:r>
    </w:p>
    <w:p w14:paraId="1E527B21" w14:textId="29C47BCA" w:rsidR="00977B20" w:rsidRDefault="00D60FF6" w:rsidP="00873F07">
      <w:pPr>
        <w:jc w:val="both"/>
        <w:rPr>
          <w:color w:val="000000" w:themeColor="text1"/>
        </w:rPr>
      </w:pPr>
      <w:r>
        <w:t xml:space="preserve">Another consideration is to overcome existing limitations when using </w:t>
      </w:r>
      <w:r>
        <w:rPr>
          <w:i/>
          <w:iCs/>
          <w:color w:val="000000" w:themeColor="text1"/>
        </w:rPr>
        <w:t>tdd</w:t>
      </w:r>
      <w:r w:rsidRPr="00A34103">
        <w:rPr>
          <w:i/>
          <w:iCs/>
          <w:color w:val="000000" w:themeColor="text1"/>
        </w:rPr>
        <w:t>-UL-DL-Config</w:t>
      </w:r>
      <w:r>
        <w:rPr>
          <w:i/>
          <w:iCs/>
          <w:color w:val="000000" w:themeColor="text1"/>
        </w:rPr>
        <w:t>Dedicated</w:t>
      </w:r>
      <w:r>
        <w:rPr>
          <w:color w:val="000000" w:themeColor="text1"/>
        </w:rPr>
        <w:t xml:space="preserve"> or SFI. Only flexible symbols in the </w:t>
      </w:r>
      <w:r>
        <w:rPr>
          <w:i/>
          <w:iCs/>
          <w:color w:val="000000" w:themeColor="text1"/>
        </w:rPr>
        <w:t>tdd</w:t>
      </w:r>
      <w:r w:rsidRPr="00A34103">
        <w:rPr>
          <w:i/>
          <w:iCs/>
          <w:color w:val="000000" w:themeColor="text1"/>
        </w:rPr>
        <w:t>-UL-DL-Config</w:t>
      </w:r>
      <w:r>
        <w:rPr>
          <w:i/>
          <w:iCs/>
          <w:color w:val="000000" w:themeColor="text1"/>
        </w:rPr>
        <w:t>Common</w:t>
      </w:r>
      <w:r>
        <w:rPr>
          <w:color w:val="000000" w:themeColor="text1"/>
        </w:rPr>
        <w:t xml:space="preserve"> can be re-assigned as D or U. Providing the SBFD UL subband configuration</w:t>
      </w:r>
      <w:r w:rsidR="00566521">
        <w:rPr>
          <w:color w:val="000000" w:themeColor="text1"/>
        </w:rPr>
        <w:t xml:space="preserve"> to the UE</w:t>
      </w:r>
      <w:r>
        <w:rPr>
          <w:color w:val="000000" w:themeColor="text1"/>
        </w:rPr>
        <w:t xml:space="preserve"> in terms of </w:t>
      </w:r>
      <w:r w:rsidR="00566521">
        <w:rPr>
          <w:color w:val="000000" w:themeColor="text1"/>
        </w:rPr>
        <w:t xml:space="preserve">the allowed </w:t>
      </w:r>
      <w:r>
        <w:rPr>
          <w:color w:val="000000" w:themeColor="text1"/>
        </w:rPr>
        <w:t xml:space="preserve">symbols/slots </w:t>
      </w:r>
      <w:r w:rsidR="00566521">
        <w:rPr>
          <w:color w:val="000000" w:themeColor="text1"/>
        </w:rPr>
        <w:t xml:space="preserve">where SBFD UL transmissions can be scheduled </w:t>
      </w:r>
      <w:r>
        <w:rPr>
          <w:color w:val="000000" w:themeColor="text1"/>
        </w:rPr>
        <w:t xml:space="preserve">independently from SIB1 </w:t>
      </w:r>
      <w:r>
        <w:rPr>
          <w:i/>
          <w:iCs/>
          <w:color w:val="000000" w:themeColor="text1"/>
        </w:rPr>
        <w:t>tdd</w:t>
      </w:r>
      <w:r w:rsidRPr="00A34103">
        <w:rPr>
          <w:i/>
          <w:iCs/>
          <w:color w:val="000000" w:themeColor="text1"/>
        </w:rPr>
        <w:t>-UL-DL-Config</w:t>
      </w:r>
      <w:r>
        <w:rPr>
          <w:i/>
          <w:iCs/>
          <w:color w:val="000000" w:themeColor="text1"/>
        </w:rPr>
        <w:t>Common</w:t>
      </w:r>
      <w:r>
        <w:rPr>
          <w:color w:val="000000" w:themeColor="text1"/>
        </w:rPr>
        <w:t xml:space="preserve"> has the advantage </w:t>
      </w:r>
      <w:r w:rsidR="00566521">
        <w:rPr>
          <w:color w:val="000000" w:themeColor="text1"/>
        </w:rPr>
        <w:t>that legacy UE behavior in the TDD cell with SBFD can be independently configured from the transmission behavior of the UEs</w:t>
      </w:r>
      <w:r w:rsidR="00097AC8">
        <w:rPr>
          <w:color w:val="000000" w:themeColor="text1"/>
        </w:rPr>
        <w:t xml:space="preserve"> with improved support for gNB-side SBFD</w:t>
      </w:r>
      <w:r w:rsidR="00566521">
        <w:rPr>
          <w:color w:val="000000" w:themeColor="text1"/>
        </w:rPr>
        <w:t>. For example, it is then possible to schedule UL transmissions in the SBFD UL subband even in the symbols/slots configured as D for the legacy UEs or to only schedule UL transmissions in the SBFD UL subband in the SBFD slots, but not the normal UL slot.</w:t>
      </w:r>
      <w:r w:rsidR="00EC7C2A">
        <w:rPr>
          <w:color w:val="000000" w:themeColor="text1"/>
        </w:rPr>
        <w:t xml:space="preserve"> It is then also possible to define separate UE behavior not currently possible in R17 with respect to CSI reception and SRS transmissions for purpose of inter-subband CLI measurements and associated reporting in the TDD cell with SBFD.</w:t>
      </w:r>
    </w:p>
    <w:p w14:paraId="0586A8F6" w14:textId="45196129" w:rsidR="00566521" w:rsidRDefault="00566521" w:rsidP="00873F07">
      <w:pPr>
        <w:jc w:val="both"/>
        <w:rPr>
          <w:color w:val="000000" w:themeColor="text1"/>
        </w:rPr>
      </w:pPr>
      <w:r>
        <w:rPr>
          <w:color w:val="000000" w:themeColor="text1"/>
        </w:rPr>
        <w:t xml:space="preserve">To </w:t>
      </w:r>
      <w:r w:rsidR="00D412FE">
        <w:rPr>
          <w:color w:val="000000" w:themeColor="text1"/>
        </w:rPr>
        <w:t xml:space="preserve">signal the time-domain and frequency-domain configuration of the SBFD UL subband to UEs, the existing NR signaling can be </w:t>
      </w:r>
      <w:r w:rsidR="00EC7C2A">
        <w:rPr>
          <w:color w:val="000000" w:themeColor="text1"/>
        </w:rPr>
        <w:t>extended</w:t>
      </w:r>
      <w:r w:rsidR="00D412FE">
        <w:rPr>
          <w:color w:val="000000" w:themeColor="text1"/>
        </w:rPr>
        <w:t xml:space="preserve">, e.g., the SBFD UL subband is configured by cell-common or UE dedicated RRC signaling and/or provided to UEs by SFI. Note that R17 eIAB signaling </w:t>
      </w:r>
      <w:r w:rsidR="00EC7C2A">
        <w:rPr>
          <w:color w:val="000000" w:themeColor="text1"/>
        </w:rPr>
        <w:t xml:space="preserve">already </w:t>
      </w:r>
      <w:r w:rsidR="00D412FE">
        <w:rPr>
          <w:color w:val="000000" w:themeColor="text1"/>
        </w:rPr>
        <w:t>introduce</w:t>
      </w:r>
      <w:r w:rsidR="00834B86">
        <w:rPr>
          <w:color w:val="000000" w:themeColor="text1"/>
        </w:rPr>
        <w:t xml:space="preserve">d signaling of hard, soft or unavailable type for frequency-domain resources, e.g., for an RB set in a symbol. Such existing and already specified functionality </w:t>
      </w:r>
      <w:r w:rsidR="00EC7C2A">
        <w:rPr>
          <w:color w:val="000000" w:themeColor="text1"/>
        </w:rPr>
        <w:t xml:space="preserve">could be re-used </w:t>
      </w:r>
      <w:r w:rsidR="00834B86">
        <w:rPr>
          <w:color w:val="000000" w:themeColor="text1"/>
        </w:rPr>
        <w:t>for SBFD.</w:t>
      </w:r>
    </w:p>
    <w:p w14:paraId="1E11529F" w14:textId="6DA0673A" w:rsidR="00834B86" w:rsidRDefault="00834B86" w:rsidP="00834B86">
      <w:pPr>
        <w:pStyle w:val="Proposal"/>
        <w:spacing w:before="120"/>
      </w:pPr>
      <w:r>
        <w:rPr>
          <w:color w:val="000000" w:themeColor="text1"/>
        </w:rPr>
        <w:t xml:space="preserve">The </w:t>
      </w:r>
      <w:r w:rsidR="007D3CCC">
        <w:rPr>
          <w:color w:val="000000" w:themeColor="text1"/>
        </w:rPr>
        <w:t xml:space="preserve">cell-common or UE dedicated </w:t>
      </w:r>
      <w:r w:rsidRPr="008F6C4D">
        <w:rPr>
          <w:color w:val="000000" w:themeColor="text1"/>
        </w:rPr>
        <w:t xml:space="preserve">SBFD UL subband </w:t>
      </w:r>
      <w:r>
        <w:rPr>
          <w:color w:val="000000" w:themeColor="text1"/>
        </w:rPr>
        <w:t xml:space="preserve">configuration, e.g., symbols/slots </w:t>
      </w:r>
      <w:r w:rsidR="00770327">
        <w:rPr>
          <w:color w:val="000000" w:themeColor="text1"/>
        </w:rPr>
        <w:t>and the frequency occupancy in which UL transmissions can be scheduled by the gNB</w:t>
      </w:r>
      <w:r w:rsidR="002C5916">
        <w:rPr>
          <w:color w:val="000000" w:themeColor="text1"/>
        </w:rPr>
        <w:t>,</w:t>
      </w:r>
      <w:r w:rsidR="00770327">
        <w:rPr>
          <w:color w:val="000000" w:themeColor="text1"/>
        </w:rPr>
        <w:t xml:space="preserve"> is provided to the UE</w:t>
      </w:r>
      <w:r w:rsidR="00D33EA1">
        <w:rPr>
          <w:color w:val="000000" w:themeColor="text1"/>
        </w:rPr>
        <w:t>.</w:t>
      </w:r>
    </w:p>
    <w:p w14:paraId="017DF168" w14:textId="77777777" w:rsidR="00312F92" w:rsidRDefault="00312F92" w:rsidP="00873F07">
      <w:pPr>
        <w:jc w:val="both"/>
      </w:pPr>
    </w:p>
    <w:p w14:paraId="5B3CB8AF" w14:textId="62F828C6" w:rsidR="00770327" w:rsidRDefault="00493204" w:rsidP="00873F07">
      <w:pPr>
        <w:jc w:val="both"/>
      </w:pPr>
      <w:r>
        <w:t xml:space="preserve">For </w:t>
      </w:r>
      <w:r w:rsidR="00770327">
        <w:t xml:space="preserve">UL and DL scheduling in a TDD cell with SBFD, </w:t>
      </w:r>
      <w:r w:rsidR="00F23BF1">
        <w:t xml:space="preserve">both single slot and multi-slot scheduling of PUSCH and PDSCH must be </w:t>
      </w:r>
      <w:r>
        <w:t>considered</w:t>
      </w:r>
      <w:r w:rsidR="00F23BF1">
        <w:t>.</w:t>
      </w:r>
      <w:r w:rsidR="00A21823">
        <w:t xml:space="preserve"> One important use case </w:t>
      </w:r>
      <w:r w:rsidR="00D758EC">
        <w:t xml:space="preserve">for TDD with SBFD is improved UL coverage in the existing deployment grid. SBFD enables to significantly increase the UL slot utilization ratio by making more time-domain resources available to UEs in bad coverage which transmit at maximum configured UE output power. In DDDSU, the UE can only transmit UL in 20% of </w:t>
      </w:r>
      <w:r w:rsidR="00143597">
        <w:t xml:space="preserve">the time-domain </w:t>
      </w:r>
      <w:r w:rsidR="00D758EC">
        <w:t>resources at maximum power, whereas with SBFD and DXX</w:t>
      </w:r>
      <w:r w:rsidR="00EA4A50">
        <w:t>X</w:t>
      </w:r>
      <w:r w:rsidR="00D758EC">
        <w:t xml:space="preserve">U it can potentially transmit in up to 80% of </w:t>
      </w:r>
      <w:r w:rsidR="00143597">
        <w:t xml:space="preserve">the time-domain resources. </w:t>
      </w:r>
      <w:r w:rsidR="00D758EC">
        <w:t xml:space="preserve">R15 PUSCH aggregation and R16/R17 PUSCH repetition Type A features are </w:t>
      </w:r>
      <w:r w:rsidR="00143597">
        <w:t xml:space="preserve">important when </w:t>
      </w:r>
      <w:r w:rsidR="00D758EC">
        <w:t>schedul</w:t>
      </w:r>
      <w:r w:rsidR="00143597">
        <w:t>ing</w:t>
      </w:r>
      <w:r w:rsidR="00D758EC">
        <w:t xml:space="preserve"> the UE </w:t>
      </w:r>
      <w:r w:rsidR="00143597">
        <w:t xml:space="preserve">across </w:t>
      </w:r>
      <w:r w:rsidR="00D758EC">
        <w:t>multiple slots.</w:t>
      </w:r>
    </w:p>
    <w:p w14:paraId="519CE1F0" w14:textId="10412D37" w:rsidR="004F0DD5" w:rsidRDefault="00493204" w:rsidP="004F0DD5">
      <w:pPr>
        <w:jc w:val="both"/>
      </w:pPr>
      <w:r>
        <w:t xml:space="preserve">Several </w:t>
      </w:r>
      <w:r w:rsidRPr="003E4511">
        <w:t>antenna and panel design</w:t>
      </w:r>
      <w:r>
        <w:t xml:space="preserve"> options</w:t>
      </w:r>
      <w:r w:rsidRPr="003E4511">
        <w:t xml:space="preserve"> exist to support gNB-side full-duplex operation. Design options may be expected to </w:t>
      </w:r>
      <w:r w:rsidR="00E3291D">
        <w:t xml:space="preserve">change </w:t>
      </w:r>
      <w:r w:rsidRPr="003E4511">
        <w:t xml:space="preserve">over time as technology </w:t>
      </w:r>
      <w:r w:rsidR="00E3291D">
        <w:t>evolves</w:t>
      </w:r>
      <w:r w:rsidRPr="003E4511">
        <w:t xml:space="preserve">. </w:t>
      </w:r>
      <w:r>
        <w:t xml:space="preserve">For example, antenna panel </w:t>
      </w:r>
      <w:r w:rsidR="00DC0A01">
        <w:t xml:space="preserve">to provide spatial separation of Tx and Rx paths and for gNB side SIC can be based on a fully split design where ports are either dedicated to DL transmission or </w:t>
      </w:r>
      <w:r w:rsidR="00224B42">
        <w:t xml:space="preserve">to </w:t>
      </w:r>
      <w:r w:rsidR="00DC0A01">
        <w:t xml:space="preserve">UL reception. Another possibility is shared design where a certain number of ports can be used for </w:t>
      </w:r>
      <w:r w:rsidR="00B332B1">
        <w:t>both DL transmission and</w:t>
      </w:r>
      <w:r w:rsidR="00DC0A01">
        <w:t xml:space="preserve"> UL reception with SBFD, but a number of ports is dedicated to </w:t>
      </w:r>
      <w:r w:rsidR="00224B42">
        <w:t xml:space="preserve">either </w:t>
      </w:r>
      <w:r w:rsidR="00DC0A01">
        <w:t xml:space="preserve">DL transmission </w:t>
      </w:r>
      <w:r w:rsidR="00224B42">
        <w:t xml:space="preserve">or to </w:t>
      </w:r>
      <w:r w:rsidR="00DC0A01">
        <w:t>UL reception respectively.</w:t>
      </w:r>
      <w:r w:rsidR="00143597">
        <w:t xml:space="preserve"> </w:t>
      </w:r>
      <w:r w:rsidR="00142C64">
        <w:t>Therefore, it cannot be expected that the</w:t>
      </w:r>
      <w:r w:rsidR="00142C64" w:rsidRPr="003E4511">
        <w:t xml:space="preserve"> number of TRXs and the available Tx or Rx aperture area used for Tx and/or Rx in normal DL or </w:t>
      </w:r>
      <w:r w:rsidR="00142C64">
        <w:t xml:space="preserve">normal </w:t>
      </w:r>
      <w:r w:rsidR="00142C64" w:rsidRPr="003E4511">
        <w:t xml:space="preserve">UL slots </w:t>
      </w:r>
      <w:r w:rsidR="00142C64">
        <w:t xml:space="preserve">is necessarily the same </w:t>
      </w:r>
      <w:r w:rsidR="00142C64" w:rsidRPr="003E4511">
        <w:t xml:space="preserve">when compared to the DL transmission or UL reception in </w:t>
      </w:r>
      <w:r w:rsidR="00142C64">
        <w:t xml:space="preserve">SBFD </w:t>
      </w:r>
      <w:r w:rsidR="00142C64" w:rsidRPr="003E4511">
        <w:t>slots.</w:t>
      </w:r>
      <w:r w:rsidR="00142C64">
        <w:t xml:space="preserve"> The link gain </w:t>
      </w:r>
      <w:r w:rsidR="00EA4A50">
        <w:t xml:space="preserve">and </w:t>
      </w:r>
      <w:r w:rsidR="00142C64">
        <w:t>resulting link budget</w:t>
      </w:r>
      <w:r w:rsidR="00EA4A50">
        <w:t xml:space="preserve"> </w:t>
      </w:r>
      <w:r w:rsidR="00142C64">
        <w:t xml:space="preserve">when transmitting </w:t>
      </w:r>
      <w:r w:rsidR="004F0DD5">
        <w:t xml:space="preserve">an </w:t>
      </w:r>
      <w:r w:rsidR="00142C64">
        <w:t xml:space="preserve">UL </w:t>
      </w:r>
      <w:r w:rsidR="004F0DD5">
        <w:t xml:space="preserve">signal or channel </w:t>
      </w:r>
      <w:r w:rsidR="00142C64">
        <w:t xml:space="preserve">in the SBFD UL subband of a slot </w:t>
      </w:r>
      <w:r w:rsidR="00EA4A50">
        <w:t xml:space="preserve">is </w:t>
      </w:r>
      <w:r w:rsidR="00142C64">
        <w:t xml:space="preserve">different when compared to transmitting the same UL signal or channel in the normal UL slot. </w:t>
      </w:r>
      <w:r w:rsidR="00143597">
        <w:t xml:space="preserve">Similar </w:t>
      </w:r>
      <w:r w:rsidR="004F0DD5">
        <w:t>considerations apply to transmission of DL signals/channels in the DL subbands</w:t>
      </w:r>
      <w:r w:rsidR="00143597">
        <w:t xml:space="preserve"> of SBFD slots</w:t>
      </w:r>
      <w:r w:rsidR="004F0DD5">
        <w:t>.</w:t>
      </w:r>
    </w:p>
    <w:p w14:paraId="409CF398" w14:textId="745C0DE8" w:rsidR="00DC0A01" w:rsidRDefault="00143597" w:rsidP="00493204">
      <w:pPr>
        <w:jc w:val="both"/>
      </w:pPr>
      <w:r>
        <w:t xml:space="preserve">PUSCH transmissions of a </w:t>
      </w:r>
      <w:r w:rsidR="00CB2DCF">
        <w:t xml:space="preserve">R15 PUSCH aggregation and R16/R17 PUSCH repetition </w:t>
      </w:r>
      <w:r>
        <w:t xml:space="preserve">Type A when transmitted in the SBFD UL subband of SBFD slots and in the normal UL slot will therefore be subject to mis-matched link adaptation settings. It is desirable to </w:t>
      </w:r>
      <w:r w:rsidR="008854A9">
        <w:t>restrict the PUSCH transmissions of a PUSCH repetition with respect to the time-domain resources</w:t>
      </w:r>
      <w:r w:rsidR="00D80B1E">
        <w:t xml:space="preserve"> in a TDD cell with SBFD</w:t>
      </w:r>
      <w:r w:rsidR="008854A9">
        <w:t>. It should be possible to transmit such PUSCH repetitions using only the UL subband of the SBFD slots</w:t>
      </w:r>
      <w:r w:rsidR="00D80B1E">
        <w:t>, but not in the normal UL slot</w:t>
      </w:r>
      <w:r w:rsidR="008854A9">
        <w:t>.</w:t>
      </w:r>
      <w:r w:rsidR="00D164C7">
        <w:t xml:space="preserve"> Note that even when PUSCH repetitions are limited to the use of the SBFD UL subband in DXXXU, the resulting UL slot utilization ratio is still higher than </w:t>
      </w:r>
      <w:r w:rsidR="00612A44">
        <w:t xml:space="preserve">currently </w:t>
      </w:r>
      <w:r w:rsidR="00D80B1E">
        <w:t xml:space="preserve">possible </w:t>
      </w:r>
      <w:r w:rsidR="00D164C7">
        <w:t>with DDDSU.</w:t>
      </w:r>
    </w:p>
    <w:p w14:paraId="26284C90" w14:textId="4345D705" w:rsidR="008854A9" w:rsidRDefault="00D164C7" w:rsidP="008854A9">
      <w:pPr>
        <w:pStyle w:val="Proposal"/>
        <w:spacing w:before="120"/>
      </w:pPr>
      <w:r>
        <w:rPr>
          <w:color w:val="000000" w:themeColor="text1"/>
        </w:rPr>
        <w:lastRenderedPageBreak/>
        <w:t>M</w:t>
      </w:r>
      <w:r w:rsidR="008854A9">
        <w:rPr>
          <w:color w:val="000000" w:themeColor="text1"/>
        </w:rPr>
        <w:t xml:space="preserve">ulti-slot </w:t>
      </w:r>
      <w:r>
        <w:rPr>
          <w:color w:val="000000" w:themeColor="text1"/>
        </w:rPr>
        <w:t xml:space="preserve">PUSCH, e.g., PUSCH repetition Type A, and PUCCH repetitions can be </w:t>
      </w:r>
      <w:r w:rsidR="00D80B1E">
        <w:rPr>
          <w:color w:val="000000" w:themeColor="text1"/>
        </w:rPr>
        <w:t xml:space="preserve">configured </w:t>
      </w:r>
      <w:r w:rsidR="00C44D3E">
        <w:rPr>
          <w:color w:val="000000" w:themeColor="text1"/>
        </w:rPr>
        <w:t xml:space="preserve">for transmission using only </w:t>
      </w:r>
      <w:r w:rsidR="00F94604">
        <w:rPr>
          <w:color w:val="000000" w:themeColor="text1"/>
        </w:rPr>
        <w:t xml:space="preserve">the </w:t>
      </w:r>
      <w:r w:rsidR="00D80B1E">
        <w:rPr>
          <w:color w:val="000000" w:themeColor="text1"/>
        </w:rPr>
        <w:t>SBFD slots/symbols</w:t>
      </w:r>
      <w:r w:rsidR="00C44D3E">
        <w:rPr>
          <w:color w:val="000000" w:themeColor="text1"/>
        </w:rPr>
        <w:t>.</w:t>
      </w:r>
    </w:p>
    <w:p w14:paraId="7F1BB04C" w14:textId="01ABF0FB" w:rsidR="003E4511" w:rsidRDefault="003E4511" w:rsidP="00B00146">
      <w:pPr>
        <w:jc w:val="both"/>
      </w:pPr>
    </w:p>
    <w:p w14:paraId="47A2F86E" w14:textId="71CDD02B" w:rsidR="0046029A" w:rsidRDefault="00474BE2" w:rsidP="00B00146">
      <w:pPr>
        <w:jc w:val="both"/>
      </w:pPr>
      <w:r>
        <w:t>An important design consideration</w:t>
      </w:r>
      <w:r w:rsidR="008E115F">
        <w:t xml:space="preserve"> for SBFD operation</w:t>
      </w:r>
      <w:r w:rsidR="00D97AA7">
        <w:t xml:space="preserve"> </w:t>
      </w:r>
      <w:r w:rsidR="008E115F">
        <w:t xml:space="preserve">in the UL </w:t>
      </w:r>
      <w:r>
        <w:t xml:space="preserve">is </w:t>
      </w:r>
      <w:r w:rsidR="00D97AA7">
        <w:t xml:space="preserve">that </w:t>
      </w:r>
      <w:r w:rsidR="00BA7D1A">
        <w:t xml:space="preserve">the separation of SBFD symbols/slots and </w:t>
      </w:r>
      <w:r w:rsidR="004B2587">
        <w:t xml:space="preserve">the </w:t>
      </w:r>
      <w:r w:rsidR="00BA7D1A">
        <w:t>UL slot</w:t>
      </w:r>
      <w:r w:rsidR="004B2587">
        <w:t>(</w:t>
      </w:r>
      <w:r w:rsidR="00BA7D1A">
        <w:t>s</w:t>
      </w:r>
      <w:r w:rsidR="004B2587">
        <w:t>)</w:t>
      </w:r>
      <w:r w:rsidR="00BA7D1A">
        <w:t xml:space="preserve"> </w:t>
      </w:r>
      <w:r w:rsidR="004B2587">
        <w:t xml:space="preserve">with respect to the resource allocation in time-domain </w:t>
      </w:r>
      <w:r w:rsidR="00BA7D1A">
        <w:t xml:space="preserve">when </w:t>
      </w:r>
      <w:r w:rsidR="00FE51D6">
        <w:t xml:space="preserve">introducing gNB-side SBFD </w:t>
      </w:r>
      <w:r w:rsidR="00BA7D1A">
        <w:t xml:space="preserve">operation </w:t>
      </w:r>
      <w:r w:rsidR="004B2587">
        <w:t xml:space="preserve">also </w:t>
      </w:r>
      <w:r w:rsidR="00FE51D6">
        <w:t xml:space="preserve">allows </w:t>
      </w:r>
      <w:r w:rsidR="004B2587">
        <w:t xml:space="preserve">to increase the achievable UL spectral efficiency and UL cell throughput in the </w:t>
      </w:r>
      <w:r w:rsidR="008E115F">
        <w:t xml:space="preserve">(normal) </w:t>
      </w:r>
      <w:r w:rsidR="004B2587">
        <w:t xml:space="preserve">UL slot(s). Low-SINR UEs can be offloaded to UL transmissions in the SBFD slots, whereas UEs in good geometry can be scheduled high MCS using large </w:t>
      </w:r>
      <w:r w:rsidR="00F1143F">
        <w:t xml:space="preserve">contiguous </w:t>
      </w:r>
      <w:r w:rsidR="004B2587">
        <w:t xml:space="preserve">RB allocations in the UL slots. </w:t>
      </w:r>
      <w:r w:rsidR="00F1143F">
        <w:t xml:space="preserve">Given that most existing UE implementations only support UL (almost) contiguous resource allocation, e.g., PUSCH allocation type 1, the offloading of low-SINR UEs </w:t>
      </w:r>
      <w:r w:rsidR="00C16DB5">
        <w:t xml:space="preserve">using multi-slot allocations </w:t>
      </w:r>
      <w:r w:rsidR="00F1143F">
        <w:t xml:space="preserve">to the </w:t>
      </w:r>
      <w:r w:rsidR="00880B24">
        <w:t xml:space="preserve">SBFD </w:t>
      </w:r>
      <w:r w:rsidR="00F1143F">
        <w:t>UL subband in the SBFD slots prevents resource fragmentation</w:t>
      </w:r>
      <w:r w:rsidR="00D97AA7">
        <w:t xml:space="preserve"> in the (normal) UL slot</w:t>
      </w:r>
      <w:r w:rsidR="00F1143F">
        <w:t>. It can be expected that the SBFD UL subband is often place</w:t>
      </w:r>
      <w:r w:rsidR="00C16DB5">
        <w:t>d</w:t>
      </w:r>
      <w:r w:rsidR="00F1143F">
        <w:t xml:space="preserve"> in the center of the NR carrier. </w:t>
      </w:r>
      <w:r w:rsidR="00C16DB5">
        <w:t>D</w:t>
      </w:r>
      <w:r w:rsidR="00F1143F">
        <w:t xml:space="preserve">uring multi-slot PUSCH transmissions using the SBFD slots, the FDRA and FH if configured is then confined to the UL subband also in the (normal) UL slot. The gNB scheduler cannot allocate </w:t>
      </w:r>
      <w:r w:rsidR="00D97AA7">
        <w:t xml:space="preserve">large contiguous BW segments for purpose of </w:t>
      </w:r>
      <w:r w:rsidR="00F1143F">
        <w:t>UL transmission</w:t>
      </w:r>
      <w:r w:rsidR="00D97AA7">
        <w:t>s</w:t>
      </w:r>
      <w:r w:rsidR="00F1143F">
        <w:t xml:space="preserve"> </w:t>
      </w:r>
      <w:r w:rsidR="00D97AA7">
        <w:t xml:space="preserve">from UEs in good SINR conditions. Note that similar issues </w:t>
      </w:r>
      <w:r w:rsidR="0082372C">
        <w:t xml:space="preserve">resulting in </w:t>
      </w:r>
      <w:r w:rsidR="00D97AA7">
        <w:t xml:space="preserve">fragmentation of the UL scheduling BW in the (normal) UL slot </w:t>
      </w:r>
      <w:r w:rsidR="005B69BC">
        <w:t xml:space="preserve">can </w:t>
      </w:r>
      <w:r w:rsidR="00D97AA7">
        <w:t>exist when single-slot PUSCH scheduling is used</w:t>
      </w:r>
      <w:r w:rsidR="005B69BC">
        <w:t xml:space="preserve"> due to </w:t>
      </w:r>
      <w:r w:rsidR="00F4275F">
        <w:t xml:space="preserve">constraints arising from </w:t>
      </w:r>
      <w:r w:rsidR="005B69BC">
        <w:t xml:space="preserve">the </w:t>
      </w:r>
      <w:r w:rsidR="0082372C">
        <w:t xml:space="preserve">UE </w:t>
      </w:r>
      <w:r w:rsidR="005B69BC">
        <w:t xml:space="preserve">DL/UL BWP pair configuration </w:t>
      </w:r>
      <w:r w:rsidR="00F4275F">
        <w:t>with respect to the channel occupancy of the SBFD UL subband</w:t>
      </w:r>
      <w:r w:rsidR="005B69BC">
        <w:t>.</w:t>
      </w:r>
    </w:p>
    <w:p w14:paraId="14A621AD" w14:textId="008A95A8" w:rsidR="005B69BC" w:rsidRDefault="00474BE2" w:rsidP="00B00146">
      <w:pPr>
        <w:jc w:val="both"/>
      </w:pPr>
      <w:r>
        <w:t xml:space="preserve">In the DL, </w:t>
      </w:r>
      <w:r w:rsidR="00684B56">
        <w:t xml:space="preserve">gNB-side SBFD operation can benefit from enhancements to </w:t>
      </w:r>
      <w:r>
        <w:t xml:space="preserve">PDSCH resource </w:t>
      </w:r>
      <w:r w:rsidR="00261A9E">
        <w:t xml:space="preserve">allocations and </w:t>
      </w:r>
      <w:r>
        <w:t>mapping</w:t>
      </w:r>
      <w:r w:rsidR="00261A9E">
        <w:t>s</w:t>
      </w:r>
      <w:r>
        <w:t>, e.g., when rate match patterns are configured in the UE for RB level rate matching</w:t>
      </w:r>
      <w:r w:rsidR="00684B56">
        <w:t>.</w:t>
      </w:r>
    </w:p>
    <w:p w14:paraId="5F6EC27D" w14:textId="4E594DC9" w:rsidR="00684B56" w:rsidRDefault="00261A9E" w:rsidP="00B00146">
      <w:pPr>
        <w:jc w:val="both"/>
      </w:pPr>
      <w:r>
        <w:t xml:space="preserve">Using </w:t>
      </w:r>
      <w:r w:rsidR="0008093B">
        <w:t xml:space="preserve">PDSCH resource allocation type 1, </w:t>
      </w:r>
      <w:r>
        <w:t xml:space="preserve">RBs and symbols of the </w:t>
      </w:r>
      <w:r w:rsidR="00684B56">
        <w:t xml:space="preserve">SBFD UL subband </w:t>
      </w:r>
      <w:r>
        <w:t xml:space="preserve">in an SBFD slot can be masked </w:t>
      </w:r>
      <w:r w:rsidR="0008093B">
        <w:t xml:space="preserve">when a R15 or R16 </w:t>
      </w:r>
      <w:r>
        <w:t xml:space="preserve">cell- or UE- specific </w:t>
      </w:r>
      <w:r>
        <w:rPr>
          <w:i/>
          <w:iCs/>
        </w:rPr>
        <w:t>R</w:t>
      </w:r>
      <w:r w:rsidRPr="00B52879">
        <w:rPr>
          <w:i/>
          <w:iCs/>
        </w:rPr>
        <w:t>ateMatchPattern</w:t>
      </w:r>
      <w:r w:rsidR="0008093B">
        <w:t xml:space="preserve"> is configured for the UE. </w:t>
      </w:r>
      <w:r w:rsidR="00223936">
        <w:t xml:space="preserve">Support of </w:t>
      </w:r>
      <w:r w:rsidR="0008093B">
        <w:t xml:space="preserve">FG 5-26 (semi-static rate-matching resource set configuration for DL) </w:t>
      </w:r>
      <w:r w:rsidR="00223936">
        <w:t xml:space="preserve">is mandatory for legacy UEs, but </w:t>
      </w:r>
      <w:r w:rsidR="0008093B">
        <w:t xml:space="preserve">dynamic signaling support of </w:t>
      </w:r>
      <w:r w:rsidR="00223936">
        <w:t xml:space="preserve">the </w:t>
      </w:r>
      <w:r w:rsidR="0008093B">
        <w:t xml:space="preserve">bitmap 1/2/3 as by FG 5-27 is only optional. When the gNB </w:t>
      </w:r>
      <w:r w:rsidR="00097AC8">
        <w:t xml:space="preserve">uses </w:t>
      </w:r>
      <w:r w:rsidR="0008093B">
        <w:t xml:space="preserve">the UL subband in the SBFD slot for DL transmissions to UEs, </w:t>
      </w:r>
      <w:r w:rsidR="00141FDD">
        <w:t xml:space="preserve">the RRC configured </w:t>
      </w:r>
      <w:r w:rsidR="00141FDD" w:rsidRPr="00B52879">
        <w:rPr>
          <w:i/>
          <w:iCs/>
        </w:rPr>
        <w:t>RateMatchPattern</w:t>
      </w:r>
      <w:r w:rsidR="00141FDD">
        <w:t xml:space="preserve"> cannot be disabled by the scheduling DCI format 1_1. The gNB can then only schedule PDSCH using (non-interleaved) DL resource allocation type 1 either in the lower or upper DL subband of the SBFD slot, or PDSCH across both DL subbands cannot be mapped across using the UL subband </w:t>
      </w:r>
      <w:r w:rsidR="00223936">
        <w:t>at all</w:t>
      </w:r>
      <w:r w:rsidR="002865A3">
        <w:t xml:space="preserve"> </w:t>
      </w:r>
      <w:r w:rsidR="00141FDD">
        <w:t>(Figure 7).</w:t>
      </w:r>
    </w:p>
    <w:p w14:paraId="67CEECC8" w14:textId="5DFF1044" w:rsidR="00141FDD" w:rsidRPr="00261A9E" w:rsidRDefault="00141FDD" w:rsidP="00B52879">
      <w:pPr>
        <w:pStyle w:val="Proposal"/>
        <w:spacing w:before="120"/>
      </w:pPr>
      <w:r w:rsidRPr="000A5788">
        <w:t xml:space="preserve">RAN1 to study the impacts </w:t>
      </w:r>
      <w:r w:rsidR="008E115F">
        <w:t>of SBFD operation on DL resource allocation and resource mapping in slots/symbols configured with an SBFD UL subband</w:t>
      </w:r>
    </w:p>
    <w:p w14:paraId="37E0800C" w14:textId="77777777" w:rsidR="005E753B" w:rsidRDefault="005E753B" w:rsidP="00CA414F"/>
    <w:p w14:paraId="1E358725" w14:textId="3F833AA9" w:rsidR="00CA414F" w:rsidRDefault="005E753B" w:rsidP="00CA414F">
      <w:pPr>
        <w:keepNext/>
        <w:jc w:val="center"/>
      </w:pPr>
      <w:r>
        <w:rPr>
          <w:noProof/>
          <w:lang w:eastAsia="ko-KR"/>
        </w:rPr>
        <w:drawing>
          <wp:inline distT="0" distB="0" distL="0" distR="0" wp14:anchorId="286E4947" wp14:editId="629663BC">
            <wp:extent cx="5204177" cy="1871862"/>
            <wp:effectExtent l="0" t="0" r="3175" b="0"/>
            <wp:docPr id="1" name="Picture 1" descr="Chart,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box and whisker chart&#10;&#10;Description automatically generated"/>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224314" cy="1879105"/>
                    </a:xfrm>
                    <a:prstGeom prst="rect">
                      <a:avLst/>
                    </a:prstGeom>
                  </pic:spPr>
                </pic:pic>
              </a:graphicData>
            </a:graphic>
          </wp:inline>
        </w:drawing>
      </w:r>
    </w:p>
    <w:p w14:paraId="068E6977" w14:textId="340547A7" w:rsidR="00CA414F" w:rsidRPr="000A5788" w:rsidRDefault="008E115F" w:rsidP="000A5788">
      <w:pPr>
        <w:pStyle w:val="a5"/>
        <w:jc w:val="center"/>
        <w:rPr>
          <w:b w:val="0"/>
          <w:bCs/>
          <w:lang w:val="en-CA"/>
        </w:rPr>
      </w:pPr>
      <w:bookmarkStart w:id="3" w:name="_Ref100738356"/>
      <w:r w:rsidRPr="00DE5441">
        <w:rPr>
          <w:b w:val="0"/>
          <w:bCs/>
          <w:lang w:val="en-CA"/>
        </w:rPr>
        <w:t xml:space="preserve">Figure </w:t>
      </w:r>
      <w:r>
        <w:rPr>
          <w:b w:val="0"/>
          <w:bCs/>
        </w:rPr>
        <w:t>7:</w:t>
      </w:r>
      <w:r w:rsidRPr="00DE5441">
        <w:rPr>
          <w:b w:val="0"/>
          <w:bCs/>
          <w:lang w:val="en-CA"/>
        </w:rPr>
        <w:t xml:space="preserve"> </w:t>
      </w:r>
      <w:r w:rsidR="005E413F">
        <w:rPr>
          <w:b w:val="0"/>
          <w:bCs/>
          <w:lang w:val="en-CA"/>
        </w:rPr>
        <w:t>DL scheduling with SBFD</w:t>
      </w:r>
      <w:bookmarkEnd w:id="3"/>
    </w:p>
    <w:p w14:paraId="3A143EA3" w14:textId="77777777" w:rsidR="00CA414F" w:rsidRDefault="00CA414F" w:rsidP="00B52879">
      <w:pPr>
        <w:pStyle w:val="Proposal"/>
        <w:numPr>
          <w:ilvl w:val="0"/>
          <w:numId w:val="0"/>
        </w:numPr>
        <w:spacing w:before="120"/>
        <w:ind w:left="1304" w:hanging="1304"/>
      </w:pPr>
    </w:p>
    <w:p w14:paraId="1D445D3E" w14:textId="653ED5AE" w:rsidR="0088769B" w:rsidRPr="001E7AD0" w:rsidRDefault="0088769B" w:rsidP="0088769B">
      <w:pPr>
        <w:pStyle w:val="20"/>
        <w:jc w:val="both"/>
        <w:rPr>
          <w:lang w:val="en-US"/>
        </w:rPr>
      </w:pPr>
      <w:r>
        <w:rPr>
          <w:lang w:val="en-US"/>
        </w:rPr>
        <w:t>CLI</w:t>
      </w:r>
    </w:p>
    <w:p w14:paraId="39E43EC6" w14:textId="31E11D33" w:rsidR="009D4BEB" w:rsidRDefault="009D4BEB" w:rsidP="009D4BEB">
      <w:pPr>
        <w:jc w:val="both"/>
      </w:pPr>
      <w:r>
        <w:t>The R16 WI CLI and RIM introduced several tools to mitigate inter-cell UE-to-UE CLI. gNBs can exchange and coordinate the intended TDD UL/DL configuration over the Xn and F1 interfaces. The gNB can then decide the transmission and reception pattern to either avoid creating CLI to</w:t>
      </w:r>
      <w:r w:rsidR="000F6F43">
        <w:t>wards</w:t>
      </w:r>
      <w:r>
        <w:t xml:space="preserve"> a neighbor cell or to incur CLI from </w:t>
      </w:r>
      <w:r>
        <w:lastRenderedPageBreak/>
        <w:t>a neighbor cell.</w:t>
      </w:r>
      <w:r w:rsidR="000F6F43">
        <w:t xml:space="preserve"> Two different </w:t>
      </w:r>
      <w:r>
        <w:t xml:space="preserve">types of </w:t>
      </w:r>
      <w:r w:rsidR="000F6F43">
        <w:t xml:space="preserve">UE reportable </w:t>
      </w:r>
      <w:r>
        <w:t xml:space="preserve">CLI measurements </w:t>
      </w:r>
      <w:r w:rsidR="000F6F43">
        <w:t xml:space="preserve">were specified: </w:t>
      </w:r>
      <w:r>
        <w:t>CLI-RSSI and SRS-</w:t>
      </w:r>
      <w:r w:rsidR="000F6F43">
        <w:t xml:space="preserve"> </w:t>
      </w:r>
      <w:r>
        <w:t>RSRP. For CLI-RSSI measurement</w:t>
      </w:r>
      <w:r w:rsidR="000F6F43">
        <w:t>s</w:t>
      </w:r>
      <w:r>
        <w:t xml:space="preserve">, the victim UE measures the total received power over </w:t>
      </w:r>
      <w:r w:rsidR="000F6F43">
        <w:t xml:space="preserve">the </w:t>
      </w:r>
      <w:r>
        <w:t>configured CLI-RSSI measurement resource</w:t>
      </w:r>
      <w:r w:rsidR="000F6F43">
        <w:t>(s)</w:t>
      </w:r>
      <w:r>
        <w:t>. For SRS-RSRP measurement</w:t>
      </w:r>
      <w:r w:rsidR="000F6F43">
        <w:t>s</w:t>
      </w:r>
      <w:r>
        <w:t xml:space="preserve">, the victim UE measures the RSRP over configured SRS resource(s) which </w:t>
      </w:r>
      <w:r w:rsidR="000F6F43">
        <w:t xml:space="preserve">are </w:t>
      </w:r>
      <w:r>
        <w:t>transmitted from one or multiple aggressor UEs.</w:t>
      </w:r>
      <w:r w:rsidR="000F6F43">
        <w:t xml:space="preserve"> These measurements are L3 filtered. E</w:t>
      </w:r>
      <w:r>
        <w:t xml:space="preserve">vent triggered and periodic reporting </w:t>
      </w:r>
      <w:r w:rsidR="000F6F43">
        <w:t xml:space="preserve">are </w:t>
      </w:r>
      <w:r>
        <w:t>supported.</w:t>
      </w:r>
      <w:r w:rsidR="00A96DEB">
        <w:t xml:space="preserve"> A number of CLI mitigation techniques, incl</w:t>
      </w:r>
      <w:r w:rsidR="00E30D8B">
        <w:t>uding</w:t>
      </w:r>
      <w:r w:rsidR="00A96DEB">
        <w:t xml:space="preserve"> receiver</w:t>
      </w:r>
      <w:r w:rsidR="00E30D8B">
        <w:t xml:space="preserve">-based </w:t>
      </w:r>
      <w:r w:rsidR="00A96DEB">
        <w:t>design options were discussed and evaluated during the NR SI.</w:t>
      </w:r>
    </w:p>
    <w:p w14:paraId="008B39C6" w14:textId="07AFC8FC" w:rsidR="00600AEF" w:rsidRDefault="00ED4228" w:rsidP="009D4BEB">
      <w:pPr>
        <w:jc w:val="both"/>
      </w:pPr>
      <w:r>
        <w:t>With respect to CLI measurements and associated UE reporting for SBFD</w:t>
      </w:r>
      <w:r w:rsidR="00A96DEB">
        <w:t xml:space="preserve">, </w:t>
      </w:r>
      <w:r w:rsidR="004704E0">
        <w:t>the R16 CLI reporting features can in principle be used “as is” for the case of inter-cell intra</w:t>
      </w:r>
      <w:r w:rsidR="0060420E">
        <w:t>-subband CLI reporting when SRS transmissions from interfering (aggressor) UEs transmitting in the SBFD UL subband in a neighbor cell are reported by the victim UEs receiving in the DL subband of an SBFD slot in the serving cell. This case corresponds to unaligned SBFD UL subband</w:t>
      </w:r>
      <w:r w:rsidR="00E30D8B">
        <w:t>s, e.g., different</w:t>
      </w:r>
      <w:r w:rsidR="00A435D7">
        <w:t>ly</w:t>
      </w:r>
      <w:r w:rsidR="00E30D8B">
        <w:t xml:space="preserve"> configured frequency occupations of the SBFD UL subbands </w:t>
      </w:r>
      <w:r w:rsidR="0060420E">
        <w:t>in the two TDD cells</w:t>
      </w:r>
      <w:r w:rsidR="00A435D7">
        <w:t>.</w:t>
      </w:r>
      <w:r w:rsidR="0060420E">
        <w:t xml:space="preserve"> </w:t>
      </w:r>
      <w:r w:rsidR="00A435D7">
        <w:t xml:space="preserve">This deployment case </w:t>
      </w:r>
      <w:r w:rsidR="0060420E">
        <w:t xml:space="preserve">is not expected to occur </w:t>
      </w:r>
      <w:r w:rsidR="00435A60">
        <w:t xml:space="preserve">often </w:t>
      </w:r>
      <w:r w:rsidR="0060420E">
        <w:t>in practical deployments</w:t>
      </w:r>
      <w:r w:rsidR="00435A60">
        <w:t xml:space="preserve">. It can be expected that </w:t>
      </w:r>
      <w:r w:rsidR="0045360D">
        <w:t xml:space="preserve">the SBFD UL subband </w:t>
      </w:r>
      <w:r w:rsidR="00E30D8B">
        <w:t xml:space="preserve">when deployed </w:t>
      </w:r>
      <w:r w:rsidR="00435A60">
        <w:t xml:space="preserve">is </w:t>
      </w:r>
      <w:r w:rsidR="00E30D8B">
        <w:t xml:space="preserve">then </w:t>
      </w:r>
      <w:r w:rsidR="00A435D7">
        <w:t xml:space="preserve">also </w:t>
      </w:r>
      <w:r w:rsidR="0045360D">
        <w:t>aligned in the TDD cells of a</w:t>
      </w:r>
      <w:r w:rsidR="00A435D7">
        <w:t xml:space="preserve">n operator </w:t>
      </w:r>
      <w:r w:rsidR="0045360D">
        <w:t>network segment</w:t>
      </w:r>
      <w:r w:rsidR="00806E25">
        <w:t xml:space="preserve"> (Figure </w:t>
      </w:r>
      <w:r w:rsidR="0022674C">
        <w:t>8</w:t>
      </w:r>
      <w:r w:rsidR="00806E25">
        <w:t>)</w:t>
      </w:r>
      <w:r w:rsidR="0045360D">
        <w:t xml:space="preserve">. Edge effects such as </w:t>
      </w:r>
      <w:r w:rsidR="00E30D8B">
        <w:t xml:space="preserve">when </w:t>
      </w:r>
      <w:r w:rsidR="0045360D">
        <w:t>the band segment of the operator changes exist but are rare.</w:t>
      </w:r>
    </w:p>
    <w:p w14:paraId="772BD0A1" w14:textId="36D45551" w:rsidR="00E30D8B" w:rsidRDefault="00E30D8B" w:rsidP="009D4BEB">
      <w:pPr>
        <w:jc w:val="both"/>
      </w:pPr>
      <w:r>
        <w:t>A more frequent</w:t>
      </w:r>
      <w:r w:rsidR="00A435D7">
        <w:t>ly</w:t>
      </w:r>
      <w:r>
        <w:t xml:space="preserve"> expected </w:t>
      </w:r>
      <w:r w:rsidR="00A435D7">
        <w:t xml:space="preserve">SBFD </w:t>
      </w:r>
      <w:r>
        <w:t>deployment case</w:t>
      </w:r>
      <w:r w:rsidR="00A435D7">
        <w:t xml:space="preserve"> resulting in non-aligned SBFD UL subband(s) occurs at the edge of the operator network segment where SBFD is deployed at the gNB side. Here, the SBFD-capable TDD cells will need to inter-operate with legacy co-channel TDD cells of the operator. No SBFD UL subband is available in these neighbor cells (Figure </w:t>
      </w:r>
      <w:r w:rsidR="00140BC2">
        <w:t>8</w:t>
      </w:r>
      <w:r w:rsidR="00A435D7">
        <w:t>).</w:t>
      </w:r>
    </w:p>
    <w:p w14:paraId="7D872A71" w14:textId="77777777" w:rsidR="00E30D8B" w:rsidRDefault="00E30D8B" w:rsidP="00E30D8B">
      <w:pPr>
        <w:spacing w:before="120" w:after="120"/>
        <w:jc w:val="both"/>
        <w:rPr>
          <w:color w:val="000000" w:themeColor="text1"/>
        </w:rPr>
      </w:pPr>
    </w:p>
    <w:p w14:paraId="45741EE5" w14:textId="5ED0C1DC" w:rsidR="00E30D8B" w:rsidRDefault="00E30D8B" w:rsidP="00E30D8B">
      <w:pPr>
        <w:spacing w:before="120" w:after="120"/>
        <w:jc w:val="center"/>
        <w:rPr>
          <w:color w:val="000000" w:themeColor="text1"/>
        </w:rPr>
      </w:pPr>
      <w:r>
        <w:rPr>
          <w:noProof/>
          <w:color w:val="000000" w:themeColor="text1"/>
          <w:lang w:eastAsia="ko-KR"/>
        </w:rPr>
        <w:drawing>
          <wp:inline distT="0" distB="0" distL="0" distR="0" wp14:anchorId="09A9FEF3" wp14:editId="783AF909">
            <wp:extent cx="6120765" cy="2329815"/>
            <wp:effectExtent l="0" t="0" r="635" b="0"/>
            <wp:docPr id="7" name="Picture 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120765" cy="2329815"/>
                    </a:xfrm>
                    <a:prstGeom prst="rect">
                      <a:avLst/>
                    </a:prstGeom>
                  </pic:spPr>
                </pic:pic>
              </a:graphicData>
            </a:graphic>
          </wp:inline>
        </w:drawing>
      </w:r>
    </w:p>
    <w:p w14:paraId="12D21C1F" w14:textId="2F17AB29" w:rsidR="00E30D8B" w:rsidRPr="00DE5441" w:rsidRDefault="00E30D8B" w:rsidP="00E30D8B">
      <w:pPr>
        <w:pStyle w:val="a5"/>
        <w:jc w:val="center"/>
        <w:rPr>
          <w:b w:val="0"/>
          <w:bCs/>
          <w:lang w:val="en-CA"/>
        </w:rPr>
      </w:pPr>
      <w:r w:rsidRPr="00DE5441">
        <w:rPr>
          <w:b w:val="0"/>
          <w:bCs/>
          <w:lang w:val="en-CA"/>
        </w:rPr>
        <w:t xml:space="preserve">Figure </w:t>
      </w:r>
      <w:r w:rsidR="00140BC2">
        <w:rPr>
          <w:b w:val="0"/>
          <w:bCs/>
        </w:rPr>
        <w:t>8</w:t>
      </w:r>
      <w:r w:rsidRPr="00DE5441">
        <w:rPr>
          <w:b w:val="0"/>
          <w:bCs/>
          <w:lang w:val="en-CA"/>
        </w:rPr>
        <w:t xml:space="preserve">: </w:t>
      </w:r>
      <w:r>
        <w:rPr>
          <w:b w:val="0"/>
          <w:bCs/>
          <w:lang w:val="en-CA"/>
        </w:rPr>
        <w:t>SBFD inter subband CLI scenarios: aligned and unaligned cases</w:t>
      </w:r>
    </w:p>
    <w:p w14:paraId="4197F462" w14:textId="77777777" w:rsidR="00E30D8B" w:rsidRPr="00E30D8B" w:rsidRDefault="00E30D8B" w:rsidP="009D4BEB">
      <w:pPr>
        <w:jc w:val="both"/>
        <w:rPr>
          <w:lang w:val="en-CA"/>
        </w:rPr>
      </w:pPr>
    </w:p>
    <w:p w14:paraId="033FACCA" w14:textId="01E76233" w:rsidR="004704E0" w:rsidRDefault="0045360D" w:rsidP="009D4BEB">
      <w:pPr>
        <w:jc w:val="both"/>
      </w:pPr>
      <w:r>
        <w:t xml:space="preserve">Forcing </w:t>
      </w:r>
      <w:r w:rsidR="00806E25">
        <w:t xml:space="preserve">the </w:t>
      </w:r>
      <w:r>
        <w:t xml:space="preserve">UEs to transmit SRS in the DL subband(s) of an SBFD slot is not only detrimental to DL throughput but is also questionable in terms of its usefulness to the gNB scheduler. When SRS is transmitted </w:t>
      </w:r>
      <w:r w:rsidR="00435A60">
        <w:t xml:space="preserve">by a UE </w:t>
      </w:r>
      <w:r>
        <w:t xml:space="preserve">in the DL subband(s) of the SBFD slot, DL transmissions from the gNB in these measurement resources </w:t>
      </w:r>
      <w:r w:rsidR="00206852">
        <w:t xml:space="preserve">are </w:t>
      </w:r>
      <w:r>
        <w:t>muted</w:t>
      </w:r>
      <w:r w:rsidR="00435A60">
        <w:t xml:space="preserve">. SIC is not active. </w:t>
      </w:r>
      <w:r w:rsidR="00600AEF">
        <w:t xml:space="preserve">UE reported signal strength measurements, e.g., SRS-RRSP are therefore not much representative of actual UL-DL inter-subband interference in the SBFD slot. </w:t>
      </w:r>
    </w:p>
    <w:p w14:paraId="18B4F457" w14:textId="6E471EA8" w:rsidR="003912E9" w:rsidRPr="003912E9" w:rsidRDefault="00600AEF" w:rsidP="003912E9">
      <w:pPr>
        <w:jc w:val="both"/>
        <w:rPr>
          <w:lang w:val="en-CA"/>
        </w:rPr>
      </w:pPr>
      <w:r>
        <w:t xml:space="preserve">In our view, introducing a UE reportable CLI-SINR measurement using a known configured DL measurement signal, e.g., NZP CSI-RS resource(s) is a better way to measure and report intra-cell </w:t>
      </w:r>
      <w:r w:rsidR="00210868">
        <w:t xml:space="preserve">inter-subband </w:t>
      </w:r>
      <w:r>
        <w:t xml:space="preserve">UL-DL interference. </w:t>
      </w:r>
    </w:p>
    <w:p w14:paraId="61BDC598" w14:textId="73D6010C" w:rsidR="000F6F43" w:rsidRDefault="00387C4C" w:rsidP="003912E9">
      <w:pPr>
        <w:jc w:val="both"/>
      </w:pPr>
      <w:r>
        <w:t xml:space="preserve">Another limitation are UE capabilities. </w:t>
      </w:r>
      <w:r w:rsidR="003912E9">
        <w:t xml:space="preserve">In the R16 CLI feature, </w:t>
      </w:r>
      <w:r>
        <w:t xml:space="preserve">simultaneous reception of DL signals/channels and CLI-RSSI or SRS-RSRP measurement resources </w:t>
      </w:r>
      <w:r w:rsidR="003912E9">
        <w:t xml:space="preserve">by the UE </w:t>
      </w:r>
      <w:r>
        <w:t xml:space="preserve">is </w:t>
      </w:r>
      <w:r w:rsidR="003912E9">
        <w:t>not required</w:t>
      </w:r>
      <w:r>
        <w:t>.</w:t>
      </w:r>
      <w:r w:rsidR="003912E9">
        <w:t xml:space="preserve"> For SBFD operation, DL scheduling in which the configured (RE-level) known DL measurement signal occurs is desirable.</w:t>
      </w:r>
    </w:p>
    <w:p w14:paraId="7B1CEC2A" w14:textId="104C153C" w:rsidR="003912E9" w:rsidRDefault="00210868" w:rsidP="003912E9">
      <w:pPr>
        <w:pStyle w:val="Proposal"/>
        <w:spacing w:before="120"/>
      </w:pPr>
      <w:r>
        <w:rPr>
          <w:color w:val="000000" w:themeColor="text1"/>
        </w:rPr>
        <w:t xml:space="preserve">A </w:t>
      </w:r>
      <w:r w:rsidR="005D4FB7">
        <w:rPr>
          <w:color w:val="000000" w:themeColor="text1"/>
        </w:rPr>
        <w:t>DL reference signal, e.g., NZP CSI</w:t>
      </w:r>
      <w:r>
        <w:rPr>
          <w:color w:val="000000" w:themeColor="text1"/>
        </w:rPr>
        <w:t>-RS</w:t>
      </w:r>
      <w:r w:rsidR="005D4FB7">
        <w:rPr>
          <w:color w:val="000000" w:themeColor="text1"/>
        </w:rPr>
        <w:t xml:space="preserve"> resource(s)</w:t>
      </w:r>
      <w:r w:rsidR="00CC4704">
        <w:rPr>
          <w:color w:val="000000" w:themeColor="text1"/>
        </w:rPr>
        <w:t xml:space="preserve"> can be configured for the UE to report inter-subband UL-DL interference</w:t>
      </w:r>
      <w:r w:rsidR="003912E9">
        <w:rPr>
          <w:color w:val="000000" w:themeColor="text1"/>
        </w:rPr>
        <w:t>.</w:t>
      </w:r>
    </w:p>
    <w:p w14:paraId="6E8E9634" w14:textId="77777777" w:rsidR="00312F92" w:rsidRDefault="00312F92" w:rsidP="005D4FB7">
      <w:pPr>
        <w:jc w:val="both"/>
      </w:pPr>
    </w:p>
    <w:p w14:paraId="6237FBEF" w14:textId="6A4E3B60" w:rsidR="00FE753F" w:rsidRDefault="005D4FB7" w:rsidP="005D4FB7">
      <w:pPr>
        <w:jc w:val="both"/>
      </w:pPr>
      <w:r>
        <w:t>With respect to CLI mitigation techniques, an important consideration for SBFD is that currently only</w:t>
      </w:r>
      <w:r w:rsidR="00FE753F">
        <w:t xml:space="preserve"> a single UE configured maximum output power value </w:t>
      </w:r>
      <w:r w:rsidR="00FE753F" w:rsidRPr="005D4FB7">
        <w:rPr>
          <w:i/>
          <w:iCs/>
        </w:rPr>
        <w:t>p-Max</w:t>
      </w:r>
      <w:r w:rsidR="00FE753F">
        <w:t xml:space="preserve"> limits the UE's UL transmission power on a carrier frequency. </w:t>
      </w:r>
      <w:r>
        <w:t xml:space="preserve">In addition, </w:t>
      </w:r>
      <w:r w:rsidR="00FE753F">
        <w:t xml:space="preserve">a single value for </w:t>
      </w:r>
      <w:r w:rsidR="00FE753F" w:rsidRPr="005D4FB7">
        <w:rPr>
          <w:i/>
          <w:iCs/>
        </w:rPr>
        <w:t>p-NR-FR1</w:t>
      </w:r>
      <w:r w:rsidR="00FE753F">
        <w:t xml:space="preserve"> and/or </w:t>
      </w:r>
      <w:r w:rsidR="00FE753F" w:rsidRPr="005D4FB7">
        <w:rPr>
          <w:i/>
          <w:iCs/>
        </w:rPr>
        <w:t>p-UE-FR1</w:t>
      </w:r>
      <w:r w:rsidR="00FE753F">
        <w:t xml:space="preserve"> </w:t>
      </w:r>
      <w:r>
        <w:t xml:space="preserve">can </w:t>
      </w:r>
      <w:r w:rsidR="00FE753F">
        <w:t xml:space="preserve">be configured for the total maximum configured output power of a cell group of which the serving cell is part or for all cells configured for the UE in FR1. A consequence is that </w:t>
      </w:r>
      <w:r>
        <w:t xml:space="preserve">the </w:t>
      </w:r>
      <w:r w:rsidR="00FE753F">
        <w:t xml:space="preserve">same UE configured maximum output power value is then used for UL transmit power control by the UE to determine </w:t>
      </w:r>
      <w:r w:rsidR="00F76D8F">
        <w:t>the</w:t>
      </w:r>
      <w:r w:rsidR="00FE753F">
        <w:t xml:space="preserve"> maximum transmission power value for PUSCH, PUCCH, SRS or PRACH irrespective of the slot type, e.g., normal UL slot or </w:t>
      </w:r>
      <w:r>
        <w:t xml:space="preserve">SBFD </w:t>
      </w:r>
      <w:r w:rsidR="00FE753F">
        <w:t xml:space="preserve">slot. For example, when </w:t>
      </w:r>
      <w:r w:rsidR="00FE753F" w:rsidRPr="005D4FB7">
        <w:rPr>
          <w:i/>
          <w:iCs/>
        </w:rPr>
        <w:t>p-Max</w:t>
      </w:r>
      <w:r w:rsidR="00FE753F">
        <w:t xml:space="preserve"> </w:t>
      </w:r>
      <w:r>
        <w:t xml:space="preserve">is </w:t>
      </w:r>
      <w:r w:rsidR="00FE753F">
        <w:t>configure</w:t>
      </w:r>
      <w:r>
        <w:t>d</w:t>
      </w:r>
      <w:r w:rsidR="00FE753F">
        <w:t xml:space="preserve"> </w:t>
      </w:r>
      <w:r>
        <w:t xml:space="preserve">such that the </w:t>
      </w:r>
      <w:r w:rsidR="00FE753F">
        <w:t xml:space="preserve">UE </w:t>
      </w:r>
      <w:r>
        <w:t xml:space="preserve">is allowed </w:t>
      </w:r>
      <w:r w:rsidR="00FE753F">
        <w:t>23 dBm nominal output power</w:t>
      </w:r>
      <w:r w:rsidR="00312F92">
        <w:t xml:space="preserve"> and adjusted by </w:t>
      </w:r>
      <w:r w:rsidR="00FE753F">
        <w:t>RF tolerances</w:t>
      </w:r>
      <w:r w:rsidR="00312F92">
        <w:t xml:space="preserve"> and A-MPR</w:t>
      </w:r>
      <w:r w:rsidR="00650127">
        <w:t>(s)</w:t>
      </w:r>
      <w:r w:rsidR="00FE753F">
        <w:t xml:space="preserve">, the UE when scheduled will then transmit using up to the maximum configured value of 23 dBm in </w:t>
      </w:r>
      <w:r w:rsidR="00312F92">
        <w:t xml:space="preserve">any </w:t>
      </w:r>
      <w:r w:rsidR="00FE753F">
        <w:t>time-domain resource</w:t>
      </w:r>
      <w:r w:rsidR="00312F92">
        <w:t xml:space="preserve"> </w:t>
      </w:r>
      <w:r w:rsidR="00FE753F">
        <w:t>of the serving cell.</w:t>
      </w:r>
    </w:p>
    <w:p w14:paraId="4035218F" w14:textId="422EC0C2" w:rsidR="00FE753F" w:rsidRDefault="00312F92" w:rsidP="00FE753F">
      <w:pPr>
        <w:jc w:val="both"/>
      </w:pPr>
      <w:r>
        <w:t xml:space="preserve">It is desirable to </w:t>
      </w:r>
      <w:r w:rsidR="00FE753F">
        <w:t xml:space="preserve">separately </w:t>
      </w:r>
      <w:r>
        <w:t xml:space="preserve">set </w:t>
      </w:r>
      <w:r w:rsidR="00FE753F">
        <w:t xml:space="preserve">the </w:t>
      </w:r>
      <w:r>
        <w:t xml:space="preserve">allowed </w:t>
      </w:r>
      <w:r w:rsidR="00FE753F">
        <w:t xml:space="preserve">UE configured maximum output power </w:t>
      </w:r>
      <w:r>
        <w:t xml:space="preserve">for the </w:t>
      </w:r>
      <w:r w:rsidR="00FE753F">
        <w:t xml:space="preserve">normal UL slot and </w:t>
      </w:r>
      <w:r>
        <w:t xml:space="preserve">UL transmissions in </w:t>
      </w:r>
      <w:r w:rsidR="00FE753F">
        <w:t xml:space="preserve">the </w:t>
      </w:r>
      <w:r>
        <w:t xml:space="preserve">UL subband of the SBFD </w:t>
      </w:r>
      <w:r w:rsidR="00FE753F">
        <w:t xml:space="preserve">slots. </w:t>
      </w:r>
      <w:r>
        <w:t>T</w:t>
      </w:r>
      <w:r w:rsidR="00FE753F">
        <w:t xml:space="preserve">he maximum allowed UL transmit output power of a UE determines its interference range with respect to </w:t>
      </w:r>
      <w:r>
        <w:t xml:space="preserve">the </w:t>
      </w:r>
      <w:r w:rsidR="00FE753F">
        <w:t xml:space="preserve">co-scheduled UEs </w:t>
      </w:r>
      <w:r w:rsidR="00650127">
        <w:t>in the DL subband(s) of</w:t>
      </w:r>
      <w:r w:rsidR="00FE753F">
        <w:t xml:space="preserve"> the same cell. For </w:t>
      </w:r>
      <w:r>
        <w:t xml:space="preserve">SBFD </w:t>
      </w:r>
      <w:r w:rsidR="00FE753F">
        <w:t xml:space="preserve">operation in the serving cell, it is </w:t>
      </w:r>
      <w:r w:rsidR="00650127">
        <w:t xml:space="preserve">often useful </w:t>
      </w:r>
      <w:r w:rsidR="00FE753F">
        <w:t xml:space="preserve">to limit the interference range of the </w:t>
      </w:r>
      <w:r w:rsidR="00650127">
        <w:t xml:space="preserve">aggressor </w:t>
      </w:r>
      <w:r w:rsidR="00FE753F">
        <w:t xml:space="preserve">UE </w:t>
      </w:r>
      <w:r w:rsidR="00650127">
        <w:t xml:space="preserve">in </w:t>
      </w:r>
      <w:r w:rsidR="00F76D8F">
        <w:t xml:space="preserve">average or good SINR conditions when </w:t>
      </w:r>
      <w:r w:rsidR="00FE753F">
        <w:t xml:space="preserve">transmitting in the </w:t>
      </w:r>
      <w:r w:rsidR="00650127">
        <w:t xml:space="preserve">SBFD </w:t>
      </w:r>
      <w:r w:rsidR="00FE753F">
        <w:t xml:space="preserve">UL </w:t>
      </w:r>
      <w:r>
        <w:t xml:space="preserve">subband of SBFD </w:t>
      </w:r>
      <w:r w:rsidR="00FE753F">
        <w:t>slot</w:t>
      </w:r>
      <w:r>
        <w:t>s</w:t>
      </w:r>
      <w:r w:rsidR="00FE753F">
        <w:t xml:space="preserve">. The aggressor UE transmitting in the </w:t>
      </w:r>
      <w:r w:rsidR="00F76D8F">
        <w:t xml:space="preserve">SBFD </w:t>
      </w:r>
      <w:r w:rsidR="00FE753F">
        <w:t xml:space="preserve">UL </w:t>
      </w:r>
      <w:r>
        <w:t xml:space="preserve">subband </w:t>
      </w:r>
      <w:r w:rsidR="00F76D8F">
        <w:t xml:space="preserve">(mostly) </w:t>
      </w:r>
      <w:r w:rsidR="00FE753F">
        <w:t>interferes the victim UE receiving DL transmission</w:t>
      </w:r>
      <w:r w:rsidR="00F76D8F">
        <w:t>s in the DL subband(s)</w:t>
      </w:r>
      <w:r w:rsidR="00FE753F">
        <w:t xml:space="preserve"> </w:t>
      </w:r>
      <w:r w:rsidR="00F76D8F">
        <w:t xml:space="preserve">of </w:t>
      </w:r>
      <w:r w:rsidR="00FE753F">
        <w:t xml:space="preserve">the same serving cell. The aggressor UE transmitting in the UL in the normal UL slot does </w:t>
      </w:r>
      <w:r w:rsidR="00F76D8F">
        <w:t xml:space="preserve">(usually) </w:t>
      </w:r>
      <w:r w:rsidR="00FE753F">
        <w:t xml:space="preserve">not interfere with the DL transmissions to UE(s) in the same and in adjacent cells assuming </w:t>
      </w:r>
      <w:r w:rsidR="00F76D8F">
        <w:t xml:space="preserve">the </w:t>
      </w:r>
      <w:r w:rsidR="00FE753F">
        <w:t>same TDD UL-DL frame configuration is configured for the TDD cells in the deployment and assuming that the guard period is configured sufficiently large.</w:t>
      </w:r>
    </w:p>
    <w:p w14:paraId="6BCADCDD" w14:textId="5309F00F" w:rsidR="00F76D8F" w:rsidRDefault="00F76D8F" w:rsidP="00F76D8F">
      <w:pPr>
        <w:pStyle w:val="Proposal"/>
        <w:spacing w:before="120"/>
      </w:pPr>
      <w:r>
        <w:rPr>
          <w:color w:val="000000" w:themeColor="text1"/>
        </w:rPr>
        <w:t xml:space="preserve">The UE maximum output power is configurable per slot in a TDD </w:t>
      </w:r>
      <w:r w:rsidR="008F0C73">
        <w:rPr>
          <w:color w:val="000000" w:themeColor="text1"/>
        </w:rPr>
        <w:t xml:space="preserve">serving </w:t>
      </w:r>
      <w:r>
        <w:rPr>
          <w:color w:val="000000" w:themeColor="text1"/>
        </w:rPr>
        <w:t xml:space="preserve">cell with </w:t>
      </w:r>
      <w:r w:rsidR="00880B24">
        <w:rPr>
          <w:color w:val="000000" w:themeColor="text1"/>
        </w:rPr>
        <w:t>SBFD</w:t>
      </w:r>
      <w:r>
        <w:rPr>
          <w:color w:val="000000" w:themeColor="text1"/>
        </w:rPr>
        <w:t>.</w:t>
      </w:r>
    </w:p>
    <w:p w14:paraId="5A4420DF" w14:textId="3ECA82ED" w:rsidR="0010577B" w:rsidRDefault="0010577B" w:rsidP="00873F07">
      <w:pPr>
        <w:jc w:val="both"/>
      </w:pPr>
    </w:p>
    <w:p w14:paraId="0DCEA052" w14:textId="3F4B59B3" w:rsidR="00E21FEB" w:rsidRPr="001E7AD0" w:rsidRDefault="00E21FEB" w:rsidP="00E21FEB">
      <w:pPr>
        <w:pStyle w:val="20"/>
        <w:jc w:val="both"/>
        <w:rPr>
          <w:lang w:val="en-US"/>
        </w:rPr>
      </w:pPr>
      <w:r>
        <w:rPr>
          <w:rFonts w:hint="eastAsia"/>
          <w:lang w:val="en-US" w:eastAsia="ko-KR"/>
        </w:rPr>
        <w:t xml:space="preserve">Other </w:t>
      </w:r>
      <w:r w:rsidR="00346422">
        <w:rPr>
          <w:lang w:val="en-US" w:eastAsia="ko-KR"/>
        </w:rPr>
        <w:t>e</w:t>
      </w:r>
      <w:r>
        <w:rPr>
          <w:rFonts w:hint="eastAsia"/>
          <w:lang w:val="en-US" w:eastAsia="ko-KR"/>
        </w:rPr>
        <w:t>nhancements</w:t>
      </w:r>
    </w:p>
    <w:p w14:paraId="5AE1CC83" w14:textId="3A79BAA2" w:rsidR="001401A2" w:rsidRDefault="00616355" w:rsidP="00873F07">
      <w:pPr>
        <w:jc w:val="both"/>
        <w:rPr>
          <w:rFonts w:eastAsia="맑은 고딕"/>
          <w:lang w:eastAsia="ko-KR"/>
        </w:rPr>
      </w:pPr>
      <w:r w:rsidRPr="00616355">
        <w:rPr>
          <w:rFonts w:eastAsia="맑은 고딕"/>
          <w:lang w:eastAsia="ko-KR"/>
        </w:rPr>
        <w:t xml:space="preserve">When the SBFD UL subband is </w:t>
      </w:r>
      <w:r w:rsidR="007C75AB">
        <w:rPr>
          <w:rFonts w:eastAsia="맑은 고딕"/>
          <w:lang w:eastAsia="ko-KR"/>
        </w:rPr>
        <w:t xml:space="preserve">available </w:t>
      </w:r>
      <w:r w:rsidRPr="00616355">
        <w:rPr>
          <w:rFonts w:eastAsia="맑은 고딕"/>
          <w:lang w:eastAsia="ko-KR"/>
        </w:rPr>
        <w:t xml:space="preserve">for </w:t>
      </w:r>
      <w:r w:rsidR="007C75AB">
        <w:rPr>
          <w:rFonts w:eastAsia="맑은 고딕"/>
          <w:lang w:eastAsia="ko-KR"/>
        </w:rPr>
        <w:t xml:space="preserve">UL transmissions from the </w:t>
      </w:r>
      <w:r w:rsidRPr="00616355">
        <w:rPr>
          <w:rFonts w:eastAsia="맑은 고딕"/>
          <w:lang w:eastAsia="ko-KR"/>
        </w:rPr>
        <w:t>UE</w:t>
      </w:r>
      <w:r w:rsidR="007C75AB">
        <w:rPr>
          <w:rFonts w:eastAsia="맑은 고딕"/>
          <w:lang w:eastAsia="ko-KR"/>
        </w:rPr>
        <w:t>, consideration must be given to the type of UL signals or channels which can be configured or scheduled using the SBFD UL subband</w:t>
      </w:r>
      <w:r w:rsidRPr="00616355">
        <w:rPr>
          <w:rFonts w:eastAsia="맑은 고딕"/>
          <w:lang w:eastAsia="ko-KR"/>
        </w:rPr>
        <w:t xml:space="preserve">. </w:t>
      </w:r>
      <w:r w:rsidR="007C75AB">
        <w:rPr>
          <w:rFonts w:eastAsia="맑은 고딕"/>
          <w:lang w:eastAsia="ko-KR"/>
        </w:rPr>
        <w:t>In section 4</w:t>
      </w:r>
      <w:r w:rsidR="003D4484">
        <w:rPr>
          <w:rFonts w:eastAsia="맑은 고딕"/>
          <w:lang w:eastAsia="ko-KR"/>
        </w:rPr>
        <w:t>.1</w:t>
      </w:r>
      <w:r w:rsidR="007C75AB">
        <w:rPr>
          <w:rFonts w:eastAsia="맑은 고딕"/>
          <w:lang w:eastAsia="ko-KR"/>
        </w:rPr>
        <w:t xml:space="preserve"> we discussed PUSCH and PUCCH scheduling aspects</w:t>
      </w:r>
      <w:r w:rsidRPr="00616355">
        <w:rPr>
          <w:rFonts w:eastAsia="맑은 고딕"/>
          <w:lang w:eastAsia="ko-KR"/>
        </w:rPr>
        <w:t>.</w:t>
      </w:r>
    </w:p>
    <w:p w14:paraId="76DB3C4B" w14:textId="52912E57" w:rsidR="0094720A" w:rsidRDefault="009940F1" w:rsidP="00C03B39">
      <w:pPr>
        <w:jc w:val="both"/>
        <w:rPr>
          <w:rFonts w:eastAsia="맑은 고딕"/>
          <w:lang w:eastAsia="ko-KR"/>
        </w:rPr>
      </w:pPr>
      <w:r>
        <w:rPr>
          <w:rFonts w:eastAsia="맑은 고딕"/>
          <w:lang w:eastAsia="ko-KR"/>
        </w:rPr>
        <w:t>Allowing for configuration of PRACH in the SBFD UL subband and use of the SBFD UL subband for RRC and NAS signaling exchange</w:t>
      </w:r>
      <w:r w:rsidR="00F2684C">
        <w:rPr>
          <w:rFonts w:eastAsia="맑은 고딕"/>
          <w:lang w:eastAsia="ko-KR"/>
        </w:rPr>
        <w:t>s</w:t>
      </w:r>
      <w:r>
        <w:rPr>
          <w:rFonts w:eastAsia="맑은 고딕"/>
          <w:lang w:eastAsia="ko-KR"/>
        </w:rPr>
        <w:t xml:space="preserve"> during the 5G Initial Attach procedure </w:t>
      </w:r>
      <w:r w:rsidR="00F2684C">
        <w:rPr>
          <w:rFonts w:eastAsia="맑은 고딕"/>
          <w:lang w:eastAsia="ko-KR"/>
        </w:rPr>
        <w:t xml:space="preserve">reduces UE initial acquisition time in NR TDD. It must be considered that about 8-10 DL and UL messages must be exchanged by network and UE during initial attach. These signaling exchanges are mostly “atomic” and “in sequence”, e.g., successful completion of a NAS procedure such as Authentication Request/Response is required before a subsequent NAS procedure </w:t>
      </w:r>
      <w:r w:rsidR="00C03B39">
        <w:rPr>
          <w:rFonts w:eastAsia="맑은 고딕"/>
          <w:lang w:eastAsia="ko-KR"/>
        </w:rPr>
        <w:t xml:space="preserve">such as NAS Identity Request can be initiated. NR TDD </w:t>
      </w:r>
      <w:r w:rsidR="002A6E0C">
        <w:rPr>
          <w:rFonts w:eastAsia="맑은 고딕"/>
          <w:lang w:eastAsia="ko-KR"/>
        </w:rPr>
        <w:t xml:space="preserve">30 kHz </w:t>
      </w:r>
      <w:r w:rsidR="00C03B39">
        <w:rPr>
          <w:rFonts w:eastAsia="맑은 고딕"/>
          <w:lang w:eastAsia="ko-KR"/>
        </w:rPr>
        <w:t xml:space="preserve">when compared to NR FDD </w:t>
      </w:r>
      <w:r w:rsidR="002A6E0C">
        <w:rPr>
          <w:rFonts w:eastAsia="맑은 고딕"/>
          <w:lang w:eastAsia="ko-KR"/>
        </w:rPr>
        <w:t xml:space="preserve">15 kHz in the NR low band </w:t>
      </w:r>
      <w:r w:rsidR="00C03B39">
        <w:rPr>
          <w:rFonts w:eastAsia="맑은 고딕"/>
          <w:lang w:eastAsia="ko-KR"/>
        </w:rPr>
        <w:t xml:space="preserve">is penalized by the average UL frame alignment delay </w:t>
      </w:r>
      <w:r w:rsidR="002A6E0C">
        <w:rPr>
          <w:rFonts w:eastAsia="맑은 고딕"/>
          <w:lang w:eastAsia="ko-KR"/>
        </w:rPr>
        <w:t xml:space="preserve">incurred for each of the UL RRC and NAS messages </w:t>
      </w:r>
      <w:r w:rsidR="00C03B39">
        <w:rPr>
          <w:rFonts w:eastAsia="맑은 고딕"/>
          <w:lang w:eastAsia="ko-KR"/>
        </w:rPr>
        <w:t xml:space="preserve">due to limited </w:t>
      </w:r>
      <w:r w:rsidR="002A6E0C">
        <w:rPr>
          <w:rFonts w:eastAsia="맑은 고딕"/>
          <w:lang w:eastAsia="ko-KR"/>
        </w:rPr>
        <w:t xml:space="preserve">number of </w:t>
      </w:r>
      <w:r w:rsidR="00C03B39">
        <w:rPr>
          <w:rFonts w:eastAsia="맑은 고딕"/>
          <w:lang w:eastAsia="ko-KR"/>
        </w:rPr>
        <w:t>UL slots</w:t>
      </w:r>
      <w:r w:rsidR="002A6E0C">
        <w:rPr>
          <w:rFonts w:eastAsia="맑은 고딕"/>
          <w:lang w:eastAsia="ko-KR"/>
        </w:rPr>
        <w:t>.</w:t>
      </w:r>
      <w:r w:rsidR="00C03B39">
        <w:rPr>
          <w:rFonts w:eastAsia="맑은 고딕"/>
          <w:lang w:eastAsia="ko-KR"/>
        </w:rPr>
        <w:t xml:space="preserve"> </w:t>
      </w:r>
      <w:r w:rsidR="002A6E0C">
        <w:rPr>
          <w:rFonts w:eastAsia="맑은 고딕"/>
          <w:lang w:eastAsia="ko-KR"/>
        </w:rPr>
        <w:t xml:space="preserve">This </w:t>
      </w:r>
      <w:r w:rsidR="00C03B39">
        <w:rPr>
          <w:rFonts w:eastAsia="맑은 고딕"/>
          <w:lang w:eastAsia="ko-KR"/>
        </w:rPr>
        <w:t>typically results in 2x longer acquisition times.</w:t>
      </w:r>
    </w:p>
    <w:p w14:paraId="105A9019" w14:textId="5CCFCF82" w:rsidR="00616355" w:rsidRDefault="00C03B39" w:rsidP="00616355">
      <w:pPr>
        <w:jc w:val="both"/>
        <w:rPr>
          <w:rFonts w:eastAsia="맑은 고딕"/>
          <w:lang w:eastAsia="ko-KR"/>
        </w:rPr>
      </w:pPr>
      <w:r>
        <w:rPr>
          <w:rFonts w:eastAsia="맑은 고딕"/>
          <w:lang w:eastAsia="ko-KR"/>
        </w:rPr>
        <w:t>Using the SBFD UL subband for PRACH transmissions has the additional benefit that fragmentation of the UL scheduling BW in the (normal) UL slot can now be avoided.</w:t>
      </w:r>
      <w:r w:rsidR="003D4484">
        <w:rPr>
          <w:rFonts w:eastAsia="맑은 고딕"/>
          <w:lang w:eastAsia="ko-KR"/>
        </w:rPr>
        <w:t xml:space="preserve"> The benefits of increased availability of contiguous UL scheduling BW in the normal UL slot</w:t>
      </w:r>
      <w:r>
        <w:rPr>
          <w:rFonts w:eastAsia="맑은 고딕"/>
          <w:lang w:eastAsia="ko-KR"/>
        </w:rPr>
        <w:t xml:space="preserve"> </w:t>
      </w:r>
      <w:r w:rsidR="003D4484">
        <w:rPr>
          <w:rFonts w:eastAsia="맑은 고딕"/>
          <w:lang w:eastAsia="ko-KR"/>
        </w:rPr>
        <w:t xml:space="preserve">are the same as discussed in section 4.1 in the context of PUSCH. </w:t>
      </w:r>
      <w:r>
        <w:rPr>
          <w:rFonts w:eastAsia="맑은 고딕"/>
          <w:lang w:eastAsia="ko-KR"/>
        </w:rPr>
        <w:t xml:space="preserve">It must be considered that </w:t>
      </w:r>
      <w:r w:rsidR="0094720A">
        <w:rPr>
          <w:rFonts w:eastAsia="맑은 고딕"/>
          <w:lang w:eastAsia="ko-KR"/>
        </w:rPr>
        <w:t>RACH occasion</w:t>
      </w:r>
      <w:r>
        <w:rPr>
          <w:rFonts w:eastAsia="맑은 고딕"/>
          <w:lang w:eastAsia="ko-KR"/>
        </w:rPr>
        <w:t>s</w:t>
      </w:r>
      <w:r w:rsidR="0094720A">
        <w:rPr>
          <w:rFonts w:eastAsia="맑은 고딕"/>
          <w:lang w:eastAsia="ko-KR"/>
        </w:rPr>
        <w:t xml:space="preserve"> in </w:t>
      </w:r>
      <w:r>
        <w:rPr>
          <w:rFonts w:eastAsia="맑은 고딕"/>
          <w:lang w:eastAsia="ko-KR"/>
        </w:rPr>
        <w:t xml:space="preserve">the </w:t>
      </w:r>
      <w:r w:rsidR="0094720A">
        <w:rPr>
          <w:rFonts w:eastAsia="맑은 고딕"/>
          <w:lang w:eastAsia="ko-KR"/>
        </w:rPr>
        <w:t xml:space="preserve">UL slot </w:t>
      </w:r>
      <w:r w:rsidR="003D4484">
        <w:rPr>
          <w:rFonts w:eastAsia="맑은 고딕"/>
          <w:lang w:eastAsia="ko-KR"/>
        </w:rPr>
        <w:t xml:space="preserve">are </w:t>
      </w:r>
      <w:r>
        <w:rPr>
          <w:rFonts w:eastAsia="맑은 고딕"/>
          <w:lang w:eastAsia="ko-KR"/>
        </w:rPr>
        <w:t xml:space="preserve">rarely </w:t>
      </w:r>
      <w:r w:rsidR="003D4484">
        <w:rPr>
          <w:rFonts w:eastAsia="맑은 고딕"/>
          <w:lang w:eastAsia="ko-KR"/>
        </w:rPr>
        <w:t xml:space="preserve">configured at the carrier edges in practical NR TDD deployments for various reasons. RACH in the UL slot </w:t>
      </w:r>
      <w:r w:rsidR="0094720A">
        <w:rPr>
          <w:rFonts w:eastAsia="맑은 고딕"/>
          <w:lang w:eastAsia="ko-KR"/>
        </w:rPr>
        <w:t xml:space="preserve">segments </w:t>
      </w:r>
      <w:r w:rsidR="003D4484">
        <w:rPr>
          <w:rFonts w:eastAsia="맑은 고딕"/>
          <w:lang w:eastAsia="ko-KR"/>
        </w:rPr>
        <w:t xml:space="preserve">part of the schedulable </w:t>
      </w:r>
      <w:r w:rsidR="0094720A">
        <w:rPr>
          <w:rFonts w:eastAsia="맑은 고딕"/>
          <w:lang w:eastAsia="ko-KR"/>
        </w:rPr>
        <w:t xml:space="preserve">UL bandwidth. </w:t>
      </w:r>
      <w:r w:rsidR="003D4484">
        <w:rPr>
          <w:rFonts w:eastAsia="맑은 고딕"/>
          <w:lang w:eastAsia="ko-KR"/>
        </w:rPr>
        <w:t xml:space="preserve">Most UEs almost support (almost) contiguous PUSCH allocations, e.g., PUSCH </w:t>
      </w:r>
      <w:r w:rsidR="00F1757B">
        <w:rPr>
          <w:rFonts w:eastAsia="맑은 고딕"/>
          <w:lang w:eastAsia="ko-KR"/>
        </w:rPr>
        <w:t xml:space="preserve">resource </w:t>
      </w:r>
      <w:r w:rsidR="003D4484">
        <w:rPr>
          <w:rFonts w:eastAsia="맑은 고딕"/>
          <w:lang w:eastAsia="ko-KR"/>
        </w:rPr>
        <w:t>allocation type 1.</w:t>
      </w:r>
      <w:r w:rsidR="002A6E0C">
        <w:rPr>
          <w:rFonts w:eastAsia="맑은 고딕"/>
          <w:lang w:eastAsia="ko-KR"/>
        </w:rPr>
        <w:t xml:space="preserve"> Another </w:t>
      </w:r>
      <w:r w:rsidR="00BC4BEA">
        <w:rPr>
          <w:rFonts w:eastAsia="맑은 고딕"/>
          <w:lang w:eastAsia="ko-KR"/>
        </w:rPr>
        <w:t xml:space="preserve">system-level </w:t>
      </w:r>
      <w:r w:rsidR="002A6E0C">
        <w:rPr>
          <w:rFonts w:eastAsia="맑은 고딕"/>
          <w:lang w:eastAsia="ko-KR"/>
        </w:rPr>
        <w:t xml:space="preserve">aspect </w:t>
      </w:r>
      <w:r w:rsidR="00BC4BEA">
        <w:rPr>
          <w:rFonts w:eastAsia="맑은 고딕"/>
          <w:lang w:eastAsia="ko-KR"/>
        </w:rPr>
        <w:t>when placing PRACH ROs in SBFD slots is that PRACH is only used when a UE actually selects a random access resource and then transmits the RACH preamble. A configured</w:t>
      </w:r>
      <w:r w:rsidR="00EB4277">
        <w:rPr>
          <w:rFonts w:eastAsia="맑은 고딕"/>
          <w:lang w:eastAsia="ko-KR"/>
        </w:rPr>
        <w:t xml:space="preserve">, but not </w:t>
      </w:r>
      <w:r w:rsidR="00F1757B">
        <w:rPr>
          <w:rFonts w:eastAsia="맑은 고딕"/>
          <w:lang w:eastAsia="ko-KR"/>
        </w:rPr>
        <w:t>used PRACH</w:t>
      </w:r>
      <w:r w:rsidR="00BC4BEA">
        <w:rPr>
          <w:rFonts w:eastAsia="맑은 고딕"/>
          <w:lang w:eastAsia="ko-KR"/>
        </w:rPr>
        <w:t xml:space="preserve"> RO in the SBFD slot does not create CLI towards other UEs in the slot. A configured</w:t>
      </w:r>
      <w:r w:rsidR="00EB4277">
        <w:rPr>
          <w:rFonts w:eastAsia="맑은 고딕"/>
          <w:lang w:eastAsia="ko-KR"/>
        </w:rPr>
        <w:t>, but not used</w:t>
      </w:r>
      <w:r w:rsidR="00BC4BEA">
        <w:rPr>
          <w:rFonts w:eastAsia="맑은 고딕"/>
          <w:lang w:eastAsia="ko-KR"/>
        </w:rPr>
        <w:t xml:space="preserve"> PRACH RO </w:t>
      </w:r>
      <w:r w:rsidR="00EB4277">
        <w:rPr>
          <w:rFonts w:eastAsia="맑은 고딕"/>
          <w:lang w:eastAsia="ko-KR"/>
        </w:rPr>
        <w:t xml:space="preserve">in the (normal) UL slot </w:t>
      </w:r>
      <w:r w:rsidR="00BC4BEA">
        <w:rPr>
          <w:rFonts w:eastAsia="맑은 고딕"/>
          <w:lang w:eastAsia="ko-KR"/>
        </w:rPr>
        <w:t xml:space="preserve">can seldom be re-used for UL data scheduling and shared data/random access reception by the gNB, e.g., when configured, </w:t>
      </w:r>
      <w:r w:rsidR="00EB4277">
        <w:rPr>
          <w:rFonts w:eastAsia="맑은 고딕"/>
          <w:lang w:eastAsia="ko-KR"/>
        </w:rPr>
        <w:t xml:space="preserve">such a </w:t>
      </w:r>
      <w:r w:rsidR="00BC4BEA">
        <w:rPr>
          <w:rFonts w:eastAsia="맑은 고딕"/>
          <w:lang w:eastAsia="ko-KR"/>
        </w:rPr>
        <w:t>resource is not available for UL data.</w:t>
      </w:r>
    </w:p>
    <w:p w14:paraId="6D377549" w14:textId="77777777" w:rsidR="002A6E0C" w:rsidRDefault="002A6E0C" w:rsidP="00616355">
      <w:pPr>
        <w:jc w:val="both"/>
        <w:rPr>
          <w:rFonts w:eastAsia="맑은 고딕"/>
          <w:lang w:eastAsia="ko-KR"/>
        </w:rPr>
      </w:pPr>
    </w:p>
    <w:p w14:paraId="52476908" w14:textId="68360953" w:rsidR="00E21FEB" w:rsidRPr="00AC087D" w:rsidRDefault="001408B6" w:rsidP="00AC087D">
      <w:pPr>
        <w:jc w:val="center"/>
        <w:rPr>
          <w:rFonts w:eastAsia="맑은 고딕"/>
          <w:lang w:eastAsia="ko-KR"/>
        </w:rPr>
      </w:pPr>
      <w:r>
        <w:rPr>
          <w:rFonts w:eastAsia="맑은 고딕"/>
          <w:noProof/>
          <w:lang w:eastAsia="ko-KR"/>
        </w:rPr>
        <w:lastRenderedPageBreak/>
        <w:drawing>
          <wp:inline distT="0" distB="0" distL="0" distR="0" wp14:anchorId="255A6DB3" wp14:editId="4884142D">
            <wp:extent cx="5220000" cy="3089197"/>
            <wp:effectExtent l="0" t="0" r="0" b="0"/>
            <wp:docPr id="11" name="그림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220000" cy="3089197"/>
                    </a:xfrm>
                    <a:prstGeom prst="rect">
                      <a:avLst/>
                    </a:prstGeom>
                    <a:noFill/>
                  </pic:spPr>
                </pic:pic>
              </a:graphicData>
            </a:graphic>
          </wp:inline>
        </w:drawing>
      </w:r>
    </w:p>
    <w:p w14:paraId="151C476E" w14:textId="328DBB84" w:rsidR="00AC087D" w:rsidRPr="00DE5441" w:rsidRDefault="00AC087D" w:rsidP="00AC087D">
      <w:pPr>
        <w:pStyle w:val="a5"/>
        <w:jc w:val="center"/>
        <w:rPr>
          <w:b w:val="0"/>
          <w:bCs/>
          <w:lang w:val="en-CA"/>
        </w:rPr>
      </w:pPr>
      <w:r w:rsidRPr="00DE5441">
        <w:rPr>
          <w:b w:val="0"/>
          <w:bCs/>
          <w:lang w:val="en-CA"/>
        </w:rPr>
        <w:t xml:space="preserve">Figure </w:t>
      </w:r>
      <w:r>
        <w:rPr>
          <w:b w:val="0"/>
          <w:bCs/>
        </w:rPr>
        <w:t>9</w:t>
      </w:r>
      <w:r w:rsidRPr="00DE5441">
        <w:rPr>
          <w:b w:val="0"/>
          <w:bCs/>
          <w:lang w:val="en-CA"/>
        </w:rPr>
        <w:t xml:space="preserve">: </w:t>
      </w:r>
      <w:r w:rsidR="00BC4BEA">
        <w:rPr>
          <w:b w:val="0"/>
          <w:bCs/>
          <w:lang w:val="en-CA"/>
        </w:rPr>
        <w:t>PRACH configuration using the UL slot</w:t>
      </w:r>
      <w:r w:rsidR="00412EA6">
        <w:rPr>
          <w:b w:val="0"/>
          <w:bCs/>
          <w:lang w:val="en-CA"/>
        </w:rPr>
        <w:t xml:space="preserve"> vs.</w:t>
      </w:r>
      <w:r w:rsidR="00412EA6" w:rsidRPr="00412EA6">
        <w:rPr>
          <w:b w:val="0"/>
          <w:bCs/>
          <w:lang w:val="en-CA"/>
        </w:rPr>
        <w:t xml:space="preserve"> </w:t>
      </w:r>
      <w:r w:rsidR="00412EA6">
        <w:rPr>
          <w:b w:val="0"/>
          <w:bCs/>
          <w:lang w:val="en-CA"/>
        </w:rPr>
        <w:t>the SBFD UL subband</w:t>
      </w:r>
    </w:p>
    <w:p w14:paraId="090EC085" w14:textId="77777777" w:rsidR="00AC087D" w:rsidRPr="00AC087D" w:rsidRDefault="00AC087D" w:rsidP="00873F07">
      <w:pPr>
        <w:jc w:val="both"/>
        <w:rPr>
          <w:rFonts w:eastAsia="맑은 고딕"/>
          <w:lang w:val="en-CA" w:eastAsia="ko-KR"/>
        </w:rPr>
      </w:pPr>
    </w:p>
    <w:p w14:paraId="7EC17604" w14:textId="4D71A02E" w:rsidR="00990EA2" w:rsidRDefault="00EB4277" w:rsidP="00873F07">
      <w:pPr>
        <w:jc w:val="both"/>
        <w:rPr>
          <w:rFonts w:eastAsia="맑은 고딕"/>
          <w:lang w:eastAsia="ko-KR"/>
        </w:rPr>
      </w:pPr>
      <w:r>
        <w:rPr>
          <w:rFonts w:eastAsia="맑은 고딕"/>
          <w:lang w:eastAsia="ko-KR"/>
        </w:rPr>
        <w:t xml:space="preserve">Another important system design consideration for SBFD is that the </w:t>
      </w:r>
      <w:r w:rsidR="00AD67B6">
        <w:rPr>
          <w:rFonts w:eastAsia="맑은 고딕" w:hint="eastAsia"/>
          <w:lang w:eastAsia="ko-KR"/>
        </w:rPr>
        <w:t>SBFD UL subband suffer</w:t>
      </w:r>
      <w:r>
        <w:rPr>
          <w:rFonts w:eastAsia="맑은 고딕"/>
          <w:lang w:eastAsia="ko-KR"/>
        </w:rPr>
        <w:t>s</w:t>
      </w:r>
      <w:r w:rsidR="00FE113C">
        <w:rPr>
          <w:rFonts w:eastAsia="맑은 고딕" w:hint="eastAsia"/>
          <w:lang w:eastAsia="ko-KR"/>
        </w:rPr>
        <w:t xml:space="preserve"> from inter-subband CLI</w:t>
      </w:r>
      <w:r w:rsidR="00FE113C">
        <w:rPr>
          <w:rFonts w:eastAsia="맑은 고딕"/>
          <w:lang w:eastAsia="ko-KR"/>
        </w:rPr>
        <w:t xml:space="preserve"> from neighboring gNBs </w:t>
      </w:r>
      <w:r w:rsidR="00FE113C">
        <w:rPr>
          <w:rFonts w:eastAsia="맑은 고딕" w:hint="eastAsia"/>
          <w:lang w:eastAsia="ko-KR"/>
        </w:rPr>
        <w:t xml:space="preserve">and </w:t>
      </w:r>
      <w:r>
        <w:rPr>
          <w:rFonts w:eastAsia="맑은 고딕"/>
          <w:lang w:eastAsia="ko-KR"/>
        </w:rPr>
        <w:t xml:space="preserve">possibly from </w:t>
      </w:r>
      <w:r w:rsidR="00FE113C">
        <w:rPr>
          <w:rFonts w:eastAsia="맑은 고딕"/>
          <w:lang w:eastAsia="ko-KR"/>
        </w:rPr>
        <w:t>self-interference</w:t>
      </w:r>
      <w:r>
        <w:rPr>
          <w:rFonts w:eastAsia="맑은 고딕"/>
          <w:lang w:eastAsia="ko-KR"/>
        </w:rPr>
        <w:t xml:space="preserve"> during full-duplex transmission and reception at the gNB</w:t>
      </w:r>
      <w:r w:rsidR="00FE113C">
        <w:rPr>
          <w:rFonts w:eastAsia="맑은 고딕"/>
          <w:lang w:eastAsia="ko-KR"/>
        </w:rPr>
        <w:t>. As a result, the interference characteristic</w:t>
      </w:r>
      <w:r>
        <w:rPr>
          <w:rFonts w:eastAsia="맑은 고딕"/>
          <w:lang w:eastAsia="ko-KR"/>
        </w:rPr>
        <w:t>s</w:t>
      </w:r>
      <w:r w:rsidR="00FE113C">
        <w:rPr>
          <w:rFonts w:eastAsia="맑은 고딕"/>
          <w:lang w:eastAsia="ko-KR"/>
        </w:rPr>
        <w:t xml:space="preserve"> </w:t>
      </w:r>
      <w:r>
        <w:rPr>
          <w:rFonts w:eastAsia="맑은 고딕"/>
          <w:lang w:eastAsia="ko-KR"/>
        </w:rPr>
        <w:t xml:space="preserve">of RBs in </w:t>
      </w:r>
      <w:r w:rsidR="00FE113C">
        <w:rPr>
          <w:rFonts w:eastAsia="맑은 고딕"/>
          <w:lang w:eastAsia="ko-KR"/>
        </w:rPr>
        <w:t xml:space="preserve">the SBFD UL subband </w:t>
      </w:r>
      <w:r>
        <w:rPr>
          <w:rFonts w:eastAsia="맑은 고딕"/>
          <w:lang w:eastAsia="ko-KR"/>
        </w:rPr>
        <w:t xml:space="preserve">are </w:t>
      </w:r>
      <w:r w:rsidR="00FE113C">
        <w:rPr>
          <w:rFonts w:eastAsia="맑은 고딕"/>
          <w:lang w:eastAsia="ko-KR"/>
        </w:rPr>
        <w:t>different from</w:t>
      </w:r>
      <w:r>
        <w:rPr>
          <w:rFonts w:eastAsia="맑은 고딕"/>
          <w:lang w:eastAsia="ko-KR"/>
        </w:rPr>
        <w:t xml:space="preserve"> those in the (normal) </w:t>
      </w:r>
      <w:r w:rsidR="00FE113C">
        <w:rPr>
          <w:rFonts w:eastAsia="맑은 고딕"/>
          <w:lang w:eastAsia="ko-KR"/>
        </w:rPr>
        <w:t xml:space="preserve">UL slot. </w:t>
      </w:r>
      <w:r>
        <w:rPr>
          <w:rFonts w:eastAsia="맑은 고딕"/>
          <w:lang w:eastAsia="ko-KR"/>
        </w:rPr>
        <w:t xml:space="preserve">The </w:t>
      </w:r>
      <w:r w:rsidR="00FE113C">
        <w:rPr>
          <w:rFonts w:eastAsia="맑은 고딕"/>
          <w:lang w:eastAsia="ko-KR"/>
        </w:rPr>
        <w:t xml:space="preserve">SBFD UL subband </w:t>
      </w:r>
      <w:r>
        <w:rPr>
          <w:rFonts w:eastAsia="맑은 고딕"/>
          <w:lang w:eastAsia="ko-KR"/>
        </w:rPr>
        <w:t xml:space="preserve">edge allocations </w:t>
      </w:r>
      <w:r w:rsidR="00D03352">
        <w:rPr>
          <w:rFonts w:eastAsia="맑은 고딕"/>
          <w:lang w:eastAsia="ko-KR"/>
        </w:rPr>
        <w:t xml:space="preserve">can </w:t>
      </w:r>
      <w:r w:rsidR="00FE113C">
        <w:rPr>
          <w:rFonts w:eastAsia="맑은 고딕"/>
          <w:lang w:eastAsia="ko-KR"/>
        </w:rPr>
        <w:t>experience much higher interference</w:t>
      </w:r>
      <w:r w:rsidR="00D03352">
        <w:rPr>
          <w:rFonts w:eastAsia="맑은 고딕"/>
          <w:lang w:eastAsia="ko-KR"/>
        </w:rPr>
        <w:t xml:space="preserve"> levels when </w:t>
      </w:r>
      <w:r w:rsidR="0058191C">
        <w:rPr>
          <w:rFonts w:eastAsia="맑은 고딕"/>
          <w:lang w:eastAsia="ko-KR"/>
        </w:rPr>
        <w:t xml:space="preserve">compared to the middle </w:t>
      </w:r>
      <w:r w:rsidR="00D03352">
        <w:rPr>
          <w:rFonts w:eastAsia="맑은 고딕"/>
          <w:lang w:eastAsia="ko-KR"/>
        </w:rPr>
        <w:t xml:space="preserve">RB allocations </w:t>
      </w:r>
      <w:r w:rsidR="0058191C">
        <w:rPr>
          <w:rFonts w:eastAsia="맑은 고딕"/>
          <w:lang w:eastAsia="ko-KR"/>
        </w:rPr>
        <w:t>of the SBFD UL subband</w:t>
      </w:r>
      <w:r w:rsidR="00FE113C">
        <w:rPr>
          <w:rFonts w:eastAsia="맑은 고딕"/>
          <w:lang w:eastAsia="ko-KR"/>
        </w:rPr>
        <w:t xml:space="preserve">, </w:t>
      </w:r>
      <w:r w:rsidR="0058191C">
        <w:rPr>
          <w:rFonts w:eastAsia="맑은 고딕"/>
          <w:lang w:eastAsia="ko-KR"/>
        </w:rPr>
        <w:t>especially,</w:t>
      </w:r>
      <w:r w:rsidR="00FE113C">
        <w:rPr>
          <w:rFonts w:eastAsia="맑은 고딕"/>
          <w:lang w:eastAsia="ko-KR"/>
        </w:rPr>
        <w:t xml:space="preserve"> </w:t>
      </w:r>
      <w:r w:rsidR="0058191C">
        <w:rPr>
          <w:rFonts w:eastAsia="맑은 고딕"/>
          <w:lang w:eastAsia="ko-KR"/>
        </w:rPr>
        <w:t xml:space="preserve">when </w:t>
      </w:r>
      <w:r w:rsidR="00D03352">
        <w:rPr>
          <w:rFonts w:eastAsia="맑은 고딕"/>
          <w:lang w:eastAsia="ko-KR"/>
        </w:rPr>
        <w:t xml:space="preserve">no </w:t>
      </w:r>
      <w:r w:rsidR="00121725">
        <w:rPr>
          <w:rFonts w:eastAsia="맑은 고딕"/>
          <w:lang w:eastAsia="ko-KR"/>
        </w:rPr>
        <w:t>guard band</w:t>
      </w:r>
      <w:r w:rsidR="00FE113C">
        <w:rPr>
          <w:rFonts w:eastAsia="맑은 고딕"/>
          <w:lang w:eastAsia="ko-KR"/>
        </w:rPr>
        <w:t xml:space="preserve"> is configured</w:t>
      </w:r>
      <w:r w:rsidR="0058191C">
        <w:rPr>
          <w:rFonts w:eastAsia="맑은 고딕"/>
          <w:lang w:eastAsia="ko-KR"/>
        </w:rPr>
        <w:t xml:space="preserve"> or small-size</w:t>
      </w:r>
      <w:r w:rsidR="00D03352">
        <w:rPr>
          <w:rFonts w:eastAsia="맑은 고딕"/>
          <w:lang w:eastAsia="ko-KR"/>
        </w:rPr>
        <w:t>d</w:t>
      </w:r>
      <w:r w:rsidR="0058191C">
        <w:rPr>
          <w:rFonts w:eastAsia="맑은 고딕"/>
          <w:lang w:eastAsia="ko-KR"/>
        </w:rPr>
        <w:t xml:space="preserve"> </w:t>
      </w:r>
      <w:r w:rsidR="00121725">
        <w:rPr>
          <w:rFonts w:eastAsia="맑은 고딕"/>
          <w:lang w:eastAsia="ko-KR"/>
        </w:rPr>
        <w:t>guard band</w:t>
      </w:r>
      <w:r w:rsidR="0058191C">
        <w:rPr>
          <w:rFonts w:eastAsia="맑은 고딕"/>
          <w:lang w:eastAsia="ko-KR"/>
        </w:rPr>
        <w:t xml:space="preserve"> </w:t>
      </w:r>
      <w:r w:rsidR="00D03352">
        <w:rPr>
          <w:rFonts w:eastAsia="맑은 고딕"/>
          <w:lang w:eastAsia="ko-KR"/>
        </w:rPr>
        <w:t xml:space="preserve">are </w:t>
      </w:r>
      <w:r w:rsidR="0058191C">
        <w:rPr>
          <w:rFonts w:eastAsia="맑은 고딕"/>
          <w:lang w:eastAsia="ko-KR"/>
        </w:rPr>
        <w:t>configured</w:t>
      </w:r>
      <w:r w:rsidR="00FE113C">
        <w:rPr>
          <w:rFonts w:eastAsia="맑은 고딕"/>
          <w:lang w:eastAsia="ko-KR"/>
        </w:rPr>
        <w:t xml:space="preserve">. </w:t>
      </w:r>
    </w:p>
    <w:p w14:paraId="0F9186FF" w14:textId="7B20F2BA" w:rsidR="00990EA2" w:rsidRDefault="00990EA2" w:rsidP="00873F07">
      <w:pPr>
        <w:jc w:val="both"/>
        <w:rPr>
          <w:rFonts w:eastAsia="맑은 고딕"/>
          <w:lang w:eastAsia="ko-KR"/>
        </w:rPr>
      </w:pPr>
      <w:r>
        <w:rPr>
          <w:rFonts w:eastAsia="맑은 고딕"/>
          <w:lang w:eastAsia="ko-KR"/>
        </w:rPr>
        <w:t xml:space="preserve">The guard band to avoid inter-subband CLI and self-interference can be </w:t>
      </w:r>
      <w:r w:rsidR="00AD67B6">
        <w:rPr>
          <w:rFonts w:eastAsia="맑은 고딕"/>
          <w:lang w:eastAsia="ko-KR"/>
        </w:rPr>
        <w:t xml:space="preserve">explicitly </w:t>
      </w:r>
      <w:r>
        <w:rPr>
          <w:rFonts w:eastAsia="맑은 고딕"/>
          <w:lang w:eastAsia="ko-KR"/>
        </w:rPr>
        <w:t>configured by taking into account the interference level</w:t>
      </w:r>
      <w:r w:rsidR="00D03352">
        <w:rPr>
          <w:rFonts w:eastAsia="맑은 고딕"/>
          <w:lang w:eastAsia="ko-KR"/>
        </w:rPr>
        <w:t>s</w:t>
      </w:r>
      <w:r>
        <w:rPr>
          <w:rFonts w:eastAsia="맑은 고딕"/>
          <w:lang w:eastAsia="ko-KR"/>
        </w:rPr>
        <w:t xml:space="preserve"> </w:t>
      </w:r>
      <w:r w:rsidR="00D03352">
        <w:rPr>
          <w:rFonts w:eastAsia="맑은 고딕"/>
          <w:lang w:eastAsia="ko-KR"/>
        </w:rPr>
        <w:t xml:space="preserve">in </w:t>
      </w:r>
      <w:r>
        <w:rPr>
          <w:rFonts w:eastAsia="맑은 고딕"/>
          <w:lang w:eastAsia="ko-KR"/>
        </w:rPr>
        <w:t xml:space="preserve">the SBFD UL subband. However, larger </w:t>
      </w:r>
      <w:r w:rsidR="00121725">
        <w:rPr>
          <w:rFonts w:eastAsia="맑은 고딕"/>
          <w:lang w:eastAsia="ko-KR"/>
        </w:rPr>
        <w:t>guard band</w:t>
      </w:r>
      <w:r w:rsidR="00D03352">
        <w:rPr>
          <w:rFonts w:eastAsia="맑은 고딕"/>
          <w:lang w:eastAsia="ko-KR"/>
        </w:rPr>
        <w:t>s</w:t>
      </w:r>
      <w:r>
        <w:rPr>
          <w:rFonts w:eastAsia="맑은 고딕"/>
          <w:lang w:eastAsia="ko-KR"/>
        </w:rPr>
        <w:t xml:space="preserve"> would </w:t>
      </w:r>
      <w:r w:rsidR="00AD67B6">
        <w:rPr>
          <w:rFonts w:eastAsia="맑은 고딕"/>
          <w:lang w:eastAsia="ko-KR"/>
        </w:rPr>
        <w:t xml:space="preserve">reduce cell throughput since the resources in the </w:t>
      </w:r>
      <w:r w:rsidR="00121725">
        <w:rPr>
          <w:rFonts w:eastAsia="맑은 고딕"/>
          <w:lang w:eastAsia="ko-KR"/>
        </w:rPr>
        <w:t>guard band</w:t>
      </w:r>
      <w:r w:rsidR="00AD67B6">
        <w:rPr>
          <w:rFonts w:eastAsia="맑은 고딕"/>
          <w:lang w:eastAsia="ko-KR"/>
        </w:rPr>
        <w:t xml:space="preserve"> are </w:t>
      </w:r>
      <w:r w:rsidR="00D03352">
        <w:rPr>
          <w:rFonts w:eastAsia="맑은 고딕"/>
          <w:lang w:eastAsia="ko-KR"/>
        </w:rPr>
        <w:t xml:space="preserve">then </w:t>
      </w:r>
      <w:r w:rsidR="00AD67B6">
        <w:rPr>
          <w:rFonts w:eastAsia="맑은 고딕"/>
          <w:lang w:eastAsia="ko-KR"/>
        </w:rPr>
        <w:t xml:space="preserve">reserved and not used. Also, the </w:t>
      </w:r>
      <w:r w:rsidR="00121725">
        <w:rPr>
          <w:rFonts w:eastAsia="맑은 고딕"/>
          <w:lang w:eastAsia="ko-KR"/>
        </w:rPr>
        <w:t>guard band</w:t>
      </w:r>
      <w:r w:rsidR="00AD67B6">
        <w:rPr>
          <w:rFonts w:eastAsia="맑은 고딕"/>
          <w:lang w:eastAsia="ko-KR"/>
        </w:rPr>
        <w:t xml:space="preserve"> </w:t>
      </w:r>
      <w:r w:rsidR="00D03352">
        <w:rPr>
          <w:rFonts w:eastAsia="맑은 고딕"/>
          <w:lang w:eastAsia="ko-KR"/>
        </w:rPr>
        <w:t xml:space="preserve">would then be </w:t>
      </w:r>
      <w:r w:rsidR="00AD67B6">
        <w:rPr>
          <w:rFonts w:eastAsia="맑은 고딕"/>
          <w:lang w:eastAsia="ko-KR"/>
        </w:rPr>
        <w:t xml:space="preserve">fixed even </w:t>
      </w:r>
      <w:r w:rsidR="00D03352">
        <w:rPr>
          <w:rFonts w:eastAsia="맑은 고딕"/>
          <w:lang w:eastAsia="ko-KR"/>
        </w:rPr>
        <w:t xml:space="preserve">if </w:t>
      </w:r>
      <w:r w:rsidR="00AD67B6">
        <w:rPr>
          <w:rFonts w:eastAsia="맑은 고딕"/>
          <w:lang w:eastAsia="ko-KR"/>
        </w:rPr>
        <w:t>the neighbor</w:t>
      </w:r>
      <w:r w:rsidR="00D03352">
        <w:rPr>
          <w:rFonts w:eastAsia="맑은 고딕"/>
          <w:lang w:eastAsia="ko-KR"/>
        </w:rPr>
        <w:t xml:space="preserve"> </w:t>
      </w:r>
      <w:r w:rsidR="00AD67B6">
        <w:rPr>
          <w:rFonts w:eastAsia="맑은 고딕"/>
          <w:lang w:eastAsia="ko-KR"/>
        </w:rPr>
        <w:t>cells do not use SBFD UL subband</w:t>
      </w:r>
      <w:r w:rsidR="00D03352">
        <w:rPr>
          <w:rFonts w:eastAsia="맑은 고딕"/>
          <w:lang w:eastAsia="ko-KR"/>
        </w:rPr>
        <w:t xml:space="preserve"> in the slot</w:t>
      </w:r>
      <w:r w:rsidR="00AD67B6">
        <w:rPr>
          <w:rFonts w:eastAsia="맑은 고딕"/>
          <w:lang w:eastAsia="ko-KR"/>
        </w:rPr>
        <w:t xml:space="preserve">. Instead of </w:t>
      </w:r>
      <w:r w:rsidR="00D03352">
        <w:rPr>
          <w:rFonts w:eastAsia="맑은 고딕"/>
          <w:lang w:eastAsia="ko-KR"/>
        </w:rPr>
        <w:t xml:space="preserve">providing an </w:t>
      </w:r>
      <w:r w:rsidR="00AD67B6">
        <w:rPr>
          <w:rFonts w:eastAsia="맑은 고딕"/>
          <w:lang w:eastAsia="ko-KR"/>
        </w:rPr>
        <w:t xml:space="preserve">explicit </w:t>
      </w:r>
      <w:r w:rsidR="00121725">
        <w:rPr>
          <w:rFonts w:eastAsia="맑은 고딕"/>
          <w:lang w:eastAsia="ko-KR"/>
        </w:rPr>
        <w:t>guard band</w:t>
      </w:r>
      <w:r w:rsidR="00D03352">
        <w:rPr>
          <w:rFonts w:eastAsia="맑은 고딕"/>
          <w:lang w:eastAsia="ko-KR"/>
        </w:rPr>
        <w:t xml:space="preserve"> configuration</w:t>
      </w:r>
      <w:r w:rsidR="00AD67B6">
        <w:rPr>
          <w:rFonts w:eastAsia="맑은 고딕"/>
          <w:lang w:eastAsia="ko-KR"/>
        </w:rPr>
        <w:t xml:space="preserve">, </w:t>
      </w:r>
      <w:r w:rsidR="00D03352">
        <w:rPr>
          <w:rFonts w:eastAsia="맑은 고딕"/>
          <w:lang w:eastAsia="ko-KR"/>
        </w:rPr>
        <w:t xml:space="preserve">the </w:t>
      </w:r>
      <w:r w:rsidR="00AD67B6">
        <w:rPr>
          <w:rFonts w:eastAsia="맑은 고딕"/>
          <w:lang w:eastAsia="ko-KR"/>
        </w:rPr>
        <w:t xml:space="preserve">gNB </w:t>
      </w:r>
      <w:r w:rsidR="00D03352">
        <w:rPr>
          <w:rFonts w:eastAsia="맑은 고딕"/>
          <w:lang w:eastAsia="ko-KR"/>
        </w:rPr>
        <w:t xml:space="preserve">should be able to </w:t>
      </w:r>
      <w:r w:rsidR="00AD67B6">
        <w:rPr>
          <w:rFonts w:eastAsia="맑은 고딕"/>
          <w:lang w:eastAsia="ko-KR"/>
        </w:rPr>
        <w:t xml:space="preserve">schedule DL signals and UL signals </w:t>
      </w:r>
      <w:r w:rsidR="00D03352">
        <w:rPr>
          <w:rFonts w:eastAsia="맑은 고딕"/>
          <w:lang w:eastAsia="ko-KR"/>
        </w:rPr>
        <w:t xml:space="preserve">and </w:t>
      </w:r>
      <w:r w:rsidR="00AD67B6">
        <w:rPr>
          <w:rFonts w:eastAsia="맑은 고딕"/>
          <w:lang w:eastAsia="ko-KR"/>
        </w:rPr>
        <w:t xml:space="preserve">account </w:t>
      </w:r>
      <w:r w:rsidR="00D03352">
        <w:rPr>
          <w:rFonts w:eastAsia="맑은 고딕"/>
          <w:lang w:eastAsia="ko-KR"/>
        </w:rPr>
        <w:t xml:space="preserve">for need of </w:t>
      </w:r>
      <w:r w:rsidR="00121725">
        <w:rPr>
          <w:rFonts w:eastAsia="맑은 고딕"/>
          <w:lang w:eastAsia="ko-KR"/>
        </w:rPr>
        <w:t>guard band</w:t>
      </w:r>
      <w:r w:rsidR="00D03352">
        <w:rPr>
          <w:rFonts w:eastAsia="맑은 고딕"/>
          <w:lang w:eastAsia="ko-KR"/>
        </w:rPr>
        <w:t>(s) as a result of its scheduling decision</w:t>
      </w:r>
      <w:r w:rsidR="00AD67B6">
        <w:rPr>
          <w:rFonts w:eastAsia="맑은 고딕"/>
          <w:lang w:eastAsia="ko-KR"/>
        </w:rPr>
        <w:t xml:space="preserve">. </w:t>
      </w:r>
      <w:r w:rsidR="00F2770B">
        <w:rPr>
          <w:rFonts w:eastAsia="맑은 고딕"/>
          <w:lang w:eastAsia="ko-KR"/>
        </w:rPr>
        <w:t xml:space="preserve">For legacy R15 UEs operating in a TDD cell with SBFD, this kind of implicit guard band configuration must always be used by the gNB. When </w:t>
      </w:r>
      <w:r w:rsidR="00D03352">
        <w:rPr>
          <w:rFonts w:eastAsia="맑은 고딕"/>
          <w:lang w:eastAsia="ko-KR"/>
        </w:rPr>
        <w:t xml:space="preserve">no explicit guard band configuration is provided </w:t>
      </w:r>
      <w:r w:rsidR="00F2770B">
        <w:rPr>
          <w:rFonts w:eastAsia="맑은 고딕"/>
          <w:lang w:eastAsia="ko-KR"/>
        </w:rPr>
        <w:t xml:space="preserve">by the gNB </w:t>
      </w:r>
      <w:r w:rsidR="00D03352">
        <w:rPr>
          <w:rFonts w:eastAsia="맑은 고딕"/>
          <w:lang w:eastAsia="ko-KR"/>
        </w:rPr>
        <w:t xml:space="preserve">to UEs, this gives </w:t>
      </w:r>
      <w:r w:rsidR="00F2770B">
        <w:rPr>
          <w:rFonts w:eastAsia="맑은 고딕"/>
          <w:lang w:eastAsia="ko-KR"/>
        </w:rPr>
        <w:t xml:space="preserve">increased </w:t>
      </w:r>
      <w:r w:rsidR="00D03352">
        <w:rPr>
          <w:rFonts w:eastAsia="맑은 고딕"/>
          <w:lang w:eastAsia="ko-KR"/>
        </w:rPr>
        <w:t xml:space="preserve">flexibility to the gNB implementation. For example, the </w:t>
      </w:r>
      <w:r w:rsidR="00AD67B6">
        <w:rPr>
          <w:rFonts w:eastAsia="맑은 고딕"/>
          <w:lang w:eastAsia="ko-KR"/>
        </w:rPr>
        <w:t xml:space="preserve">gNB </w:t>
      </w:r>
      <w:r w:rsidR="00D03352">
        <w:rPr>
          <w:rFonts w:eastAsia="맑은 고딕"/>
          <w:lang w:eastAsia="ko-KR"/>
        </w:rPr>
        <w:t xml:space="preserve">can then </w:t>
      </w:r>
      <w:r w:rsidR="00AD67B6">
        <w:rPr>
          <w:rFonts w:eastAsia="맑은 고딕"/>
          <w:lang w:eastAsia="ko-KR"/>
        </w:rPr>
        <w:t xml:space="preserve">schedule UL signals and DL signals </w:t>
      </w:r>
      <w:r w:rsidR="004361B4">
        <w:rPr>
          <w:rFonts w:eastAsia="맑은 고딕"/>
          <w:lang w:eastAsia="ko-KR"/>
        </w:rPr>
        <w:t>from/to UEs in the S</w:t>
      </w:r>
      <w:r w:rsidR="00880B24">
        <w:rPr>
          <w:rFonts w:eastAsia="맑은 고딕"/>
          <w:lang w:eastAsia="ko-KR"/>
        </w:rPr>
        <w:t>BF</w:t>
      </w:r>
      <w:r w:rsidR="004361B4">
        <w:rPr>
          <w:rFonts w:eastAsia="맑은 고딕"/>
          <w:lang w:eastAsia="ko-KR"/>
        </w:rPr>
        <w:t xml:space="preserve">D slot when much spatial isolation is possible using only small or no guard band. </w:t>
      </w:r>
      <w:r w:rsidR="00F2770B">
        <w:rPr>
          <w:rFonts w:eastAsia="맑은 고딕"/>
          <w:lang w:eastAsia="ko-KR"/>
        </w:rPr>
        <w:t xml:space="preserve">In cases where little spatial isolation between DL and UL UE pairings scheduled in the SBFD slot is available, larger guard bands be scheduled by the gNB. </w:t>
      </w:r>
      <w:r w:rsidR="004361B4">
        <w:rPr>
          <w:rFonts w:eastAsia="맑은 고딕"/>
          <w:lang w:eastAsia="ko-KR"/>
        </w:rPr>
        <w:t xml:space="preserve">However, knowing the guard band size, possibly as part of the SBFD UL subband configuration </w:t>
      </w:r>
      <w:r w:rsidR="00F2770B">
        <w:rPr>
          <w:rFonts w:eastAsia="맑은 고딕"/>
          <w:lang w:eastAsia="ko-KR"/>
        </w:rPr>
        <w:t xml:space="preserve">then </w:t>
      </w:r>
      <w:r w:rsidR="004361B4">
        <w:rPr>
          <w:rFonts w:eastAsia="맑은 고딕"/>
          <w:lang w:eastAsia="ko-KR"/>
        </w:rPr>
        <w:t xml:space="preserve">half-duplex TDD </w:t>
      </w:r>
      <w:r w:rsidR="00AD67B6">
        <w:rPr>
          <w:rFonts w:eastAsia="맑은 고딕"/>
          <w:lang w:eastAsia="ko-KR"/>
        </w:rPr>
        <w:t>UE</w:t>
      </w:r>
      <w:r w:rsidR="004361B4">
        <w:rPr>
          <w:rFonts w:eastAsia="맑은 고딕"/>
          <w:lang w:eastAsia="ko-KR"/>
        </w:rPr>
        <w:t>s</w:t>
      </w:r>
      <w:r w:rsidR="00AD67B6">
        <w:rPr>
          <w:rFonts w:eastAsia="맑은 고딕"/>
          <w:lang w:eastAsia="ko-KR"/>
        </w:rPr>
        <w:t xml:space="preserve"> </w:t>
      </w:r>
      <w:r w:rsidR="004361B4">
        <w:rPr>
          <w:rFonts w:eastAsia="맑은 고딕"/>
          <w:lang w:eastAsia="ko-KR"/>
        </w:rPr>
        <w:t xml:space="preserve">can implement </w:t>
      </w:r>
      <w:r w:rsidR="00F2770B">
        <w:rPr>
          <w:rFonts w:eastAsia="맑은 고딕"/>
          <w:lang w:eastAsia="ko-KR"/>
        </w:rPr>
        <w:t xml:space="preserve">improved </w:t>
      </w:r>
      <w:r w:rsidR="004361B4">
        <w:rPr>
          <w:rFonts w:eastAsia="맑은 고딕"/>
          <w:lang w:eastAsia="ko-KR"/>
        </w:rPr>
        <w:t xml:space="preserve">Tx/Rx side </w:t>
      </w:r>
      <w:r w:rsidR="00AD67B6">
        <w:rPr>
          <w:rFonts w:eastAsia="맑은 고딕"/>
          <w:lang w:eastAsia="ko-KR"/>
        </w:rPr>
        <w:t xml:space="preserve">filtering </w:t>
      </w:r>
      <w:r w:rsidR="004361B4">
        <w:rPr>
          <w:rFonts w:eastAsia="맑은 고딕"/>
          <w:lang w:eastAsia="ko-KR"/>
        </w:rPr>
        <w:t>when transmitting or receiving in SBFD slots</w:t>
      </w:r>
      <w:r w:rsidR="00AD67B6">
        <w:rPr>
          <w:rFonts w:eastAsia="맑은 고딕"/>
          <w:lang w:eastAsia="ko-KR"/>
        </w:rPr>
        <w:t>.</w:t>
      </w:r>
    </w:p>
    <w:p w14:paraId="5068E601" w14:textId="1BBB0A8C" w:rsidR="00121725" w:rsidRDefault="00AC087D" w:rsidP="00AC087D">
      <w:pPr>
        <w:jc w:val="center"/>
        <w:rPr>
          <w:rFonts w:eastAsia="맑은 고딕"/>
          <w:lang w:eastAsia="ko-KR"/>
        </w:rPr>
      </w:pPr>
      <w:r>
        <w:rPr>
          <w:rFonts w:eastAsia="맑은 고딕"/>
          <w:noProof/>
          <w:lang w:eastAsia="ko-KR"/>
        </w:rPr>
        <w:lastRenderedPageBreak/>
        <w:drawing>
          <wp:inline distT="0" distB="0" distL="0" distR="0" wp14:anchorId="54C45FE5" wp14:editId="2B5971B5">
            <wp:extent cx="5220000" cy="3168923"/>
            <wp:effectExtent l="0" t="0" r="0" b="0"/>
            <wp:docPr id="8"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220000" cy="3168923"/>
                    </a:xfrm>
                    <a:prstGeom prst="rect">
                      <a:avLst/>
                    </a:prstGeom>
                    <a:noFill/>
                  </pic:spPr>
                </pic:pic>
              </a:graphicData>
            </a:graphic>
          </wp:inline>
        </w:drawing>
      </w:r>
    </w:p>
    <w:p w14:paraId="71904F95" w14:textId="5429C02B" w:rsidR="00AC087D" w:rsidRPr="00AC087D" w:rsidRDefault="00AC087D" w:rsidP="00AC087D">
      <w:pPr>
        <w:pStyle w:val="a5"/>
        <w:jc w:val="center"/>
        <w:rPr>
          <w:b w:val="0"/>
          <w:bCs/>
          <w:lang w:val="en-CA"/>
        </w:rPr>
      </w:pPr>
      <w:r w:rsidRPr="00DE5441">
        <w:rPr>
          <w:b w:val="0"/>
          <w:bCs/>
          <w:lang w:val="en-CA"/>
        </w:rPr>
        <w:t xml:space="preserve">Figure </w:t>
      </w:r>
      <w:r>
        <w:rPr>
          <w:b w:val="0"/>
          <w:bCs/>
        </w:rPr>
        <w:t>10</w:t>
      </w:r>
      <w:r w:rsidRPr="00DE5441">
        <w:rPr>
          <w:b w:val="0"/>
          <w:bCs/>
          <w:lang w:val="en-CA"/>
        </w:rPr>
        <w:t xml:space="preserve">: </w:t>
      </w:r>
      <w:r>
        <w:rPr>
          <w:b w:val="0"/>
          <w:bCs/>
          <w:lang w:val="en-CA"/>
        </w:rPr>
        <w:t>Guard band configurations: Explicit configuration vs Scheduling based</w:t>
      </w:r>
    </w:p>
    <w:p w14:paraId="35BA1D64" w14:textId="77777777" w:rsidR="00AC087D" w:rsidRDefault="00AC087D" w:rsidP="00873F07">
      <w:pPr>
        <w:jc w:val="both"/>
        <w:rPr>
          <w:rFonts w:eastAsia="맑은 고딕"/>
          <w:lang w:eastAsia="ko-KR"/>
        </w:rPr>
      </w:pPr>
    </w:p>
    <w:p w14:paraId="0084F64A" w14:textId="3F831D0B" w:rsidR="00035F24" w:rsidRDefault="0058191C" w:rsidP="00873F07">
      <w:pPr>
        <w:jc w:val="both"/>
        <w:rPr>
          <w:rFonts w:eastAsia="맑은 고딕"/>
          <w:lang w:eastAsia="ko-KR"/>
        </w:rPr>
      </w:pPr>
      <w:r>
        <w:rPr>
          <w:rFonts w:eastAsia="맑은 고딕" w:hint="eastAsia"/>
          <w:lang w:eastAsia="ko-KR"/>
        </w:rPr>
        <w:t xml:space="preserve">For UL power control, RAN1 </w:t>
      </w:r>
      <w:r w:rsidR="00F2770B">
        <w:rPr>
          <w:rFonts w:eastAsia="맑은 고딕"/>
          <w:lang w:eastAsia="ko-KR"/>
        </w:rPr>
        <w:t xml:space="preserve">should evaluate limitations </w:t>
      </w:r>
      <w:r w:rsidR="00A6657A">
        <w:rPr>
          <w:rFonts w:eastAsia="맑은 고딕"/>
          <w:lang w:eastAsia="ko-KR"/>
        </w:rPr>
        <w:t xml:space="preserve">when using </w:t>
      </w:r>
      <w:r>
        <w:rPr>
          <w:rFonts w:eastAsia="맑은 고딕" w:hint="eastAsia"/>
          <w:lang w:eastAsia="ko-KR"/>
        </w:rPr>
        <w:t xml:space="preserve">the legacy UL </w:t>
      </w:r>
      <w:r w:rsidR="00F2770B">
        <w:rPr>
          <w:rFonts w:eastAsia="맑은 고딕"/>
          <w:lang w:eastAsia="ko-KR"/>
        </w:rPr>
        <w:t xml:space="preserve">transmit </w:t>
      </w:r>
      <w:r>
        <w:rPr>
          <w:rFonts w:eastAsia="맑은 고딕" w:hint="eastAsia"/>
          <w:lang w:eastAsia="ko-KR"/>
        </w:rPr>
        <w:t xml:space="preserve">power control </w:t>
      </w:r>
      <w:r w:rsidR="00F2770B">
        <w:rPr>
          <w:rFonts w:eastAsia="맑은 고딕"/>
          <w:lang w:eastAsia="ko-KR"/>
        </w:rPr>
        <w:t>procedure</w:t>
      </w:r>
      <w:r w:rsidR="00A6657A">
        <w:rPr>
          <w:rFonts w:eastAsia="맑은 고딕"/>
          <w:lang w:eastAsia="ko-KR"/>
        </w:rPr>
        <w:t>.</w:t>
      </w:r>
      <w:r w:rsidR="00F2770B">
        <w:rPr>
          <w:rFonts w:eastAsia="맑은 고딕"/>
          <w:lang w:eastAsia="ko-KR"/>
        </w:rPr>
        <w:t xml:space="preserve"> </w:t>
      </w:r>
      <w:r>
        <w:rPr>
          <w:rFonts w:eastAsia="맑은 고딕"/>
          <w:lang w:eastAsia="ko-KR"/>
        </w:rPr>
        <w:t xml:space="preserve">For example, </w:t>
      </w:r>
      <w:r w:rsidR="00A6657A">
        <w:rPr>
          <w:rFonts w:eastAsia="맑은 고딕"/>
          <w:lang w:eastAsia="ko-KR"/>
        </w:rPr>
        <w:t xml:space="preserve">when the gNB configures </w:t>
      </w:r>
      <w:r>
        <w:rPr>
          <w:rFonts w:eastAsia="맑은 고딕"/>
          <w:lang w:eastAsia="ko-KR"/>
        </w:rPr>
        <w:t>higher open-loop power control parameters for a UE to overcome the inter-subband CLI and self-interference</w:t>
      </w:r>
      <w:r w:rsidR="00A6657A">
        <w:rPr>
          <w:rFonts w:eastAsia="맑은 고딕"/>
          <w:lang w:eastAsia="ko-KR"/>
        </w:rPr>
        <w:t xml:space="preserve"> in the SBFD slot</w:t>
      </w:r>
      <w:r>
        <w:rPr>
          <w:rFonts w:eastAsia="맑은 고딕"/>
          <w:lang w:eastAsia="ko-KR"/>
        </w:rPr>
        <w:t xml:space="preserve">, </w:t>
      </w:r>
      <w:r w:rsidR="00A6657A">
        <w:rPr>
          <w:rFonts w:eastAsia="맑은 고딕"/>
          <w:lang w:eastAsia="ko-KR"/>
        </w:rPr>
        <w:t xml:space="preserve">this </w:t>
      </w:r>
      <w:r>
        <w:rPr>
          <w:rFonts w:eastAsia="맑은 고딕"/>
          <w:lang w:eastAsia="ko-KR"/>
        </w:rPr>
        <w:t>may result in higher UL interference in the full UL slot, where no inter-subband CLI and self-interference</w:t>
      </w:r>
      <w:r w:rsidR="00A6657A">
        <w:rPr>
          <w:rFonts w:eastAsia="맑은 고딕"/>
          <w:lang w:eastAsia="ko-KR"/>
        </w:rPr>
        <w:t xml:space="preserve"> occurs</w:t>
      </w:r>
      <w:r>
        <w:rPr>
          <w:rFonts w:eastAsia="맑은 고딕"/>
          <w:lang w:eastAsia="ko-KR"/>
        </w:rPr>
        <w:t xml:space="preserve">. </w:t>
      </w:r>
      <w:r w:rsidR="00A6657A">
        <w:rPr>
          <w:rFonts w:eastAsia="맑은 고딕"/>
          <w:lang w:eastAsia="ko-KR"/>
        </w:rPr>
        <w:t>Similar considerations apply to the closed loop power control component.</w:t>
      </w:r>
      <w:r w:rsidR="00035F24">
        <w:rPr>
          <w:rFonts w:eastAsia="맑은 고딕"/>
          <w:lang w:eastAsia="ko-KR"/>
        </w:rPr>
        <w:t xml:space="preserve"> </w:t>
      </w:r>
    </w:p>
    <w:p w14:paraId="55AE5CFC" w14:textId="23CBC220" w:rsidR="00E21FEB" w:rsidRPr="00E21FEB" w:rsidRDefault="00E21FEB" w:rsidP="00E21FEB">
      <w:pPr>
        <w:pStyle w:val="Proposal"/>
        <w:spacing w:before="120"/>
      </w:pPr>
      <w:r>
        <w:rPr>
          <w:color w:val="000000" w:themeColor="text1"/>
        </w:rPr>
        <w:t xml:space="preserve">RAN1 to study potential benefits and specification impacts </w:t>
      </w:r>
      <w:r w:rsidR="00A6657A">
        <w:rPr>
          <w:color w:val="000000" w:themeColor="text1"/>
        </w:rPr>
        <w:t>of</w:t>
      </w:r>
    </w:p>
    <w:p w14:paraId="36207257" w14:textId="21DC71ED" w:rsidR="00E21FEB" w:rsidRPr="00990EA2" w:rsidRDefault="00E21FEB" w:rsidP="00E21FEB">
      <w:pPr>
        <w:pStyle w:val="Proposal"/>
        <w:numPr>
          <w:ilvl w:val="1"/>
          <w:numId w:val="2"/>
        </w:numPr>
        <w:spacing w:before="120"/>
      </w:pPr>
      <w:r>
        <w:rPr>
          <w:color w:val="000000" w:themeColor="text1"/>
        </w:rPr>
        <w:t>Random Access</w:t>
      </w:r>
      <w:r w:rsidR="009940F1">
        <w:rPr>
          <w:color w:val="000000" w:themeColor="text1"/>
        </w:rPr>
        <w:t xml:space="preserve"> </w:t>
      </w:r>
      <w:r w:rsidR="005B3CF6">
        <w:rPr>
          <w:color w:val="000000" w:themeColor="text1"/>
        </w:rPr>
        <w:t xml:space="preserve">and </w:t>
      </w:r>
      <w:r w:rsidR="009940F1">
        <w:rPr>
          <w:color w:val="000000" w:themeColor="text1"/>
        </w:rPr>
        <w:t xml:space="preserve">initial </w:t>
      </w:r>
      <w:r w:rsidR="005B3CF6">
        <w:rPr>
          <w:color w:val="000000" w:themeColor="text1"/>
        </w:rPr>
        <w:t xml:space="preserve">access when </w:t>
      </w:r>
      <w:r w:rsidR="009940F1">
        <w:rPr>
          <w:color w:val="000000" w:themeColor="text1"/>
        </w:rPr>
        <w:t xml:space="preserve">using the </w:t>
      </w:r>
      <w:r>
        <w:rPr>
          <w:color w:val="000000" w:themeColor="text1"/>
        </w:rPr>
        <w:t>SBFD UL subband</w:t>
      </w:r>
    </w:p>
    <w:p w14:paraId="401B51A2" w14:textId="210B5D3A" w:rsidR="00990EA2" w:rsidRPr="00E21FEB" w:rsidRDefault="00AD67B6" w:rsidP="00E21FEB">
      <w:pPr>
        <w:pStyle w:val="Proposal"/>
        <w:numPr>
          <w:ilvl w:val="1"/>
          <w:numId w:val="2"/>
        </w:numPr>
        <w:spacing w:before="120"/>
      </w:pPr>
      <w:r>
        <w:rPr>
          <w:color w:val="000000" w:themeColor="text1"/>
        </w:rPr>
        <w:t>Guard band</w:t>
      </w:r>
      <w:r w:rsidR="00990EA2">
        <w:rPr>
          <w:color w:val="000000" w:themeColor="text1"/>
        </w:rPr>
        <w:t xml:space="preserve"> </w:t>
      </w:r>
      <w:r w:rsidR="00F2770B">
        <w:rPr>
          <w:color w:val="000000" w:themeColor="text1"/>
        </w:rPr>
        <w:t xml:space="preserve">configuration of </w:t>
      </w:r>
      <w:r w:rsidR="00990EA2">
        <w:rPr>
          <w:color w:val="000000" w:themeColor="text1"/>
        </w:rPr>
        <w:t>SBFD UL subband and DL subband</w:t>
      </w:r>
      <w:r w:rsidR="00F2770B">
        <w:rPr>
          <w:color w:val="000000" w:themeColor="text1"/>
        </w:rPr>
        <w:t xml:space="preserve">(s) </w:t>
      </w:r>
      <w:r w:rsidR="005B3CF6">
        <w:rPr>
          <w:color w:val="000000" w:themeColor="text1"/>
        </w:rPr>
        <w:t>provided to the UE</w:t>
      </w:r>
    </w:p>
    <w:p w14:paraId="4FD2AF94" w14:textId="4BB3381C" w:rsidR="00E21FEB" w:rsidRPr="00E21FEB" w:rsidRDefault="00A6657A" w:rsidP="00E21FEB">
      <w:pPr>
        <w:pStyle w:val="Proposal"/>
        <w:numPr>
          <w:ilvl w:val="1"/>
          <w:numId w:val="2"/>
        </w:numPr>
        <w:spacing w:before="120"/>
      </w:pPr>
      <w:r>
        <w:rPr>
          <w:color w:val="000000" w:themeColor="text1"/>
        </w:rPr>
        <w:t>Enhancements to UL transmit p</w:t>
      </w:r>
      <w:r w:rsidR="00E21FEB">
        <w:rPr>
          <w:color w:val="000000" w:themeColor="text1"/>
        </w:rPr>
        <w:t>ower</w:t>
      </w:r>
      <w:r w:rsidR="00035F24">
        <w:rPr>
          <w:color w:val="000000" w:themeColor="text1"/>
        </w:rPr>
        <w:t xml:space="preserve"> control, </w:t>
      </w:r>
      <w:r w:rsidR="00990EA2">
        <w:rPr>
          <w:color w:val="000000" w:themeColor="text1"/>
        </w:rPr>
        <w:t>l</w:t>
      </w:r>
      <w:r w:rsidR="00E21FEB">
        <w:rPr>
          <w:color w:val="000000" w:themeColor="text1"/>
        </w:rPr>
        <w:t xml:space="preserve">ink adaptation </w:t>
      </w:r>
      <w:r>
        <w:rPr>
          <w:color w:val="000000" w:themeColor="text1"/>
        </w:rPr>
        <w:t xml:space="preserve">procedures </w:t>
      </w:r>
      <w:r w:rsidR="00035F24">
        <w:rPr>
          <w:color w:val="000000" w:themeColor="text1"/>
        </w:rPr>
        <w:t xml:space="preserve">and QCL assumptions </w:t>
      </w:r>
      <w:r w:rsidR="00E21FEB">
        <w:rPr>
          <w:color w:val="000000" w:themeColor="text1"/>
        </w:rPr>
        <w:t xml:space="preserve">for </w:t>
      </w:r>
      <w:r w:rsidR="00035F24">
        <w:rPr>
          <w:color w:val="000000" w:themeColor="text1"/>
        </w:rPr>
        <w:t xml:space="preserve">transmissions using the </w:t>
      </w:r>
      <w:r w:rsidR="00E21FEB">
        <w:rPr>
          <w:color w:val="000000" w:themeColor="text1"/>
        </w:rPr>
        <w:t>SBFD UL subband</w:t>
      </w:r>
    </w:p>
    <w:p w14:paraId="32E2A909" w14:textId="01133392" w:rsidR="00E21FEB" w:rsidRPr="00E21FEB" w:rsidRDefault="00E21FEB" w:rsidP="00873F07">
      <w:pPr>
        <w:jc w:val="both"/>
        <w:rPr>
          <w:rFonts w:eastAsia="맑은 고딕"/>
          <w:lang w:eastAsia="ko-KR"/>
        </w:rPr>
      </w:pPr>
    </w:p>
    <w:p w14:paraId="255D639B" w14:textId="149D3BA1" w:rsidR="00C01F33" w:rsidRPr="001E7AD0" w:rsidRDefault="00C01F33" w:rsidP="00873F07">
      <w:pPr>
        <w:pStyle w:val="1"/>
        <w:jc w:val="both"/>
        <w:rPr>
          <w:lang w:val="en-US"/>
        </w:rPr>
      </w:pPr>
      <w:r w:rsidRPr="001E7AD0">
        <w:rPr>
          <w:lang w:val="en-US"/>
        </w:rPr>
        <w:t>Conclusion</w:t>
      </w:r>
    </w:p>
    <w:p w14:paraId="5A650F21" w14:textId="2F677E2C" w:rsidR="00E031BD" w:rsidRDefault="008E065E" w:rsidP="00873F07">
      <w:pPr>
        <w:pStyle w:val="a8"/>
      </w:pPr>
      <w:r w:rsidRPr="001E7AD0">
        <w:t xml:space="preserve">In </w:t>
      </w:r>
      <w:r w:rsidR="00F1757B">
        <w:t>this contribution,</w:t>
      </w:r>
      <w:r w:rsidRPr="001E7AD0">
        <w:t xml:space="preserve"> we made the following observations</w:t>
      </w:r>
      <w:r w:rsidR="00D72FE6">
        <w:t xml:space="preserve"> </w:t>
      </w:r>
      <w:r w:rsidR="00D72FE6" w:rsidRPr="00373733">
        <w:t>and proposals</w:t>
      </w:r>
      <w:r w:rsidRPr="00373733">
        <w:t>:</w:t>
      </w:r>
    </w:p>
    <w:p w14:paraId="6D91F646" w14:textId="77777777" w:rsidR="003375C8" w:rsidRPr="007B7943" w:rsidRDefault="003375C8" w:rsidP="003375C8">
      <w:pPr>
        <w:pStyle w:val="Observation"/>
      </w:pPr>
      <w:r>
        <w:t>L</w:t>
      </w:r>
      <w:r w:rsidRPr="007B7943">
        <w:t>egacy UE</w:t>
      </w:r>
      <w:r>
        <w:t>s</w:t>
      </w:r>
      <w:r w:rsidRPr="007B7943">
        <w:t xml:space="preserve"> can be scheduled in </w:t>
      </w:r>
      <w:r>
        <w:t xml:space="preserve">the </w:t>
      </w:r>
      <w:r w:rsidRPr="007B7943">
        <w:t xml:space="preserve">SBFD UL subband </w:t>
      </w:r>
      <w:r>
        <w:t>b</w:t>
      </w:r>
      <w:r w:rsidRPr="007B7943">
        <w:t xml:space="preserve">y configuring flexible symbols in </w:t>
      </w:r>
      <w:r>
        <w:t xml:space="preserve">the </w:t>
      </w:r>
      <w:r w:rsidRPr="007B7943">
        <w:t>SBFD</w:t>
      </w:r>
      <w:r>
        <w:t xml:space="preserve"> slot</w:t>
      </w:r>
      <w:r w:rsidRPr="007B7943">
        <w:t xml:space="preserve"> </w:t>
      </w:r>
      <w:r>
        <w:t xml:space="preserve">using existing </w:t>
      </w:r>
      <w:r w:rsidRPr="007B7943">
        <w:t>RAN1 specification</w:t>
      </w:r>
      <w:r>
        <w:t>s and UE behavior</w:t>
      </w:r>
      <w:r w:rsidRPr="007B7943">
        <w:t>.</w:t>
      </w:r>
    </w:p>
    <w:p w14:paraId="34EE5CD6" w14:textId="77777777" w:rsidR="00D33EA1" w:rsidRPr="003D0F6C" w:rsidRDefault="00D33EA1" w:rsidP="00D33EA1">
      <w:pPr>
        <w:pStyle w:val="Proposal"/>
        <w:numPr>
          <w:ilvl w:val="0"/>
          <w:numId w:val="32"/>
        </w:numPr>
        <w:spacing w:before="120"/>
      </w:pPr>
      <w:r w:rsidRPr="00D33EA1">
        <w:rPr>
          <w:color w:val="000000" w:themeColor="text1"/>
        </w:rPr>
        <w:t>The SBFD frequency-domain occupation, e.g., the location and bandwidth of the SBFD UL subband in the BS channel BW is configurable.</w:t>
      </w:r>
    </w:p>
    <w:p w14:paraId="376C45AD" w14:textId="77777777" w:rsidR="00D33EA1" w:rsidRPr="006E43E4" w:rsidRDefault="00D33EA1" w:rsidP="00D33EA1">
      <w:pPr>
        <w:pStyle w:val="Proposal"/>
        <w:spacing w:before="120"/>
      </w:pPr>
      <w:r>
        <w:rPr>
          <w:color w:val="000000" w:themeColor="text1"/>
        </w:rPr>
        <w:t>The SBFD time-domain resources, e.g., the symbols/slots of the TDD UL-DL frame configuration in which the SBFD UL subband can be scheduled are configurable.</w:t>
      </w:r>
    </w:p>
    <w:p w14:paraId="46715CC2" w14:textId="7FABC08E" w:rsidR="00D33EA1" w:rsidRPr="00D33EA1" w:rsidRDefault="00D33EA1" w:rsidP="00D33EA1">
      <w:pPr>
        <w:pStyle w:val="Proposal"/>
        <w:spacing w:before="120"/>
      </w:pPr>
      <w:r>
        <w:rPr>
          <w:color w:val="000000" w:themeColor="text1"/>
        </w:rPr>
        <w:t>SBFD can be configured in the UE channel BW of a single NR carrier. Further study the potential benefits and impacts when using intra-band CA or configuring SUL for SBFD.</w:t>
      </w:r>
    </w:p>
    <w:p w14:paraId="7B0716A9" w14:textId="77777777" w:rsidR="00D33EA1" w:rsidRPr="003D0F6C" w:rsidRDefault="00D33EA1" w:rsidP="00D33EA1">
      <w:pPr>
        <w:pStyle w:val="Proposal"/>
        <w:numPr>
          <w:ilvl w:val="0"/>
          <w:numId w:val="0"/>
        </w:numPr>
        <w:spacing w:before="120"/>
        <w:ind w:left="1304"/>
      </w:pPr>
    </w:p>
    <w:p w14:paraId="13E3754E" w14:textId="77777777" w:rsidR="00D33EA1" w:rsidRPr="00DC38E7" w:rsidRDefault="00D33EA1" w:rsidP="00D33EA1">
      <w:pPr>
        <w:pStyle w:val="Proposal"/>
      </w:pPr>
      <w:r>
        <w:t>SBFD operation is supported for UEs implementing only a single DL and UL BWP pair with aligned center frequency</w:t>
      </w:r>
    </w:p>
    <w:p w14:paraId="24335E6E" w14:textId="77777777" w:rsidR="00D33EA1" w:rsidRPr="003D0F6C" w:rsidRDefault="00D33EA1" w:rsidP="00D33EA1">
      <w:pPr>
        <w:pStyle w:val="Proposal"/>
        <w:spacing w:before="120"/>
      </w:pPr>
      <w:r>
        <w:rPr>
          <w:color w:val="000000" w:themeColor="text1"/>
        </w:rPr>
        <w:t>RAN1 to study the use and evaluate the potential impacts from SBFD when a TDD serving cell with SBFD is configured as PCell, SCell or SpCell for a UE.</w:t>
      </w:r>
    </w:p>
    <w:p w14:paraId="233DF7A8" w14:textId="77777777" w:rsidR="00D33EA1" w:rsidRDefault="00D33EA1" w:rsidP="00D33EA1">
      <w:pPr>
        <w:pStyle w:val="Proposal"/>
        <w:spacing w:before="120"/>
      </w:pPr>
      <w:r>
        <w:rPr>
          <w:color w:val="000000" w:themeColor="text1"/>
        </w:rPr>
        <w:t xml:space="preserve">For a UE, the transmission direction of a symbol in the </w:t>
      </w:r>
      <w:r w:rsidRPr="008F6C4D">
        <w:rPr>
          <w:color w:val="000000" w:themeColor="text1"/>
        </w:rPr>
        <w:t>SBFD UL subband</w:t>
      </w:r>
      <w:r>
        <w:rPr>
          <w:color w:val="000000" w:themeColor="text1"/>
        </w:rPr>
        <w:t xml:space="preserve"> is determined by gNB scheduling</w:t>
      </w:r>
    </w:p>
    <w:p w14:paraId="396330C6" w14:textId="77777777" w:rsidR="00CF7801" w:rsidRDefault="00CF7801" w:rsidP="00CF7801">
      <w:pPr>
        <w:pStyle w:val="Proposal"/>
        <w:spacing w:before="120"/>
      </w:pPr>
      <w:r>
        <w:rPr>
          <w:color w:val="000000" w:themeColor="text1"/>
        </w:rPr>
        <w:t xml:space="preserve">The cell-common or UE dedicated </w:t>
      </w:r>
      <w:r w:rsidRPr="008F6C4D">
        <w:rPr>
          <w:color w:val="000000" w:themeColor="text1"/>
        </w:rPr>
        <w:t xml:space="preserve">SBFD UL subband </w:t>
      </w:r>
      <w:r>
        <w:rPr>
          <w:color w:val="000000" w:themeColor="text1"/>
        </w:rPr>
        <w:t>configuration, e.g., symbols/slots and the frequency occupancy in which UL transmissions can be scheduled by the gNB, is provided to the UE.</w:t>
      </w:r>
    </w:p>
    <w:p w14:paraId="03FEFD37" w14:textId="77777777" w:rsidR="00CF7801" w:rsidRDefault="00CF7801" w:rsidP="00CF7801">
      <w:pPr>
        <w:pStyle w:val="Proposal"/>
        <w:spacing w:before="120"/>
      </w:pPr>
      <w:r>
        <w:rPr>
          <w:color w:val="000000" w:themeColor="text1"/>
        </w:rPr>
        <w:t>Multi-slot PUSCH, e.g., PUSCH repetition Type A, and PUCCH repetitions can be configured for transmission using only the SBFD slots/symbols.</w:t>
      </w:r>
    </w:p>
    <w:p w14:paraId="1D7D849D" w14:textId="0D07D8EF" w:rsidR="00CF7801" w:rsidRPr="00261A9E" w:rsidRDefault="00CF7801" w:rsidP="00CF7801">
      <w:pPr>
        <w:pStyle w:val="Proposal"/>
        <w:spacing w:before="120"/>
      </w:pPr>
      <w:r w:rsidRPr="000A5788">
        <w:t xml:space="preserve">RAN1 to study the impacts </w:t>
      </w:r>
      <w:r>
        <w:t>of SBFD operation on DL resource allocation and resource mapping in slots/symbols configured with an SBFD UL subband.</w:t>
      </w:r>
    </w:p>
    <w:p w14:paraId="7B829A6F" w14:textId="77777777" w:rsidR="00CF7801" w:rsidRDefault="00CF7801" w:rsidP="00CF7801">
      <w:pPr>
        <w:pStyle w:val="Proposal"/>
        <w:spacing w:before="120"/>
      </w:pPr>
      <w:r>
        <w:rPr>
          <w:color w:val="000000" w:themeColor="text1"/>
        </w:rPr>
        <w:t>A DL reference signal, e.g., NZP CSI-RS resource(s) can be configured for the UE to report inter-subband UL-DL interference.</w:t>
      </w:r>
    </w:p>
    <w:p w14:paraId="46DCFF16" w14:textId="77777777" w:rsidR="00CF7801" w:rsidRDefault="00CF7801" w:rsidP="00CF7801">
      <w:pPr>
        <w:pStyle w:val="Proposal"/>
        <w:spacing w:before="120"/>
      </w:pPr>
      <w:r>
        <w:rPr>
          <w:color w:val="000000" w:themeColor="text1"/>
        </w:rPr>
        <w:t>The UE maximum output power is configurable per slot in a TDD serving cell with SBFD.</w:t>
      </w:r>
    </w:p>
    <w:p w14:paraId="376EF084" w14:textId="77777777" w:rsidR="00CF7801" w:rsidRPr="00E21FEB" w:rsidRDefault="00CF7801" w:rsidP="00CF7801">
      <w:pPr>
        <w:pStyle w:val="Proposal"/>
        <w:spacing w:before="120"/>
      </w:pPr>
      <w:r>
        <w:rPr>
          <w:color w:val="000000" w:themeColor="text1"/>
        </w:rPr>
        <w:t>RAN1 to study potential benefits and specification impacts of</w:t>
      </w:r>
    </w:p>
    <w:p w14:paraId="360DBEE9" w14:textId="77777777" w:rsidR="00CF7801" w:rsidRPr="00990EA2" w:rsidRDefault="00CF7801" w:rsidP="00CF7801">
      <w:pPr>
        <w:pStyle w:val="Proposal"/>
        <w:numPr>
          <w:ilvl w:val="1"/>
          <w:numId w:val="2"/>
        </w:numPr>
        <w:spacing w:before="120"/>
      </w:pPr>
      <w:r>
        <w:rPr>
          <w:color w:val="000000" w:themeColor="text1"/>
        </w:rPr>
        <w:t>Random Access and initial access when using the SBFD UL subband</w:t>
      </w:r>
    </w:p>
    <w:p w14:paraId="4861CB02" w14:textId="77777777" w:rsidR="00CF7801" w:rsidRPr="00E21FEB" w:rsidRDefault="00CF7801" w:rsidP="00CF7801">
      <w:pPr>
        <w:pStyle w:val="Proposal"/>
        <w:numPr>
          <w:ilvl w:val="1"/>
          <w:numId w:val="2"/>
        </w:numPr>
        <w:spacing w:before="120"/>
      </w:pPr>
      <w:r>
        <w:rPr>
          <w:color w:val="000000" w:themeColor="text1"/>
        </w:rPr>
        <w:t>Guard band configuration of SBFD UL subband and DL subband(s) provided to the UE</w:t>
      </w:r>
    </w:p>
    <w:p w14:paraId="6AB5E7D0" w14:textId="77777777" w:rsidR="00CF7801" w:rsidRPr="00E21FEB" w:rsidRDefault="00CF7801" w:rsidP="00CF7801">
      <w:pPr>
        <w:pStyle w:val="Proposal"/>
        <w:numPr>
          <w:ilvl w:val="1"/>
          <w:numId w:val="2"/>
        </w:numPr>
        <w:spacing w:before="120"/>
      </w:pPr>
      <w:r>
        <w:rPr>
          <w:color w:val="000000" w:themeColor="text1"/>
        </w:rPr>
        <w:t>Enhancements to UL transmit power control, link adaptation procedures and QCL assumptions for transmissions using the SBFD UL subband</w:t>
      </w:r>
    </w:p>
    <w:p w14:paraId="5121964E" w14:textId="4C78BAA5" w:rsidR="00D33EA1" w:rsidRPr="00D33EA1" w:rsidRDefault="00D33EA1" w:rsidP="00873F07">
      <w:pPr>
        <w:pStyle w:val="a8"/>
        <w:rPr>
          <w:rFonts w:eastAsia="DengXian"/>
          <w:b/>
          <w:bCs/>
        </w:rPr>
      </w:pPr>
    </w:p>
    <w:p w14:paraId="71D79D99" w14:textId="77777777" w:rsidR="00F507D1" w:rsidRPr="001E7AD0" w:rsidRDefault="00F507D1" w:rsidP="00191FD8">
      <w:pPr>
        <w:pStyle w:val="1"/>
        <w:numPr>
          <w:ilvl w:val="0"/>
          <w:numId w:val="0"/>
        </w:numPr>
        <w:ind w:left="432" w:hanging="432"/>
        <w:jc w:val="both"/>
        <w:rPr>
          <w:lang w:val="en-US"/>
        </w:rPr>
      </w:pPr>
      <w:bookmarkStart w:id="4" w:name="_In-sequence_SDU_delivery"/>
      <w:bookmarkEnd w:id="4"/>
      <w:r w:rsidRPr="001E7AD0">
        <w:rPr>
          <w:lang w:val="en-US"/>
        </w:rPr>
        <w:t>References</w:t>
      </w:r>
    </w:p>
    <w:p w14:paraId="4BC58E35" w14:textId="7E164704" w:rsidR="00C60B65" w:rsidRPr="001E7AD0" w:rsidRDefault="00C60B65" w:rsidP="00873F07">
      <w:pPr>
        <w:pStyle w:val="Reference"/>
      </w:pPr>
      <w:bookmarkStart w:id="5" w:name="_Ref77157032"/>
      <w:bookmarkStart w:id="6" w:name="_Ref174151459"/>
      <w:bookmarkStart w:id="7" w:name="_Ref189809556"/>
      <w:r w:rsidRPr="001E7AD0">
        <w:t>RP-</w:t>
      </w:r>
      <w:r w:rsidR="00010625">
        <w:t>220633</w:t>
      </w:r>
      <w:r w:rsidRPr="001E7AD0">
        <w:t xml:space="preserve"> “</w:t>
      </w:r>
      <w:r w:rsidR="00010625" w:rsidRPr="00010625">
        <w:t>Study on Evolution of NR Duplex Operation</w:t>
      </w:r>
      <w:r w:rsidR="007304A7">
        <w:t>,</w:t>
      </w:r>
      <w:r w:rsidRPr="001E7AD0">
        <w:t>” RAN#9</w:t>
      </w:r>
      <w:r w:rsidR="00010625">
        <w:t>5-</w:t>
      </w:r>
      <w:r w:rsidRPr="001E7AD0">
        <w:t>e</w:t>
      </w:r>
      <w:bookmarkEnd w:id="5"/>
    </w:p>
    <w:p w14:paraId="3337FCE9" w14:textId="4D89272A" w:rsidR="00701741" w:rsidRDefault="0073723A" w:rsidP="00873F07">
      <w:pPr>
        <w:pStyle w:val="Reference"/>
      </w:pPr>
      <w:bookmarkStart w:id="8" w:name="_Ref77157282"/>
      <w:r w:rsidRPr="007E6055">
        <w:rPr>
          <w:color w:val="000000" w:themeColor="text1"/>
        </w:rPr>
        <w:t>R1-2</w:t>
      </w:r>
      <w:r w:rsidR="005757C0" w:rsidRPr="007E6055">
        <w:rPr>
          <w:color w:val="000000" w:themeColor="text1"/>
        </w:rPr>
        <w:t>2</w:t>
      </w:r>
      <w:r w:rsidR="007E6055" w:rsidRPr="007E6055">
        <w:rPr>
          <w:color w:val="000000" w:themeColor="text1"/>
        </w:rPr>
        <w:t>03903</w:t>
      </w:r>
      <w:r w:rsidR="00583F8B" w:rsidRPr="007E6055">
        <w:rPr>
          <w:color w:val="000000" w:themeColor="text1"/>
        </w:rPr>
        <w:t xml:space="preserve"> </w:t>
      </w:r>
      <w:r w:rsidR="00C60B65" w:rsidRPr="001E7AD0">
        <w:t>“</w:t>
      </w:r>
      <w:r w:rsidR="007E6055" w:rsidRPr="007E6055">
        <w:t>Deployment scenario</w:t>
      </w:r>
      <w:r w:rsidR="007E6055">
        <w:t>s</w:t>
      </w:r>
      <w:r w:rsidR="007E6055" w:rsidRPr="007E6055">
        <w:t xml:space="preserve"> and evaluation methodology for </w:t>
      </w:r>
      <w:r w:rsidR="006F0C6D">
        <w:t xml:space="preserve">NR </w:t>
      </w:r>
      <w:bookmarkStart w:id="9" w:name="_GoBack"/>
      <w:bookmarkEnd w:id="9"/>
      <w:r w:rsidR="007E6055" w:rsidRPr="007E6055">
        <w:t>duplex evolution</w:t>
      </w:r>
      <w:r w:rsidR="007304A7">
        <w:t>,</w:t>
      </w:r>
      <w:r w:rsidR="00C60B65" w:rsidRPr="001E7AD0">
        <w:t xml:space="preserve">” </w:t>
      </w:r>
      <w:r w:rsidR="00583F8B">
        <w:t>Samsung</w:t>
      </w:r>
      <w:bookmarkEnd w:id="6"/>
      <w:bookmarkEnd w:id="7"/>
      <w:bookmarkEnd w:id="8"/>
    </w:p>
    <w:p w14:paraId="13292911" w14:textId="4787F2E0" w:rsidR="00583F8B" w:rsidRDefault="00583F8B" w:rsidP="00873F07">
      <w:pPr>
        <w:pStyle w:val="Reference"/>
      </w:pPr>
      <w:r w:rsidRPr="001E7AD0">
        <w:t>R1-</w:t>
      </w:r>
      <w:r w:rsidRPr="007E6055">
        <w:rPr>
          <w:color w:val="000000" w:themeColor="text1"/>
        </w:rPr>
        <w:t>22</w:t>
      </w:r>
      <w:r w:rsidR="007E6055" w:rsidRPr="007E6055">
        <w:rPr>
          <w:color w:val="000000" w:themeColor="text1"/>
        </w:rPr>
        <w:t>03905</w:t>
      </w:r>
      <w:r>
        <w:t xml:space="preserve"> </w:t>
      </w:r>
      <w:r w:rsidRPr="001E7AD0">
        <w:t>“</w:t>
      </w:r>
      <w:r w:rsidR="007E6055">
        <w:t>Dynamic and flexible TDD for NR duplex evolution</w:t>
      </w:r>
      <w:r w:rsidR="007304A7">
        <w:t>,</w:t>
      </w:r>
      <w:r w:rsidRPr="001E7AD0">
        <w:t xml:space="preserve">” </w:t>
      </w:r>
      <w:r>
        <w:t>Samsung</w:t>
      </w:r>
    </w:p>
    <w:p w14:paraId="245CDA0F" w14:textId="587DA828" w:rsidR="004E40B7" w:rsidRDefault="007304A7" w:rsidP="00873F07">
      <w:pPr>
        <w:pStyle w:val="Reference"/>
      </w:pPr>
      <w:r>
        <w:t xml:space="preserve">Hyoungju Ji et al., </w:t>
      </w:r>
      <w:r w:rsidR="004E40B7">
        <w:t>“Extending 5G TDD Coverage w</w:t>
      </w:r>
      <w:r>
        <w:t>ith XDD: Cross Division Duplex,”</w:t>
      </w:r>
      <w:r w:rsidR="004E40B7">
        <w:t xml:space="preserve"> IEEE Access</w:t>
      </w:r>
      <w:r>
        <w:t>, March 2021</w:t>
      </w:r>
    </w:p>
    <w:p w14:paraId="3496147F" w14:textId="347B6C8E" w:rsidR="00642400" w:rsidRDefault="00642400" w:rsidP="00642400">
      <w:pPr>
        <w:pStyle w:val="Reference"/>
        <w:numPr>
          <w:ilvl w:val="0"/>
          <w:numId w:val="0"/>
        </w:numPr>
      </w:pPr>
    </w:p>
    <w:sectPr w:rsidR="00642400" w:rsidSect="00C473A5">
      <w:headerReference w:type="even" r:id="rId18"/>
      <w:footerReference w:type="default" r:id="rId19"/>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568C3CE" w14:textId="77777777" w:rsidR="00BE08C9" w:rsidRDefault="00BE08C9">
      <w:r>
        <w:separator/>
      </w:r>
    </w:p>
  </w:endnote>
  <w:endnote w:type="continuationSeparator" w:id="0">
    <w:p w14:paraId="5D767BA9" w14:textId="77777777" w:rsidR="00BE08C9" w:rsidRDefault="00BE08C9">
      <w:r>
        <w:continuationSeparator/>
      </w:r>
    </w:p>
  </w:endnote>
  <w:endnote w:type="continuationNotice" w:id="1">
    <w:p w14:paraId="4743243F" w14:textId="77777777" w:rsidR="00BE08C9" w:rsidRDefault="00BE08C9">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맑은 고딕">
    <w:panose1 w:val="020B0503020000020004"/>
    <w:charset w:val="81"/>
    <w:family w:val="modern"/>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G Times (WN)">
    <w:altName w:val="Arial"/>
    <w:charset w:val="00"/>
    <w:family w:val="roman"/>
    <w:pitch w:val="default"/>
    <w:sig w:usb0="00000000" w:usb1="00000000" w:usb2="00000000" w:usb3="00000000" w:csb0="00000001" w:csb1="00000000"/>
  </w:font>
  <w:font w:name="바탕">
    <w:altName w:val="Batang"/>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Yu Gothic UI"/>
    <w:panose1 w:val="02020609040205080304"/>
    <w:charset w:val="80"/>
    <w:family w:val="roman"/>
    <w:notTrueType/>
    <w:pitch w:val="fixed"/>
    <w:sig w:usb0="00000000" w:usb1="08070000" w:usb2="00000010" w:usb3="00000000" w:csb0="00020000" w:csb1="00000000"/>
  </w:font>
  <w:font w:name="Yu Mincho">
    <w:altName w:val="Yu Gothic UI"/>
    <w:charset w:val="80"/>
    <w:family w:val="roman"/>
    <w:pitch w:val="variable"/>
    <w:sig w:usb0="800002E7" w:usb1="2AC7FCFF" w:usb2="00000012" w:usb3="00000000" w:csb0="0002009F" w:csb1="00000000"/>
  </w:font>
  <w:font w:name="DengXian">
    <w:altName w:val="SimSun"/>
    <w:panose1 w:val="02010600030101010101"/>
    <w:charset w:val="86"/>
    <w:family w:val="auto"/>
    <w:pitch w:val="variable"/>
    <w:sig w:usb0="A00002BF" w:usb1="38CF7CFA" w:usb2="00000016" w:usb3="00000000" w:csb0="0004000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F3E3324" w14:textId="39A76AC9" w:rsidR="001E7AD0" w:rsidRDefault="001E7AD0" w:rsidP="00313FD6">
    <w:pPr>
      <w:pStyle w:val="ac"/>
      <w:tabs>
        <w:tab w:val="center" w:pos="4820"/>
        <w:tab w:val="right" w:pos="9639"/>
      </w:tabs>
      <w:jc w:val="left"/>
    </w:pPr>
    <w:r>
      <w:tab/>
    </w:r>
    <w:r>
      <w:rPr>
        <w:rStyle w:val="ae"/>
      </w:rPr>
      <w:fldChar w:fldCharType="begin"/>
    </w:r>
    <w:r>
      <w:rPr>
        <w:rStyle w:val="ae"/>
      </w:rPr>
      <w:instrText xml:space="preserve"> PAGE </w:instrText>
    </w:r>
    <w:r>
      <w:rPr>
        <w:rStyle w:val="ae"/>
      </w:rPr>
      <w:fldChar w:fldCharType="separate"/>
    </w:r>
    <w:r w:rsidR="006F0C6D">
      <w:rPr>
        <w:rStyle w:val="ae"/>
      </w:rPr>
      <w:t>15</w:t>
    </w:r>
    <w:r>
      <w:rPr>
        <w:rStyle w:val="ae"/>
      </w:rPr>
      <w:fldChar w:fldCharType="end"/>
    </w:r>
    <w:r>
      <w:rPr>
        <w:rStyle w:val="ae"/>
      </w:rPr>
      <w:t>/</w:t>
    </w:r>
    <w:r>
      <w:rPr>
        <w:rStyle w:val="ae"/>
      </w:rPr>
      <w:fldChar w:fldCharType="begin"/>
    </w:r>
    <w:r>
      <w:rPr>
        <w:rStyle w:val="ae"/>
      </w:rPr>
      <w:instrText xml:space="preserve"> NUMPAGES </w:instrText>
    </w:r>
    <w:r>
      <w:rPr>
        <w:rStyle w:val="ae"/>
      </w:rPr>
      <w:fldChar w:fldCharType="separate"/>
    </w:r>
    <w:r w:rsidR="006F0C6D">
      <w:rPr>
        <w:rStyle w:val="ae"/>
      </w:rPr>
      <w:t>15</w:t>
    </w:r>
    <w:r>
      <w:rPr>
        <w:rStyle w:val="ae"/>
      </w:rPr>
      <w:fldChar w:fldCharType="end"/>
    </w:r>
    <w:r>
      <w:rPr>
        <w:rStyle w:val="ae"/>
      </w:rPr>
      <w:tab/>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C8EF019" w14:textId="77777777" w:rsidR="00BE08C9" w:rsidRDefault="00BE08C9">
      <w:r>
        <w:separator/>
      </w:r>
    </w:p>
  </w:footnote>
  <w:footnote w:type="continuationSeparator" w:id="0">
    <w:p w14:paraId="7AB051B6" w14:textId="77777777" w:rsidR="00BE08C9" w:rsidRDefault="00BE08C9">
      <w:r>
        <w:continuationSeparator/>
      </w:r>
    </w:p>
  </w:footnote>
  <w:footnote w:type="continuationNotice" w:id="1">
    <w:p w14:paraId="63DC6822" w14:textId="77777777" w:rsidR="00BE08C9" w:rsidRDefault="00BE08C9">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59CAA3A" w14:textId="77777777" w:rsidR="001E7AD0" w:rsidRDefault="001E7AD0">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E"/>
    <w:multiLevelType w:val="singleLevel"/>
    <w:tmpl w:val="8D74240A"/>
    <w:lvl w:ilvl="0">
      <w:start w:val="1"/>
      <w:numFmt w:val="lowerRoman"/>
      <w:pStyle w:val="3"/>
      <w:lvlText w:val="%1."/>
      <w:lvlJc w:val="right"/>
      <w:pPr>
        <w:ind w:left="926" w:hanging="360"/>
      </w:pPr>
    </w:lvl>
  </w:abstractNum>
  <w:abstractNum w:abstractNumId="1" w15:restartNumberingAfterBreak="0">
    <w:nsid w:val="00000001"/>
    <w:multiLevelType w:val="hybridMultilevel"/>
    <w:tmpl w:val="FFFFFFFF"/>
    <w:lvl w:ilvl="0" w:tplc="0000000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0000002"/>
    <w:multiLevelType w:val="hybridMultilevel"/>
    <w:tmpl w:val="FFFFFFFF"/>
    <w:lvl w:ilvl="0" w:tplc="00000065">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00000003"/>
    <w:multiLevelType w:val="hybridMultilevel"/>
    <w:tmpl w:val="FFFFFFFF"/>
    <w:lvl w:ilvl="0" w:tplc="000000C9">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15:restartNumberingAfterBreak="0">
    <w:nsid w:val="0840201F"/>
    <w:multiLevelType w:val="multilevel"/>
    <w:tmpl w:val="EDB0216E"/>
    <w:lvl w:ilvl="0">
      <w:start w:val="1"/>
      <w:numFmt w:val="bullet"/>
      <w:lvlText w:val="o"/>
      <w:lvlJc w:val="left"/>
      <w:pPr>
        <w:tabs>
          <w:tab w:val="num" w:pos="720"/>
        </w:tabs>
        <w:ind w:left="720" w:hanging="360"/>
      </w:pPr>
      <w:rPr>
        <w:rFonts w:ascii="Courier New" w:hAnsi="Courier New" w:hint="default"/>
        <w:sz w:val="20"/>
      </w:rPr>
    </w:lvl>
    <w:lvl w:ilvl="1">
      <w:numFmt w:val="bullet"/>
      <w:lvlText w:val=""/>
      <w:lvlJc w:val="left"/>
      <w:pPr>
        <w:tabs>
          <w:tab w:val="num" w:pos="1440"/>
        </w:tabs>
        <w:ind w:left="1440" w:hanging="360"/>
      </w:pPr>
      <w:rPr>
        <w:rFonts w:ascii="Symbol" w:hAnsi="Symbol" w:hint="default"/>
        <w:sz w:val="20"/>
      </w:rPr>
    </w:lvl>
    <w:lvl w:ilvl="2" w:tentative="1">
      <w:numFmt w:val="bullet"/>
      <w:lvlText w:val="o"/>
      <w:lvlJc w:val="left"/>
      <w:pPr>
        <w:tabs>
          <w:tab w:val="num" w:pos="2160"/>
        </w:tabs>
        <w:ind w:left="2160" w:hanging="360"/>
      </w:pPr>
      <w:rPr>
        <w:rFonts w:ascii="Courier New" w:hAnsi="Courier New" w:hint="default"/>
        <w:sz w:val="20"/>
      </w:rPr>
    </w:lvl>
    <w:lvl w:ilvl="3" w:tentative="1">
      <w:numFmt w:val="bullet"/>
      <w:lvlText w:val="o"/>
      <w:lvlJc w:val="left"/>
      <w:pPr>
        <w:tabs>
          <w:tab w:val="num" w:pos="2880"/>
        </w:tabs>
        <w:ind w:left="2880" w:hanging="360"/>
      </w:pPr>
      <w:rPr>
        <w:rFonts w:ascii="Courier New" w:hAnsi="Courier New" w:hint="default"/>
        <w:sz w:val="20"/>
      </w:rPr>
    </w:lvl>
    <w:lvl w:ilvl="4" w:tentative="1">
      <w:numFmt w:val="bullet"/>
      <w:lvlText w:val="o"/>
      <w:lvlJc w:val="left"/>
      <w:pPr>
        <w:tabs>
          <w:tab w:val="num" w:pos="3600"/>
        </w:tabs>
        <w:ind w:left="3600" w:hanging="360"/>
      </w:pPr>
      <w:rPr>
        <w:rFonts w:ascii="Courier New" w:hAnsi="Courier New" w:hint="default"/>
        <w:sz w:val="20"/>
      </w:rPr>
    </w:lvl>
    <w:lvl w:ilvl="5" w:tentative="1">
      <w:numFmt w:val="bullet"/>
      <w:lvlText w:val="o"/>
      <w:lvlJc w:val="left"/>
      <w:pPr>
        <w:tabs>
          <w:tab w:val="num" w:pos="4320"/>
        </w:tabs>
        <w:ind w:left="4320" w:hanging="360"/>
      </w:pPr>
      <w:rPr>
        <w:rFonts w:ascii="Courier New" w:hAnsi="Courier New" w:hint="default"/>
        <w:sz w:val="20"/>
      </w:rPr>
    </w:lvl>
    <w:lvl w:ilvl="6" w:tentative="1">
      <w:numFmt w:val="bullet"/>
      <w:lvlText w:val="o"/>
      <w:lvlJc w:val="left"/>
      <w:pPr>
        <w:tabs>
          <w:tab w:val="num" w:pos="5040"/>
        </w:tabs>
        <w:ind w:left="5040" w:hanging="360"/>
      </w:pPr>
      <w:rPr>
        <w:rFonts w:ascii="Courier New" w:hAnsi="Courier New" w:hint="default"/>
        <w:sz w:val="20"/>
      </w:rPr>
    </w:lvl>
    <w:lvl w:ilvl="7" w:tentative="1">
      <w:numFmt w:val="bullet"/>
      <w:lvlText w:val="o"/>
      <w:lvlJc w:val="left"/>
      <w:pPr>
        <w:tabs>
          <w:tab w:val="num" w:pos="5760"/>
        </w:tabs>
        <w:ind w:left="5760" w:hanging="360"/>
      </w:pPr>
      <w:rPr>
        <w:rFonts w:ascii="Courier New" w:hAnsi="Courier New" w:hint="default"/>
        <w:sz w:val="20"/>
      </w:rPr>
    </w:lvl>
    <w:lvl w:ilvl="8" w:tentative="1">
      <w:numFmt w:val="bullet"/>
      <w:lvlText w:val="o"/>
      <w:lvlJc w:val="left"/>
      <w:pPr>
        <w:tabs>
          <w:tab w:val="num" w:pos="6480"/>
        </w:tabs>
        <w:ind w:left="6480" w:hanging="360"/>
      </w:pPr>
      <w:rPr>
        <w:rFonts w:ascii="Courier New" w:hAnsi="Courier New" w:hint="default"/>
        <w:sz w:val="20"/>
      </w:rPr>
    </w:lvl>
  </w:abstractNum>
  <w:abstractNum w:abstractNumId="5" w15:restartNumberingAfterBreak="0">
    <w:nsid w:val="0F847706"/>
    <w:multiLevelType w:val="hybridMultilevel"/>
    <w:tmpl w:val="F7A03AEA"/>
    <w:lvl w:ilvl="0" w:tplc="C64E36A0">
      <w:start w:val="1"/>
      <w:numFmt w:val="bullet"/>
      <w:pStyle w:val="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6" w15:restartNumberingAfterBreak="0">
    <w:nsid w:val="13CC1E64"/>
    <w:multiLevelType w:val="multilevel"/>
    <w:tmpl w:val="187EE1A6"/>
    <w:styleLink w:val="CurrentList3"/>
    <w:lvl w:ilvl="0">
      <w:start w:val="1"/>
      <w:numFmt w:val="decimal"/>
      <w:lvlText w:val="Proposal %1"/>
      <w:lvlJc w:val="left"/>
      <w:pPr>
        <w:tabs>
          <w:tab w:val="num" w:pos="1304"/>
        </w:tabs>
        <w:ind w:left="1304" w:hanging="1304"/>
      </w:pPr>
      <w:rPr>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7" w15:restartNumberingAfterBreak="0">
    <w:nsid w:val="1D4E6604"/>
    <w:multiLevelType w:val="hybridMultilevel"/>
    <w:tmpl w:val="52FCF676"/>
    <w:lvl w:ilvl="0" w:tplc="C108EC3C">
      <w:start w:val="4"/>
      <w:numFmt w:val="bullet"/>
      <w:lvlText w:val="-"/>
      <w:lvlJc w:val="left"/>
      <w:pPr>
        <w:ind w:left="927" w:hanging="360"/>
      </w:pPr>
      <w:rPr>
        <w:rFonts w:ascii="Times New Roman" w:eastAsia="맑은 고딕" w:hAnsi="Times New Roman" w:cs="Times New Roman" w:hint="default"/>
      </w:rPr>
    </w:lvl>
    <w:lvl w:ilvl="1" w:tplc="0409000D">
      <w:start w:val="1"/>
      <w:numFmt w:val="bullet"/>
      <w:lvlText w:val=""/>
      <w:lvlJc w:val="left"/>
      <w:pPr>
        <w:ind w:left="1367" w:hanging="400"/>
      </w:pPr>
      <w:rPr>
        <w:rFonts w:ascii="Wingdings" w:hAnsi="Wingdings" w:hint="default"/>
      </w:rPr>
    </w:lvl>
    <w:lvl w:ilvl="2" w:tplc="04090005" w:tentative="1">
      <w:start w:val="1"/>
      <w:numFmt w:val="bullet"/>
      <w:lvlText w:val=""/>
      <w:lvlJc w:val="left"/>
      <w:pPr>
        <w:ind w:left="1767" w:hanging="400"/>
      </w:pPr>
      <w:rPr>
        <w:rFonts w:ascii="Wingdings" w:hAnsi="Wingdings" w:hint="default"/>
      </w:rPr>
    </w:lvl>
    <w:lvl w:ilvl="3" w:tplc="04090001" w:tentative="1">
      <w:start w:val="1"/>
      <w:numFmt w:val="bullet"/>
      <w:lvlText w:val=""/>
      <w:lvlJc w:val="left"/>
      <w:pPr>
        <w:ind w:left="2167" w:hanging="400"/>
      </w:pPr>
      <w:rPr>
        <w:rFonts w:ascii="Wingdings" w:hAnsi="Wingdings" w:hint="default"/>
      </w:rPr>
    </w:lvl>
    <w:lvl w:ilvl="4" w:tplc="04090003" w:tentative="1">
      <w:start w:val="1"/>
      <w:numFmt w:val="bullet"/>
      <w:lvlText w:val=""/>
      <w:lvlJc w:val="left"/>
      <w:pPr>
        <w:ind w:left="2567" w:hanging="400"/>
      </w:pPr>
      <w:rPr>
        <w:rFonts w:ascii="Wingdings" w:hAnsi="Wingdings" w:hint="default"/>
      </w:rPr>
    </w:lvl>
    <w:lvl w:ilvl="5" w:tplc="04090005" w:tentative="1">
      <w:start w:val="1"/>
      <w:numFmt w:val="bullet"/>
      <w:lvlText w:val=""/>
      <w:lvlJc w:val="left"/>
      <w:pPr>
        <w:ind w:left="2967" w:hanging="400"/>
      </w:pPr>
      <w:rPr>
        <w:rFonts w:ascii="Wingdings" w:hAnsi="Wingdings" w:hint="default"/>
      </w:rPr>
    </w:lvl>
    <w:lvl w:ilvl="6" w:tplc="04090001" w:tentative="1">
      <w:start w:val="1"/>
      <w:numFmt w:val="bullet"/>
      <w:lvlText w:val=""/>
      <w:lvlJc w:val="left"/>
      <w:pPr>
        <w:ind w:left="3367" w:hanging="400"/>
      </w:pPr>
      <w:rPr>
        <w:rFonts w:ascii="Wingdings" w:hAnsi="Wingdings" w:hint="default"/>
      </w:rPr>
    </w:lvl>
    <w:lvl w:ilvl="7" w:tplc="04090003" w:tentative="1">
      <w:start w:val="1"/>
      <w:numFmt w:val="bullet"/>
      <w:lvlText w:val=""/>
      <w:lvlJc w:val="left"/>
      <w:pPr>
        <w:ind w:left="3767" w:hanging="400"/>
      </w:pPr>
      <w:rPr>
        <w:rFonts w:ascii="Wingdings" w:hAnsi="Wingdings" w:hint="default"/>
      </w:rPr>
    </w:lvl>
    <w:lvl w:ilvl="8" w:tplc="04090005" w:tentative="1">
      <w:start w:val="1"/>
      <w:numFmt w:val="bullet"/>
      <w:lvlText w:val=""/>
      <w:lvlJc w:val="left"/>
      <w:pPr>
        <w:ind w:left="4167" w:hanging="400"/>
      </w:pPr>
      <w:rPr>
        <w:rFonts w:ascii="Wingdings" w:hAnsi="Wingdings" w:hint="default"/>
      </w:rPr>
    </w:lvl>
  </w:abstractNum>
  <w:abstractNum w:abstractNumId="8" w15:restartNumberingAfterBreak="0">
    <w:nsid w:val="20396CDA"/>
    <w:multiLevelType w:val="hybridMultilevel"/>
    <w:tmpl w:val="73A86B6A"/>
    <w:lvl w:ilvl="0" w:tplc="8EB4F316">
      <w:start w:val="1"/>
      <w:numFmt w:val="bullet"/>
      <w:pStyle w:val="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9" w15:restartNumberingAfterBreak="0">
    <w:nsid w:val="23FE7693"/>
    <w:multiLevelType w:val="hybridMultilevel"/>
    <w:tmpl w:val="19A88032"/>
    <w:lvl w:ilvl="0" w:tplc="69BA7F16">
      <w:start w:val="1"/>
      <w:numFmt w:val="decimal"/>
      <w:lvlText w:val="Observation %1"/>
      <w:lvlJc w:val="left"/>
      <w:pPr>
        <w:ind w:left="0" w:firstLine="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51E3A9E"/>
    <w:multiLevelType w:val="hybridMultilevel"/>
    <w:tmpl w:val="DDDE52AE"/>
    <w:lvl w:ilvl="0" w:tplc="47F056DC">
      <w:start w:val="1"/>
      <w:numFmt w:val="decimal"/>
      <w:lvlText w:val="Observation %1:"/>
      <w:lvlJc w:val="left"/>
      <w:pPr>
        <w:tabs>
          <w:tab w:val="num" w:pos="1474"/>
        </w:tabs>
        <w:ind w:left="1474" w:hanging="1474"/>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75A7442"/>
    <w:multiLevelType w:val="hybridMultilevel"/>
    <w:tmpl w:val="ABBCF162"/>
    <w:lvl w:ilvl="0" w:tplc="39B093EC">
      <w:start w:val="1"/>
      <w:numFmt w:val="bullet"/>
      <w:pStyle w:val="30"/>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2" w15:restartNumberingAfterBreak="0">
    <w:nsid w:val="29DD3BB5"/>
    <w:multiLevelType w:val="hybridMultilevel"/>
    <w:tmpl w:val="87508658"/>
    <w:lvl w:ilvl="0" w:tplc="029C9C72">
      <w:start w:val="1"/>
      <w:numFmt w:val="bullet"/>
      <w:lvlText w:val="•"/>
      <w:lvlJc w:val="left"/>
      <w:pPr>
        <w:ind w:left="800" w:hanging="400"/>
      </w:pPr>
      <w:rPr>
        <w:rFonts w:ascii="Arial" w:hAnsi="Aria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 w15:restartNumberingAfterBreak="0">
    <w:nsid w:val="335E58A4"/>
    <w:multiLevelType w:val="multilevel"/>
    <w:tmpl w:val="78B2BC9C"/>
    <w:styleLink w:val="CurrentList1"/>
    <w:lvl w:ilvl="0">
      <w:start w:val="1"/>
      <w:numFmt w:val="decimal"/>
      <w:lvlText w:val="Observation %1:"/>
      <w:lvlJc w:val="left"/>
      <w:pPr>
        <w:ind w:left="720" w:hanging="360"/>
      </w:pPr>
      <w:rPr>
        <w:rFonts w:hint="default"/>
        <w:b/>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33EA44FF"/>
    <w:multiLevelType w:val="hybridMultilevel"/>
    <w:tmpl w:val="729408FE"/>
    <w:lvl w:ilvl="0" w:tplc="B01460A0">
      <w:start w:val="1"/>
      <w:numFmt w:val="decimal"/>
      <w:pStyle w:val="a"/>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5" w15:restartNumberingAfterBreak="0">
    <w:nsid w:val="39EB3108"/>
    <w:multiLevelType w:val="multilevel"/>
    <w:tmpl w:val="041D0025"/>
    <w:lvl w:ilvl="0">
      <w:start w:val="1"/>
      <w:numFmt w:val="decimal"/>
      <w:pStyle w:val="1"/>
      <w:lvlText w:val="%1"/>
      <w:lvlJc w:val="left"/>
      <w:pPr>
        <w:ind w:left="432" w:hanging="432"/>
      </w:pPr>
    </w:lvl>
    <w:lvl w:ilvl="1">
      <w:start w:val="1"/>
      <w:numFmt w:val="decimal"/>
      <w:pStyle w:val="20"/>
      <w:lvlText w:val="%1.%2"/>
      <w:lvlJc w:val="left"/>
      <w:pPr>
        <w:ind w:left="2845" w:hanging="576"/>
      </w:pPr>
    </w:lvl>
    <w:lvl w:ilvl="2">
      <w:start w:val="1"/>
      <w:numFmt w:val="decimal"/>
      <w:pStyle w:val="31"/>
      <w:lvlText w:val="%1.%2.%3"/>
      <w:lvlJc w:val="left"/>
      <w:pPr>
        <w:ind w:left="720" w:hanging="720"/>
      </w:pPr>
    </w:lvl>
    <w:lvl w:ilvl="3">
      <w:start w:val="1"/>
      <w:numFmt w:val="decimal"/>
      <w:pStyle w:val="40"/>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16" w15:restartNumberingAfterBreak="0">
    <w:nsid w:val="3AA46647"/>
    <w:multiLevelType w:val="hybridMultilevel"/>
    <w:tmpl w:val="751C42D6"/>
    <w:lvl w:ilvl="0" w:tplc="8C60D4EE">
      <w:start w:val="1"/>
      <w:numFmt w:val="decimal"/>
      <w:pStyle w:val="Proposal"/>
      <w:lvlText w:val="Proposal %1"/>
      <w:lvlJc w:val="left"/>
      <w:pPr>
        <w:tabs>
          <w:tab w:val="num" w:pos="1304"/>
        </w:tabs>
        <w:ind w:left="1304" w:hanging="1304"/>
      </w:pPr>
      <w:rPr>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3D5D4AAD"/>
    <w:multiLevelType w:val="multilevel"/>
    <w:tmpl w:val="36360620"/>
    <w:lvl w:ilvl="0">
      <w:start w:val="1"/>
      <w:numFmt w:val="bullet"/>
      <w:lvlText w:val="o"/>
      <w:lvlJc w:val="left"/>
      <w:pPr>
        <w:tabs>
          <w:tab w:val="num" w:pos="720"/>
        </w:tabs>
        <w:ind w:left="720" w:hanging="360"/>
      </w:pPr>
      <w:rPr>
        <w:rFonts w:ascii="Courier New" w:hAnsi="Courier New" w:hint="default"/>
        <w:sz w:val="20"/>
      </w:rPr>
    </w:lvl>
    <w:lvl w:ilvl="1">
      <w:numFmt w:val="bullet"/>
      <w:lvlText w:val=""/>
      <w:lvlJc w:val="left"/>
      <w:pPr>
        <w:tabs>
          <w:tab w:val="num" w:pos="1440"/>
        </w:tabs>
        <w:ind w:left="1440" w:hanging="360"/>
      </w:pPr>
      <w:rPr>
        <w:rFonts w:ascii="Symbol" w:hAnsi="Symbol" w:hint="default"/>
        <w:sz w:val="20"/>
      </w:rPr>
    </w:lvl>
    <w:lvl w:ilvl="2" w:tentative="1">
      <w:numFmt w:val="bullet"/>
      <w:lvlText w:val="o"/>
      <w:lvlJc w:val="left"/>
      <w:pPr>
        <w:tabs>
          <w:tab w:val="num" w:pos="2160"/>
        </w:tabs>
        <w:ind w:left="2160" w:hanging="360"/>
      </w:pPr>
      <w:rPr>
        <w:rFonts w:ascii="Courier New" w:hAnsi="Courier New" w:hint="default"/>
        <w:sz w:val="20"/>
      </w:rPr>
    </w:lvl>
    <w:lvl w:ilvl="3" w:tentative="1">
      <w:numFmt w:val="bullet"/>
      <w:lvlText w:val="o"/>
      <w:lvlJc w:val="left"/>
      <w:pPr>
        <w:tabs>
          <w:tab w:val="num" w:pos="2880"/>
        </w:tabs>
        <w:ind w:left="2880" w:hanging="360"/>
      </w:pPr>
      <w:rPr>
        <w:rFonts w:ascii="Courier New" w:hAnsi="Courier New" w:hint="default"/>
        <w:sz w:val="20"/>
      </w:rPr>
    </w:lvl>
    <w:lvl w:ilvl="4" w:tentative="1">
      <w:numFmt w:val="bullet"/>
      <w:lvlText w:val="o"/>
      <w:lvlJc w:val="left"/>
      <w:pPr>
        <w:tabs>
          <w:tab w:val="num" w:pos="3600"/>
        </w:tabs>
        <w:ind w:left="3600" w:hanging="360"/>
      </w:pPr>
      <w:rPr>
        <w:rFonts w:ascii="Courier New" w:hAnsi="Courier New" w:hint="default"/>
        <w:sz w:val="20"/>
      </w:rPr>
    </w:lvl>
    <w:lvl w:ilvl="5" w:tentative="1">
      <w:numFmt w:val="bullet"/>
      <w:lvlText w:val="o"/>
      <w:lvlJc w:val="left"/>
      <w:pPr>
        <w:tabs>
          <w:tab w:val="num" w:pos="4320"/>
        </w:tabs>
        <w:ind w:left="4320" w:hanging="360"/>
      </w:pPr>
      <w:rPr>
        <w:rFonts w:ascii="Courier New" w:hAnsi="Courier New" w:hint="default"/>
        <w:sz w:val="20"/>
      </w:rPr>
    </w:lvl>
    <w:lvl w:ilvl="6" w:tentative="1">
      <w:numFmt w:val="bullet"/>
      <w:lvlText w:val="o"/>
      <w:lvlJc w:val="left"/>
      <w:pPr>
        <w:tabs>
          <w:tab w:val="num" w:pos="5040"/>
        </w:tabs>
        <w:ind w:left="5040" w:hanging="360"/>
      </w:pPr>
      <w:rPr>
        <w:rFonts w:ascii="Courier New" w:hAnsi="Courier New" w:hint="default"/>
        <w:sz w:val="20"/>
      </w:rPr>
    </w:lvl>
    <w:lvl w:ilvl="7" w:tentative="1">
      <w:numFmt w:val="bullet"/>
      <w:lvlText w:val="o"/>
      <w:lvlJc w:val="left"/>
      <w:pPr>
        <w:tabs>
          <w:tab w:val="num" w:pos="5760"/>
        </w:tabs>
        <w:ind w:left="5760" w:hanging="360"/>
      </w:pPr>
      <w:rPr>
        <w:rFonts w:ascii="Courier New" w:hAnsi="Courier New" w:hint="default"/>
        <w:sz w:val="20"/>
      </w:rPr>
    </w:lvl>
    <w:lvl w:ilvl="8" w:tentative="1">
      <w:numFmt w:val="bullet"/>
      <w:lvlText w:val="o"/>
      <w:lvlJc w:val="left"/>
      <w:pPr>
        <w:tabs>
          <w:tab w:val="num" w:pos="6480"/>
        </w:tabs>
        <w:ind w:left="6480" w:hanging="360"/>
      </w:pPr>
      <w:rPr>
        <w:rFonts w:ascii="Courier New" w:hAnsi="Courier New" w:hint="default"/>
        <w:sz w:val="20"/>
      </w:rPr>
    </w:lvl>
  </w:abstractNum>
  <w:abstractNum w:abstractNumId="18" w15:restartNumberingAfterBreak="0">
    <w:nsid w:val="41B32233"/>
    <w:multiLevelType w:val="multilevel"/>
    <w:tmpl w:val="21623696"/>
    <w:styleLink w:val="CurrentList2"/>
    <w:lvl w:ilvl="0">
      <w:start w:val="1"/>
      <w:numFmt w:val="decimal"/>
      <w:lvlText w:val="Observation %1:"/>
      <w:lvlJc w:val="left"/>
      <w:pPr>
        <w:ind w:left="0" w:firstLine="0"/>
      </w:pPr>
      <w:rPr>
        <w:rFonts w:hint="default"/>
        <w:b/>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474602D0"/>
    <w:multiLevelType w:val="multilevel"/>
    <w:tmpl w:val="C9762B1C"/>
    <w:styleLink w:val="CurrentList6"/>
    <w:lvl w:ilvl="0">
      <w:start w:val="1"/>
      <w:numFmt w:val="decimal"/>
      <w:lvlText w:val="Observation %1:"/>
      <w:lvlJc w:val="left"/>
      <w:pPr>
        <w:tabs>
          <w:tab w:val="num" w:pos="1304"/>
        </w:tabs>
        <w:ind w:left="1304" w:hanging="1304"/>
      </w:pPr>
      <w:rPr>
        <w:rFonts w:hint="default"/>
        <w:b/>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4E0552D5"/>
    <w:multiLevelType w:val="multilevel"/>
    <w:tmpl w:val="1C703B1E"/>
    <w:styleLink w:val="CurrentList5"/>
    <w:lvl w:ilvl="0">
      <w:start w:val="1"/>
      <w:numFmt w:val="decimal"/>
      <w:lvlText w:val="Observation %1:"/>
      <w:lvlJc w:val="left"/>
      <w:pPr>
        <w:ind w:left="720" w:hanging="360"/>
      </w:pPr>
      <w:rPr>
        <w:rFonts w:hint="default"/>
        <w:b/>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5101505E"/>
    <w:multiLevelType w:val="hybridMultilevel"/>
    <w:tmpl w:val="DFD47CC0"/>
    <w:lvl w:ilvl="0" w:tplc="6EF05DB2">
      <w:start w:val="1"/>
      <w:numFmt w:val="decimal"/>
      <w:pStyle w:val="Observation"/>
      <w:lvlText w:val="Observation %1"/>
      <w:lvlJc w:val="left"/>
      <w:pPr>
        <w:ind w:left="1656" w:hanging="360"/>
      </w:pPr>
      <w:rPr>
        <w:rFonts w:hint="default"/>
      </w:rPr>
    </w:lvl>
    <w:lvl w:ilvl="1" w:tplc="04090019" w:tentative="1">
      <w:start w:val="1"/>
      <w:numFmt w:val="lowerLetter"/>
      <w:lvlText w:val="%2."/>
      <w:lvlJc w:val="left"/>
      <w:pPr>
        <w:ind w:left="2736" w:hanging="360"/>
      </w:pPr>
    </w:lvl>
    <w:lvl w:ilvl="2" w:tplc="0409001B" w:tentative="1">
      <w:start w:val="1"/>
      <w:numFmt w:val="lowerRoman"/>
      <w:lvlText w:val="%3."/>
      <w:lvlJc w:val="right"/>
      <w:pPr>
        <w:ind w:left="3456" w:hanging="180"/>
      </w:pPr>
    </w:lvl>
    <w:lvl w:ilvl="3" w:tplc="0409000F" w:tentative="1">
      <w:start w:val="1"/>
      <w:numFmt w:val="decimal"/>
      <w:lvlText w:val="%4."/>
      <w:lvlJc w:val="left"/>
      <w:pPr>
        <w:ind w:left="4176" w:hanging="360"/>
      </w:pPr>
    </w:lvl>
    <w:lvl w:ilvl="4" w:tplc="04090019" w:tentative="1">
      <w:start w:val="1"/>
      <w:numFmt w:val="lowerLetter"/>
      <w:lvlText w:val="%5."/>
      <w:lvlJc w:val="left"/>
      <w:pPr>
        <w:ind w:left="4896" w:hanging="360"/>
      </w:pPr>
    </w:lvl>
    <w:lvl w:ilvl="5" w:tplc="0409001B" w:tentative="1">
      <w:start w:val="1"/>
      <w:numFmt w:val="lowerRoman"/>
      <w:lvlText w:val="%6."/>
      <w:lvlJc w:val="right"/>
      <w:pPr>
        <w:ind w:left="5616" w:hanging="180"/>
      </w:pPr>
    </w:lvl>
    <w:lvl w:ilvl="6" w:tplc="0409000F" w:tentative="1">
      <w:start w:val="1"/>
      <w:numFmt w:val="decimal"/>
      <w:lvlText w:val="%7."/>
      <w:lvlJc w:val="left"/>
      <w:pPr>
        <w:ind w:left="6336" w:hanging="360"/>
      </w:pPr>
    </w:lvl>
    <w:lvl w:ilvl="7" w:tplc="04090019" w:tentative="1">
      <w:start w:val="1"/>
      <w:numFmt w:val="lowerLetter"/>
      <w:lvlText w:val="%8."/>
      <w:lvlJc w:val="left"/>
      <w:pPr>
        <w:ind w:left="7056" w:hanging="360"/>
      </w:pPr>
    </w:lvl>
    <w:lvl w:ilvl="8" w:tplc="0409001B" w:tentative="1">
      <w:start w:val="1"/>
      <w:numFmt w:val="lowerRoman"/>
      <w:lvlText w:val="%9."/>
      <w:lvlJc w:val="right"/>
      <w:pPr>
        <w:ind w:left="7776" w:hanging="180"/>
      </w:pPr>
    </w:lvl>
  </w:abstractNum>
  <w:abstractNum w:abstractNumId="23"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5BDE1D10"/>
    <w:multiLevelType w:val="hybridMultilevel"/>
    <w:tmpl w:val="3C26D980"/>
    <w:lvl w:ilvl="0" w:tplc="6FC42CD0">
      <w:start w:val="1"/>
      <w:numFmt w:val="bullet"/>
      <w:pStyle w:val="a0"/>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5" w15:restartNumberingAfterBreak="0">
    <w:nsid w:val="61EA233E"/>
    <w:multiLevelType w:val="hybridMultilevel"/>
    <w:tmpl w:val="D1EE2980"/>
    <w:lvl w:ilvl="0" w:tplc="62C471F2">
      <w:start w:val="1"/>
      <w:numFmt w:val="decimal"/>
      <w:lvlText w:val="Observation %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65594D46"/>
    <w:multiLevelType w:val="multilevel"/>
    <w:tmpl w:val="187EE1A6"/>
    <w:styleLink w:val="CurrentList4"/>
    <w:lvl w:ilvl="0">
      <w:start w:val="1"/>
      <w:numFmt w:val="decimal"/>
      <w:lvlText w:val="Proposal %1"/>
      <w:lvlJc w:val="left"/>
      <w:pPr>
        <w:tabs>
          <w:tab w:val="num" w:pos="1304"/>
        </w:tabs>
        <w:ind w:left="1304" w:hanging="1304"/>
      </w:pPr>
      <w:rPr>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7" w15:restartNumberingAfterBreak="0">
    <w:nsid w:val="6E4C234E"/>
    <w:multiLevelType w:val="hybridMultilevel"/>
    <w:tmpl w:val="43FEDB14"/>
    <w:lvl w:ilvl="0" w:tplc="80C2FDE0">
      <w:start w:val="1"/>
      <w:numFmt w:val="lowerLetter"/>
      <w:pStyle w:val="21"/>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28" w15:restartNumberingAfterBreak="0">
    <w:nsid w:val="74FF1CEA"/>
    <w:multiLevelType w:val="hybridMultilevel"/>
    <w:tmpl w:val="C91A7F02"/>
    <w:lvl w:ilvl="0" w:tplc="B644CE60">
      <w:start w:val="1"/>
      <w:numFmt w:val="bullet"/>
      <w:pStyle w:val="50"/>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num w:numId="1">
    <w:abstractNumId w:val="20"/>
  </w:num>
  <w:num w:numId="2">
    <w:abstractNumId w:val="16"/>
  </w:num>
  <w:num w:numId="3">
    <w:abstractNumId w:val="0"/>
  </w:num>
  <w:num w:numId="4">
    <w:abstractNumId w:val="22"/>
  </w:num>
  <w:num w:numId="5">
    <w:abstractNumId w:val="23"/>
  </w:num>
  <w:num w:numId="6">
    <w:abstractNumId w:val="24"/>
  </w:num>
  <w:num w:numId="7">
    <w:abstractNumId w:val="8"/>
  </w:num>
  <w:num w:numId="8">
    <w:abstractNumId w:val="11"/>
  </w:num>
  <w:num w:numId="9">
    <w:abstractNumId w:val="5"/>
  </w:num>
  <w:num w:numId="10">
    <w:abstractNumId w:val="28"/>
  </w:num>
  <w:num w:numId="11">
    <w:abstractNumId w:val="14"/>
  </w:num>
  <w:num w:numId="12">
    <w:abstractNumId w:val="27"/>
  </w:num>
  <w:num w:numId="13">
    <w:abstractNumId w:val="15"/>
  </w:num>
  <w:num w:numId="14">
    <w:abstractNumId w:val="7"/>
  </w:num>
  <w:num w:numId="15">
    <w:abstractNumId w:val="12"/>
  </w:num>
  <w:num w:numId="16">
    <w:abstractNumId w:val="17"/>
  </w:num>
  <w:num w:numId="17">
    <w:abstractNumId w:val="20"/>
  </w:num>
  <w:num w:numId="18">
    <w:abstractNumId w:val="4"/>
  </w:num>
  <w:num w:numId="19">
    <w:abstractNumId w:val="9"/>
  </w:num>
  <w:num w:numId="20">
    <w:abstractNumId w:val="13"/>
  </w:num>
  <w:num w:numId="21">
    <w:abstractNumId w:val="18"/>
  </w:num>
  <w:num w:numId="22">
    <w:abstractNumId w:val="6"/>
  </w:num>
  <w:num w:numId="23">
    <w:abstractNumId w:val="1"/>
  </w:num>
  <w:num w:numId="24">
    <w:abstractNumId w:val="2"/>
  </w:num>
  <w:num w:numId="25">
    <w:abstractNumId w:val="3"/>
  </w:num>
  <w:num w:numId="26">
    <w:abstractNumId w:val="25"/>
  </w:num>
  <w:num w:numId="27">
    <w:abstractNumId w:val="16"/>
  </w:num>
  <w:num w:numId="28">
    <w:abstractNumId w:val="26"/>
  </w:num>
  <w:num w:numId="29">
    <w:abstractNumId w:val="10"/>
  </w:num>
  <w:num w:numId="30">
    <w:abstractNumId w:val="21"/>
  </w:num>
  <w:num w:numId="31">
    <w:abstractNumId w:val="19"/>
  </w:num>
  <w:num w:numId="32">
    <w:abstractNumId w:val="16"/>
    <w:lvlOverride w:ilvl="0">
      <w:startOverride w:val="1"/>
    </w:lvlOverride>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removePersonalInformation/>
  <w:removeDateAndTime/>
  <w:printFractionalCharacterWidth/>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activeWritingStyle w:appName="MSWord" w:lang="sv-SE" w:vendorID="64" w:dllVersion="0" w:nlCheck="1" w:checkStyle="0"/>
  <w:activeWritingStyle w:appName="MSWord" w:lang="fr-CA" w:vendorID="64" w:dllVersion="0" w:nlCheck="1" w:checkStyle="0"/>
  <w:activeWritingStyle w:appName="MSWord" w:lang="en-CA" w:vendorID="64" w:dllVersion="0" w:nlCheck="1" w:checkStyle="0"/>
  <w:activeWritingStyle w:appName="MSWord" w:lang="en-CA" w:vendorID="64" w:dllVersion="6" w:nlCheck="1" w:checkStyle="1"/>
  <w:activeWritingStyle w:appName="MSWord" w:lang="ko-KR" w:vendorID="64" w:dllVersion="5" w:nlCheck="1" w:checkStyle="1"/>
  <w:activeWritingStyle w:appName="MSWord" w:lang="en-US" w:vendorID="64" w:dllVersion="131078" w:nlCheck="1" w:checkStyle="1"/>
  <w:activeWritingStyle w:appName="MSWord" w:lang="en-GB" w:vendorID="64" w:dllVersion="131078" w:nlCheck="1" w:checkStyle="1"/>
  <w:activeWritingStyle w:appName="MSWord" w:lang="en-CA" w:vendorID="64" w:dllVersion="131078" w:nlCheck="1" w:checkStyle="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713D8"/>
    <w:rsid w:val="0000029C"/>
    <w:rsid w:val="000006E1"/>
    <w:rsid w:val="00000794"/>
    <w:rsid w:val="000025F3"/>
    <w:rsid w:val="000027FF"/>
    <w:rsid w:val="00002A37"/>
    <w:rsid w:val="00002AC8"/>
    <w:rsid w:val="00003D92"/>
    <w:rsid w:val="0000401D"/>
    <w:rsid w:val="0000412A"/>
    <w:rsid w:val="0000564C"/>
    <w:rsid w:val="00006446"/>
    <w:rsid w:val="00006571"/>
    <w:rsid w:val="00006896"/>
    <w:rsid w:val="000075A8"/>
    <w:rsid w:val="00007CDC"/>
    <w:rsid w:val="00010625"/>
    <w:rsid w:val="000106D5"/>
    <w:rsid w:val="00010806"/>
    <w:rsid w:val="00010C75"/>
    <w:rsid w:val="000112BC"/>
    <w:rsid w:val="00011B28"/>
    <w:rsid w:val="000121ED"/>
    <w:rsid w:val="00012325"/>
    <w:rsid w:val="00013AD0"/>
    <w:rsid w:val="00015424"/>
    <w:rsid w:val="00015718"/>
    <w:rsid w:val="00015D15"/>
    <w:rsid w:val="00016414"/>
    <w:rsid w:val="000168D8"/>
    <w:rsid w:val="00017E09"/>
    <w:rsid w:val="00021341"/>
    <w:rsid w:val="00021F86"/>
    <w:rsid w:val="00022008"/>
    <w:rsid w:val="0002357D"/>
    <w:rsid w:val="0002363C"/>
    <w:rsid w:val="000242AF"/>
    <w:rsid w:val="00024B50"/>
    <w:rsid w:val="00024DD6"/>
    <w:rsid w:val="0002564D"/>
    <w:rsid w:val="00025ECA"/>
    <w:rsid w:val="00026C90"/>
    <w:rsid w:val="000277BD"/>
    <w:rsid w:val="000306CB"/>
    <w:rsid w:val="000311FE"/>
    <w:rsid w:val="00031550"/>
    <w:rsid w:val="000325B8"/>
    <w:rsid w:val="000337AC"/>
    <w:rsid w:val="0003444C"/>
    <w:rsid w:val="00034AC7"/>
    <w:rsid w:val="00034C15"/>
    <w:rsid w:val="00034D97"/>
    <w:rsid w:val="00035F24"/>
    <w:rsid w:val="000361B2"/>
    <w:rsid w:val="00036BA1"/>
    <w:rsid w:val="000405E1"/>
    <w:rsid w:val="00040E5A"/>
    <w:rsid w:val="000422E2"/>
    <w:rsid w:val="00042F22"/>
    <w:rsid w:val="000442CD"/>
    <w:rsid w:val="000444EF"/>
    <w:rsid w:val="00044BAA"/>
    <w:rsid w:val="00046142"/>
    <w:rsid w:val="00046387"/>
    <w:rsid w:val="000471AD"/>
    <w:rsid w:val="00047BBF"/>
    <w:rsid w:val="000500F0"/>
    <w:rsid w:val="000501C0"/>
    <w:rsid w:val="00050568"/>
    <w:rsid w:val="00050E8F"/>
    <w:rsid w:val="00051462"/>
    <w:rsid w:val="000514D9"/>
    <w:rsid w:val="0005195C"/>
    <w:rsid w:val="00052615"/>
    <w:rsid w:val="00052A07"/>
    <w:rsid w:val="000534E3"/>
    <w:rsid w:val="00053BBE"/>
    <w:rsid w:val="00053E67"/>
    <w:rsid w:val="0005516C"/>
    <w:rsid w:val="00055C58"/>
    <w:rsid w:val="0005606A"/>
    <w:rsid w:val="00056A50"/>
    <w:rsid w:val="00056FC9"/>
    <w:rsid w:val="00057117"/>
    <w:rsid w:val="00057129"/>
    <w:rsid w:val="0005719E"/>
    <w:rsid w:val="00057531"/>
    <w:rsid w:val="000604B0"/>
    <w:rsid w:val="00060870"/>
    <w:rsid w:val="00060E1A"/>
    <w:rsid w:val="000616E7"/>
    <w:rsid w:val="00062EEC"/>
    <w:rsid w:val="0006324F"/>
    <w:rsid w:val="000633C0"/>
    <w:rsid w:val="0006487E"/>
    <w:rsid w:val="00064956"/>
    <w:rsid w:val="00065BDC"/>
    <w:rsid w:val="00065C2E"/>
    <w:rsid w:val="00065E1A"/>
    <w:rsid w:val="000661CA"/>
    <w:rsid w:val="00070702"/>
    <w:rsid w:val="0007214B"/>
    <w:rsid w:val="00072DED"/>
    <w:rsid w:val="00073012"/>
    <w:rsid w:val="00073348"/>
    <w:rsid w:val="00073752"/>
    <w:rsid w:val="00074237"/>
    <w:rsid w:val="00074739"/>
    <w:rsid w:val="000747A2"/>
    <w:rsid w:val="00074893"/>
    <w:rsid w:val="00076110"/>
    <w:rsid w:val="0007614B"/>
    <w:rsid w:val="00077E31"/>
    <w:rsid w:val="00077E5F"/>
    <w:rsid w:val="0008036A"/>
    <w:rsid w:val="0008093B"/>
    <w:rsid w:val="000809C7"/>
    <w:rsid w:val="00081022"/>
    <w:rsid w:val="00081AE6"/>
    <w:rsid w:val="00082654"/>
    <w:rsid w:val="000855EB"/>
    <w:rsid w:val="00085B52"/>
    <w:rsid w:val="000866F2"/>
    <w:rsid w:val="00086BF7"/>
    <w:rsid w:val="00087459"/>
    <w:rsid w:val="00087A1B"/>
    <w:rsid w:val="0009009F"/>
    <w:rsid w:val="0009036C"/>
    <w:rsid w:val="00090A8A"/>
    <w:rsid w:val="00090BA9"/>
    <w:rsid w:val="00091090"/>
    <w:rsid w:val="00091557"/>
    <w:rsid w:val="0009230F"/>
    <w:rsid w:val="000924C1"/>
    <w:rsid w:val="000924F0"/>
    <w:rsid w:val="00092720"/>
    <w:rsid w:val="00092C37"/>
    <w:rsid w:val="00093474"/>
    <w:rsid w:val="00093BAD"/>
    <w:rsid w:val="000940A2"/>
    <w:rsid w:val="0009436F"/>
    <w:rsid w:val="00094AF8"/>
    <w:rsid w:val="00094F22"/>
    <w:rsid w:val="0009510F"/>
    <w:rsid w:val="00095361"/>
    <w:rsid w:val="000953DC"/>
    <w:rsid w:val="00095A5A"/>
    <w:rsid w:val="000960AF"/>
    <w:rsid w:val="00096B9F"/>
    <w:rsid w:val="00097AC8"/>
    <w:rsid w:val="00097D84"/>
    <w:rsid w:val="000A003E"/>
    <w:rsid w:val="000A080E"/>
    <w:rsid w:val="000A0B67"/>
    <w:rsid w:val="000A1248"/>
    <w:rsid w:val="000A1B7B"/>
    <w:rsid w:val="000A215C"/>
    <w:rsid w:val="000A2AC4"/>
    <w:rsid w:val="000A4039"/>
    <w:rsid w:val="000A4785"/>
    <w:rsid w:val="000A48C8"/>
    <w:rsid w:val="000A549A"/>
    <w:rsid w:val="000A56F2"/>
    <w:rsid w:val="000A5752"/>
    <w:rsid w:val="000A5788"/>
    <w:rsid w:val="000A57F1"/>
    <w:rsid w:val="000A5BAE"/>
    <w:rsid w:val="000A5FBA"/>
    <w:rsid w:val="000A6377"/>
    <w:rsid w:val="000A6953"/>
    <w:rsid w:val="000B0A6F"/>
    <w:rsid w:val="000B0DA3"/>
    <w:rsid w:val="000B0F55"/>
    <w:rsid w:val="000B145F"/>
    <w:rsid w:val="000B266F"/>
    <w:rsid w:val="000B2719"/>
    <w:rsid w:val="000B3A8F"/>
    <w:rsid w:val="000B3B8E"/>
    <w:rsid w:val="000B4409"/>
    <w:rsid w:val="000B4AB9"/>
    <w:rsid w:val="000B51B2"/>
    <w:rsid w:val="000B51C5"/>
    <w:rsid w:val="000B58C3"/>
    <w:rsid w:val="000B61E9"/>
    <w:rsid w:val="000C0AB1"/>
    <w:rsid w:val="000C0B2E"/>
    <w:rsid w:val="000C152F"/>
    <w:rsid w:val="000C165A"/>
    <w:rsid w:val="000C1AE3"/>
    <w:rsid w:val="000C2E19"/>
    <w:rsid w:val="000C3307"/>
    <w:rsid w:val="000C4F15"/>
    <w:rsid w:val="000C6F69"/>
    <w:rsid w:val="000C7858"/>
    <w:rsid w:val="000C7F91"/>
    <w:rsid w:val="000D0D07"/>
    <w:rsid w:val="000D1DD6"/>
    <w:rsid w:val="000D2EDC"/>
    <w:rsid w:val="000D3138"/>
    <w:rsid w:val="000D35BA"/>
    <w:rsid w:val="000D4797"/>
    <w:rsid w:val="000D5355"/>
    <w:rsid w:val="000D615A"/>
    <w:rsid w:val="000D67BF"/>
    <w:rsid w:val="000D73A4"/>
    <w:rsid w:val="000D7B02"/>
    <w:rsid w:val="000E0527"/>
    <w:rsid w:val="000E0574"/>
    <w:rsid w:val="000E1357"/>
    <w:rsid w:val="000E1420"/>
    <w:rsid w:val="000E1E92"/>
    <w:rsid w:val="000E212F"/>
    <w:rsid w:val="000E2CE7"/>
    <w:rsid w:val="000E4EA2"/>
    <w:rsid w:val="000E5204"/>
    <w:rsid w:val="000E6817"/>
    <w:rsid w:val="000E76AB"/>
    <w:rsid w:val="000F06D6"/>
    <w:rsid w:val="000F0EB1"/>
    <w:rsid w:val="000F1106"/>
    <w:rsid w:val="000F2136"/>
    <w:rsid w:val="000F2F30"/>
    <w:rsid w:val="000F2FEE"/>
    <w:rsid w:val="000F31C2"/>
    <w:rsid w:val="000F3BE9"/>
    <w:rsid w:val="000F3F6C"/>
    <w:rsid w:val="000F481A"/>
    <w:rsid w:val="000F4F21"/>
    <w:rsid w:val="000F505D"/>
    <w:rsid w:val="000F50C8"/>
    <w:rsid w:val="000F50FB"/>
    <w:rsid w:val="000F6000"/>
    <w:rsid w:val="000F6173"/>
    <w:rsid w:val="000F664D"/>
    <w:rsid w:val="000F6DF3"/>
    <w:rsid w:val="000F6F43"/>
    <w:rsid w:val="000F73D3"/>
    <w:rsid w:val="001005FF"/>
    <w:rsid w:val="0010139C"/>
    <w:rsid w:val="00101867"/>
    <w:rsid w:val="0010186F"/>
    <w:rsid w:val="001022C6"/>
    <w:rsid w:val="00102EE8"/>
    <w:rsid w:val="001031E7"/>
    <w:rsid w:val="001033FE"/>
    <w:rsid w:val="00104732"/>
    <w:rsid w:val="0010494D"/>
    <w:rsid w:val="0010577B"/>
    <w:rsid w:val="001062FB"/>
    <w:rsid w:val="001063E6"/>
    <w:rsid w:val="00106411"/>
    <w:rsid w:val="0010646D"/>
    <w:rsid w:val="001066CD"/>
    <w:rsid w:val="00112156"/>
    <w:rsid w:val="00113CF4"/>
    <w:rsid w:val="00114422"/>
    <w:rsid w:val="001144F1"/>
    <w:rsid w:val="001153EA"/>
    <w:rsid w:val="00115643"/>
    <w:rsid w:val="00116751"/>
    <w:rsid w:val="00116765"/>
    <w:rsid w:val="001178B6"/>
    <w:rsid w:val="00121725"/>
    <w:rsid w:val="001219F5"/>
    <w:rsid w:val="00121A20"/>
    <w:rsid w:val="00121CC7"/>
    <w:rsid w:val="00122E31"/>
    <w:rsid w:val="001234EF"/>
    <w:rsid w:val="0012377F"/>
    <w:rsid w:val="00123821"/>
    <w:rsid w:val="00123A79"/>
    <w:rsid w:val="00123D48"/>
    <w:rsid w:val="00124314"/>
    <w:rsid w:val="0012434F"/>
    <w:rsid w:val="00124BAC"/>
    <w:rsid w:val="00124CD6"/>
    <w:rsid w:val="001256DD"/>
    <w:rsid w:val="00125E5C"/>
    <w:rsid w:val="001268BD"/>
    <w:rsid w:val="00126B4A"/>
    <w:rsid w:val="0013036A"/>
    <w:rsid w:val="001305D3"/>
    <w:rsid w:val="00130A59"/>
    <w:rsid w:val="00130D26"/>
    <w:rsid w:val="001319D8"/>
    <w:rsid w:val="00131AAB"/>
    <w:rsid w:val="00131FA7"/>
    <w:rsid w:val="00132FD0"/>
    <w:rsid w:val="00133BCA"/>
    <w:rsid w:val="001344C0"/>
    <w:rsid w:val="001344D5"/>
    <w:rsid w:val="001346FA"/>
    <w:rsid w:val="00134D27"/>
    <w:rsid w:val="00135252"/>
    <w:rsid w:val="00135C2B"/>
    <w:rsid w:val="00136414"/>
    <w:rsid w:val="00136964"/>
    <w:rsid w:val="001376E5"/>
    <w:rsid w:val="00137AB5"/>
    <w:rsid w:val="00137F0B"/>
    <w:rsid w:val="00137F12"/>
    <w:rsid w:val="001401A2"/>
    <w:rsid w:val="0014059A"/>
    <w:rsid w:val="001406AF"/>
    <w:rsid w:val="001408B6"/>
    <w:rsid w:val="00140BC2"/>
    <w:rsid w:val="00141BE3"/>
    <w:rsid w:val="00141FDD"/>
    <w:rsid w:val="00142C64"/>
    <w:rsid w:val="00143597"/>
    <w:rsid w:val="00143EDF"/>
    <w:rsid w:val="00146179"/>
    <w:rsid w:val="001463D8"/>
    <w:rsid w:val="0014662D"/>
    <w:rsid w:val="00146A53"/>
    <w:rsid w:val="00146BBD"/>
    <w:rsid w:val="00147D51"/>
    <w:rsid w:val="001501AC"/>
    <w:rsid w:val="0015085C"/>
    <w:rsid w:val="00150939"/>
    <w:rsid w:val="00150F6E"/>
    <w:rsid w:val="001513F1"/>
    <w:rsid w:val="001519B6"/>
    <w:rsid w:val="00151E23"/>
    <w:rsid w:val="00151F12"/>
    <w:rsid w:val="001526E0"/>
    <w:rsid w:val="00152E0E"/>
    <w:rsid w:val="0015325C"/>
    <w:rsid w:val="00153DBE"/>
    <w:rsid w:val="00153E1E"/>
    <w:rsid w:val="001543D3"/>
    <w:rsid w:val="00154A26"/>
    <w:rsid w:val="001551B5"/>
    <w:rsid w:val="001560C0"/>
    <w:rsid w:val="00156A8F"/>
    <w:rsid w:val="00160ADE"/>
    <w:rsid w:val="001617E3"/>
    <w:rsid w:val="00161C5B"/>
    <w:rsid w:val="00163227"/>
    <w:rsid w:val="00164264"/>
    <w:rsid w:val="001659C1"/>
    <w:rsid w:val="001667C1"/>
    <w:rsid w:val="00172ACB"/>
    <w:rsid w:val="00173119"/>
    <w:rsid w:val="001733A8"/>
    <w:rsid w:val="00173A8E"/>
    <w:rsid w:val="00174992"/>
    <w:rsid w:val="0017502C"/>
    <w:rsid w:val="0017563C"/>
    <w:rsid w:val="001758AB"/>
    <w:rsid w:val="001758D7"/>
    <w:rsid w:val="001768B3"/>
    <w:rsid w:val="001805B6"/>
    <w:rsid w:val="0018062B"/>
    <w:rsid w:val="00180724"/>
    <w:rsid w:val="00180CF0"/>
    <w:rsid w:val="0018143F"/>
    <w:rsid w:val="0018165C"/>
    <w:rsid w:val="001816C0"/>
    <w:rsid w:val="00181EF5"/>
    <w:rsid w:val="00181EFA"/>
    <w:rsid w:val="00181FF8"/>
    <w:rsid w:val="00184BE5"/>
    <w:rsid w:val="001853DE"/>
    <w:rsid w:val="0018551A"/>
    <w:rsid w:val="0018568D"/>
    <w:rsid w:val="00186006"/>
    <w:rsid w:val="001863D4"/>
    <w:rsid w:val="00186AEF"/>
    <w:rsid w:val="001872D7"/>
    <w:rsid w:val="00190AC1"/>
    <w:rsid w:val="00190D3D"/>
    <w:rsid w:val="00191FD8"/>
    <w:rsid w:val="00192280"/>
    <w:rsid w:val="00192312"/>
    <w:rsid w:val="001923E7"/>
    <w:rsid w:val="0019341A"/>
    <w:rsid w:val="001934C4"/>
    <w:rsid w:val="00193625"/>
    <w:rsid w:val="0019425A"/>
    <w:rsid w:val="001943F4"/>
    <w:rsid w:val="00194949"/>
    <w:rsid w:val="001956C5"/>
    <w:rsid w:val="00195EF9"/>
    <w:rsid w:val="00196D2D"/>
    <w:rsid w:val="00196DBA"/>
    <w:rsid w:val="001971D6"/>
    <w:rsid w:val="001978FD"/>
    <w:rsid w:val="00197A65"/>
    <w:rsid w:val="00197DF9"/>
    <w:rsid w:val="001A0337"/>
    <w:rsid w:val="001A058D"/>
    <w:rsid w:val="001A12AC"/>
    <w:rsid w:val="001A1415"/>
    <w:rsid w:val="001A14BC"/>
    <w:rsid w:val="001A1987"/>
    <w:rsid w:val="001A1B45"/>
    <w:rsid w:val="001A1CD6"/>
    <w:rsid w:val="001A2564"/>
    <w:rsid w:val="001A4BA6"/>
    <w:rsid w:val="001A4D2F"/>
    <w:rsid w:val="001A575B"/>
    <w:rsid w:val="001A6173"/>
    <w:rsid w:val="001A68BD"/>
    <w:rsid w:val="001A697C"/>
    <w:rsid w:val="001A6CBA"/>
    <w:rsid w:val="001B0838"/>
    <w:rsid w:val="001B090E"/>
    <w:rsid w:val="001B0D97"/>
    <w:rsid w:val="001B1BC8"/>
    <w:rsid w:val="001B2BD2"/>
    <w:rsid w:val="001B3535"/>
    <w:rsid w:val="001B3E71"/>
    <w:rsid w:val="001B4E77"/>
    <w:rsid w:val="001B54FA"/>
    <w:rsid w:val="001B5A5D"/>
    <w:rsid w:val="001B5FD6"/>
    <w:rsid w:val="001B642D"/>
    <w:rsid w:val="001B6FC0"/>
    <w:rsid w:val="001B7593"/>
    <w:rsid w:val="001C0193"/>
    <w:rsid w:val="001C09A0"/>
    <w:rsid w:val="001C1C81"/>
    <w:rsid w:val="001C1CE5"/>
    <w:rsid w:val="001C349F"/>
    <w:rsid w:val="001C3B81"/>
    <w:rsid w:val="001C3D2A"/>
    <w:rsid w:val="001C5892"/>
    <w:rsid w:val="001C6E6A"/>
    <w:rsid w:val="001C7333"/>
    <w:rsid w:val="001C7545"/>
    <w:rsid w:val="001C7732"/>
    <w:rsid w:val="001C7AB8"/>
    <w:rsid w:val="001D00E0"/>
    <w:rsid w:val="001D258A"/>
    <w:rsid w:val="001D308E"/>
    <w:rsid w:val="001D3352"/>
    <w:rsid w:val="001D37C4"/>
    <w:rsid w:val="001D39E5"/>
    <w:rsid w:val="001D498B"/>
    <w:rsid w:val="001D4B72"/>
    <w:rsid w:val="001D4EBC"/>
    <w:rsid w:val="001D50FD"/>
    <w:rsid w:val="001D51BA"/>
    <w:rsid w:val="001D53E7"/>
    <w:rsid w:val="001D5C85"/>
    <w:rsid w:val="001D5E0D"/>
    <w:rsid w:val="001D6261"/>
    <w:rsid w:val="001D6342"/>
    <w:rsid w:val="001D6832"/>
    <w:rsid w:val="001D6C0C"/>
    <w:rsid w:val="001D6D53"/>
    <w:rsid w:val="001D6E57"/>
    <w:rsid w:val="001D75F7"/>
    <w:rsid w:val="001E05D9"/>
    <w:rsid w:val="001E189D"/>
    <w:rsid w:val="001E1942"/>
    <w:rsid w:val="001E2CB1"/>
    <w:rsid w:val="001E3DBF"/>
    <w:rsid w:val="001E57D5"/>
    <w:rsid w:val="001E58E2"/>
    <w:rsid w:val="001E5B62"/>
    <w:rsid w:val="001E5B96"/>
    <w:rsid w:val="001E6206"/>
    <w:rsid w:val="001E74EE"/>
    <w:rsid w:val="001E7AD0"/>
    <w:rsid w:val="001E7AED"/>
    <w:rsid w:val="001E7BD7"/>
    <w:rsid w:val="001F029E"/>
    <w:rsid w:val="001F1171"/>
    <w:rsid w:val="001F1536"/>
    <w:rsid w:val="001F2C44"/>
    <w:rsid w:val="001F38F8"/>
    <w:rsid w:val="001F3916"/>
    <w:rsid w:val="001F3CCF"/>
    <w:rsid w:val="001F54C5"/>
    <w:rsid w:val="001F5984"/>
    <w:rsid w:val="001F5D02"/>
    <w:rsid w:val="001F5D43"/>
    <w:rsid w:val="001F662C"/>
    <w:rsid w:val="001F6F16"/>
    <w:rsid w:val="001F7074"/>
    <w:rsid w:val="00200490"/>
    <w:rsid w:val="002019DE"/>
    <w:rsid w:val="00201F3A"/>
    <w:rsid w:val="002031D1"/>
    <w:rsid w:val="0020322A"/>
    <w:rsid w:val="0020392C"/>
    <w:rsid w:val="00203E47"/>
    <w:rsid w:val="00203F96"/>
    <w:rsid w:val="0020441F"/>
    <w:rsid w:val="00206852"/>
    <w:rsid w:val="002069B2"/>
    <w:rsid w:val="0020780C"/>
    <w:rsid w:val="00207FA3"/>
    <w:rsid w:val="00210868"/>
    <w:rsid w:val="00211056"/>
    <w:rsid w:val="002111BC"/>
    <w:rsid w:val="002124E0"/>
    <w:rsid w:val="00212EC5"/>
    <w:rsid w:val="00214174"/>
    <w:rsid w:val="002143B5"/>
    <w:rsid w:val="00214A81"/>
    <w:rsid w:val="00214DA8"/>
    <w:rsid w:val="00215423"/>
    <w:rsid w:val="0021563C"/>
    <w:rsid w:val="002158FA"/>
    <w:rsid w:val="002172A2"/>
    <w:rsid w:val="00217901"/>
    <w:rsid w:val="002179AC"/>
    <w:rsid w:val="002202AF"/>
    <w:rsid w:val="00220600"/>
    <w:rsid w:val="00220734"/>
    <w:rsid w:val="00220B58"/>
    <w:rsid w:val="002215C6"/>
    <w:rsid w:val="0022171E"/>
    <w:rsid w:val="00222251"/>
    <w:rsid w:val="002224DB"/>
    <w:rsid w:val="00223625"/>
    <w:rsid w:val="00223877"/>
    <w:rsid w:val="00223936"/>
    <w:rsid w:val="00223F56"/>
    <w:rsid w:val="00223FCB"/>
    <w:rsid w:val="0022472F"/>
    <w:rsid w:val="00224B42"/>
    <w:rsid w:val="002252C3"/>
    <w:rsid w:val="00225C54"/>
    <w:rsid w:val="00225CD8"/>
    <w:rsid w:val="00225DF8"/>
    <w:rsid w:val="0022674C"/>
    <w:rsid w:val="00226CCE"/>
    <w:rsid w:val="00230765"/>
    <w:rsid w:val="00230D18"/>
    <w:rsid w:val="00231096"/>
    <w:rsid w:val="00231362"/>
    <w:rsid w:val="002319E4"/>
    <w:rsid w:val="0023214D"/>
    <w:rsid w:val="0023259B"/>
    <w:rsid w:val="00232883"/>
    <w:rsid w:val="002329DB"/>
    <w:rsid w:val="002341DC"/>
    <w:rsid w:val="002344F9"/>
    <w:rsid w:val="00235632"/>
    <w:rsid w:val="00235872"/>
    <w:rsid w:val="00236F90"/>
    <w:rsid w:val="00237DF1"/>
    <w:rsid w:val="00240576"/>
    <w:rsid w:val="002411C1"/>
    <w:rsid w:val="00241559"/>
    <w:rsid w:val="00241B12"/>
    <w:rsid w:val="00242854"/>
    <w:rsid w:val="002435B3"/>
    <w:rsid w:val="002441DA"/>
    <w:rsid w:val="002441EF"/>
    <w:rsid w:val="00245227"/>
    <w:rsid w:val="002457A2"/>
    <w:rsid w:val="002458EB"/>
    <w:rsid w:val="00246A0B"/>
    <w:rsid w:val="00246E63"/>
    <w:rsid w:val="00247B9C"/>
    <w:rsid w:val="00247C58"/>
    <w:rsid w:val="002500C8"/>
    <w:rsid w:val="00250194"/>
    <w:rsid w:val="00250244"/>
    <w:rsid w:val="00252452"/>
    <w:rsid w:val="00257512"/>
    <w:rsid w:val="00257543"/>
    <w:rsid w:val="00257EA0"/>
    <w:rsid w:val="00260458"/>
    <w:rsid w:val="00260ED0"/>
    <w:rsid w:val="002614DB"/>
    <w:rsid w:val="002617E7"/>
    <w:rsid w:val="00261A9E"/>
    <w:rsid w:val="00261B2A"/>
    <w:rsid w:val="0026318A"/>
    <w:rsid w:val="00263D8F"/>
    <w:rsid w:val="00264228"/>
    <w:rsid w:val="00264334"/>
    <w:rsid w:val="0026473E"/>
    <w:rsid w:val="00264BD9"/>
    <w:rsid w:val="00264D93"/>
    <w:rsid w:val="00266214"/>
    <w:rsid w:val="00266738"/>
    <w:rsid w:val="00266B4C"/>
    <w:rsid w:val="00266EB3"/>
    <w:rsid w:val="00266EDF"/>
    <w:rsid w:val="0026737D"/>
    <w:rsid w:val="00267A7A"/>
    <w:rsid w:val="00267C83"/>
    <w:rsid w:val="002709CF"/>
    <w:rsid w:val="0027144F"/>
    <w:rsid w:val="00271813"/>
    <w:rsid w:val="00271F3A"/>
    <w:rsid w:val="0027232B"/>
    <w:rsid w:val="00273278"/>
    <w:rsid w:val="002737F4"/>
    <w:rsid w:val="00274C4C"/>
    <w:rsid w:val="002751E5"/>
    <w:rsid w:val="00275376"/>
    <w:rsid w:val="002754B6"/>
    <w:rsid w:val="002762E9"/>
    <w:rsid w:val="00277A4A"/>
    <w:rsid w:val="002805F5"/>
    <w:rsid w:val="00280751"/>
    <w:rsid w:val="0028219A"/>
    <w:rsid w:val="0028280A"/>
    <w:rsid w:val="00282BC5"/>
    <w:rsid w:val="00283245"/>
    <w:rsid w:val="002835AA"/>
    <w:rsid w:val="00284FC8"/>
    <w:rsid w:val="00285CED"/>
    <w:rsid w:val="002860F0"/>
    <w:rsid w:val="002865A3"/>
    <w:rsid w:val="00286810"/>
    <w:rsid w:val="00286ACD"/>
    <w:rsid w:val="002875E2"/>
    <w:rsid w:val="00287838"/>
    <w:rsid w:val="00287884"/>
    <w:rsid w:val="002907B5"/>
    <w:rsid w:val="002911CD"/>
    <w:rsid w:val="0029120E"/>
    <w:rsid w:val="00291B0C"/>
    <w:rsid w:val="00292ABD"/>
    <w:rsid w:val="00292D29"/>
    <w:rsid w:val="00292DFC"/>
    <w:rsid w:val="00292EB7"/>
    <w:rsid w:val="002938E0"/>
    <w:rsid w:val="002942BE"/>
    <w:rsid w:val="00294BAC"/>
    <w:rsid w:val="002955D7"/>
    <w:rsid w:val="00296227"/>
    <w:rsid w:val="00296F44"/>
    <w:rsid w:val="0029777D"/>
    <w:rsid w:val="00297DFF"/>
    <w:rsid w:val="002A01CA"/>
    <w:rsid w:val="002A040A"/>
    <w:rsid w:val="002A055E"/>
    <w:rsid w:val="002A1189"/>
    <w:rsid w:val="002A1D4E"/>
    <w:rsid w:val="002A2869"/>
    <w:rsid w:val="002A2B7C"/>
    <w:rsid w:val="002A37B9"/>
    <w:rsid w:val="002A488A"/>
    <w:rsid w:val="002A6B83"/>
    <w:rsid w:val="002A6E0C"/>
    <w:rsid w:val="002A7A94"/>
    <w:rsid w:val="002B056E"/>
    <w:rsid w:val="002B0FFF"/>
    <w:rsid w:val="002B1E62"/>
    <w:rsid w:val="002B239F"/>
    <w:rsid w:val="002B24D6"/>
    <w:rsid w:val="002B24E8"/>
    <w:rsid w:val="002B2DE9"/>
    <w:rsid w:val="002B365B"/>
    <w:rsid w:val="002B4BFB"/>
    <w:rsid w:val="002B4EFF"/>
    <w:rsid w:val="002B5EE0"/>
    <w:rsid w:val="002B5F8F"/>
    <w:rsid w:val="002B6319"/>
    <w:rsid w:val="002B655C"/>
    <w:rsid w:val="002B7DC9"/>
    <w:rsid w:val="002C0261"/>
    <w:rsid w:val="002C0575"/>
    <w:rsid w:val="002C162E"/>
    <w:rsid w:val="002C18AC"/>
    <w:rsid w:val="002C2E43"/>
    <w:rsid w:val="002C2EDF"/>
    <w:rsid w:val="002C2FF4"/>
    <w:rsid w:val="002C3B89"/>
    <w:rsid w:val="002C41E6"/>
    <w:rsid w:val="002C5726"/>
    <w:rsid w:val="002C5916"/>
    <w:rsid w:val="002C5BD9"/>
    <w:rsid w:val="002D067A"/>
    <w:rsid w:val="002D071A"/>
    <w:rsid w:val="002D2628"/>
    <w:rsid w:val="002D2740"/>
    <w:rsid w:val="002D304D"/>
    <w:rsid w:val="002D34B2"/>
    <w:rsid w:val="002D48B0"/>
    <w:rsid w:val="002D4BE9"/>
    <w:rsid w:val="002D58F6"/>
    <w:rsid w:val="002D5A23"/>
    <w:rsid w:val="002D5B37"/>
    <w:rsid w:val="002D7637"/>
    <w:rsid w:val="002E0A4C"/>
    <w:rsid w:val="002E17F2"/>
    <w:rsid w:val="002E2208"/>
    <w:rsid w:val="002E25B0"/>
    <w:rsid w:val="002E273C"/>
    <w:rsid w:val="002E2C17"/>
    <w:rsid w:val="002E2F78"/>
    <w:rsid w:val="002E3142"/>
    <w:rsid w:val="002E39DC"/>
    <w:rsid w:val="002E4062"/>
    <w:rsid w:val="002E52F3"/>
    <w:rsid w:val="002E6217"/>
    <w:rsid w:val="002E6DC0"/>
    <w:rsid w:val="002E77FA"/>
    <w:rsid w:val="002E7CAE"/>
    <w:rsid w:val="002F0008"/>
    <w:rsid w:val="002F04C7"/>
    <w:rsid w:val="002F0E85"/>
    <w:rsid w:val="002F1232"/>
    <w:rsid w:val="002F13E4"/>
    <w:rsid w:val="002F1625"/>
    <w:rsid w:val="002F2771"/>
    <w:rsid w:val="002F2D13"/>
    <w:rsid w:val="002F2DE6"/>
    <w:rsid w:val="002F37A9"/>
    <w:rsid w:val="002F3BEA"/>
    <w:rsid w:val="002F4B8D"/>
    <w:rsid w:val="002F547A"/>
    <w:rsid w:val="002F5E66"/>
    <w:rsid w:val="002F6BAF"/>
    <w:rsid w:val="002F7183"/>
    <w:rsid w:val="002F78AE"/>
    <w:rsid w:val="002F7D14"/>
    <w:rsid w:val="002F7DC4"/>
    <w:rsid w:val="00300596"/>
    <w:rsid w:val="00300B26"/>
    <w:rsid w:val="0030173E"/>
    <w:rsid w:val="00301CE6"/>
    <w:rsid w:val="00302122"/>
    <w:rsid w:val="00302438"/>
    <w:rsid w:val="0030249D"/>
    <w:rsid w:val="0030256B"/>
    <w:rsid w:val="0030405A"/>
    <w:rsid w:val="0030501F"/>
    <w:rsid w:val="0030595D"/>
    <w:rsid w:val="003060C2"/>
    <w:rsid w:val="0030773F"/>
    <w:rsid w:val="00307BA1"/>
    <w:rsid w:val="00310ACB"/>
    <w:rsid w:val="00310D7C"/>
    <w:rsid w:val="00311608"/>
    <w:rsid w:val="00311702"/>
    <w:rsid w:val="00311E82"/>
    <w:rsid w:val="00311F7E"/>
    <w:rsid w:val="0031216F"/>
    <w:rsid w:val="00312379"/>
    <w:rsid w:val="00312C57"/>
    <w:rsid w:val="00312F92"/>
    <w:rsid w:val="00313FD6"/>
    <w:rsid w:val="0031419D"/>
    <w:rsid w:val="003143A9"/>
    <w:rsid w:val="003143BD"/>
    <w:rsid w:val="00314711"/>
    <w:rsid w:val="003147C0"/>
    <w:rsid w:val="00315363"/>
    <w:rsid w:val="0031550F"/>
    <w:rsid w:val="00316F52"/>
    <w:rsid w:val="00317085"/>
    <w:rsid w:val="00317AEF"/>
    <w:rsid w:val="003203ED"/>
    <w:rsid w:val="00320861"/>
    <w:rsid w:val="003214DE"/>
    <w:rsid w:val="00322C9F"/>
    <w:rsid w:val="00322CDB"/>
    <w:rsid w:val="0032359C"/>
    <w:rsid w:val="00323AE1"/>
    <w:rsid w:val="00324D23"/>
    <w:rsid w:val="00326336"/>
    <w:rsid w:val="003271F1"/>
    <w:rsid w:val="00327BD7"/>
    <w:rsid w:val="00330977"/>
    <w:rsid w:val="00330A3B"/>
    <w:rsid w:val="0033152B"/>
    <w:rsid w:val="00331751"/>
    <w:rsid w:val="003318ED"/>
    <w:rsid w:val="00331B4B"/>
    <w:rsid w:val="003320EB"/>
    <w:rsid w:val="003321B5"/>
    <w:rsid w:val="00332929"/>
    <w:rsid w:val="003329AB"/>
    <w:rsid w:val="00333218"/>
    <w:rsid w:val="0033421C"/>
    <w:rsid w:val="00334579"/>
    <w:rsid w:val="00334C03"/>
    <w:rsid w:val="00334F0D"/>
    <w:rsid w:val="00335858"/>
    <w:rsid w:val="00335863"/>
    <w:rsid w:val="00336238"/>
    <w:rsid w:val="0033654D"/>
    <w:rsid w:val="0033664A"/>
    <w:rsid w:val="00336BDA"/>
    <w:rsid w:val="003373C8"/>
    <w:rsid w:val="003375C8"/>
    <w:rsid w:val="00340043"/>
    <w:rsid w:val="00340D1D"/>
    <w:rsid w:val="00342BD7"/>
    <w:rsid w:val="00342FCD"/>
    <w:rsid w:val="0034362E"/>
    <w:rsid w:val="003439C6"/>
    <w:rsid w:val="003444E8"/>
    <w:rsid w:val="00344645"/>
    <w:rsid w:val="00344A95"/>
    <w:rsid w:val="00345B9B"/>
    <w:rsid w:val="00345BBC"/>
    <w:rsid w:val="00346422"/>
    <w:rsid w:val="003465C7"/>
    <w:rsid w:val="00346DB5"/>
    <w:rsid w:val="003477B1"/>
    <w:rsid w:val="00347921"/>
    <w:rsid w:val="003524CB"/>
    <w:rsid w:val="0035512D"/>
    <w:rsid w:val="00355FD4"/>
    <w:rsid w:val="00356322"/>
    <w:rsid w:val="003563AE"/>
    <w:rsid w:val="003571DD"/>
    <w:rsid w:val="00357380"/>
    <w:rsid w:val="003579CE"/>
    <w:rsid w:val="003602D9"/>
    <w:rsid w:val="003604CE"/>
    <w:rsid w:val="00360E83"/>
    <w:rsid w:val="00361E0D"/>
    <w:rsid w:val="0036209F"/>
    <w:rsid w:val="00363039"/>
    <w:rsid w:val="00363573"/>
    <w:rsid w:val="00363B73"/>
    <w:rsid w:val="00364CC8"/>
    <w:rsid w:val="00366503"/>
    <w:rsid w:val="00370362"/>
    <w:rsid w:val="003705AF"/>
    <w:rsid w:val="00370E47"/>
    <w:rsid w:val="0037124A"/>
    <w:rsid w:val="00371B3F"/>
    <w:rsid w:val="00371E8A"/>
    <w:rsid w:val="00372214"/>
    <w:rsid w:val="0037267B"/>
    <w:rsid w:val="00372751"/>
    <w:rsid w:val="0037292E"/>
    <w:rsid w:val="00372BAA"/>
    <w:rsid w:val="00373106"/>
    <w:rsid w:val="0037359F"/>
    <w:rsid w:val="00373733"/>
    <w:rsid w:val="00373951"/>
    <w:rsid w:val="00373986"/>
    <w:rsid w:val="00373CA1"/>
    <w:rsid w:val="003742AC"/>
    <w:rsid w:val="00374821"/>
    <w:rsid w:val="00375739"/>
    <w:rsid w:val="00376BFE"/>
    <w:rsid w:val="00377CE1"/>
    <w:rsid w:val="00382967"/>
    <w:rsid w:val="00382B53"/>
    <w:rsid w:val="00384D8B"/>
    <w:rsid w:val="0038587E"/>
    <w:rsid w:val="00385BF0"/>
    <w:rsid w:val="00386B96"/>
    <w:rsid w:val="00387C4C"/>
    <w:rsid w:val="00390FF2"/>
    <w:rsid w:val="003912E9"/>
    <w:rsid w:val="00391E01"/>
    <w:rsid w:val="00392490"/>
    <w:rsid w:val="0039280B"/>
    <w:rsid w:val="00392EDA"/>
    <w:rsid w:val="00393006"/>
    <w:rsid w:val="0039305B"/>
    <w:rsid w:val="0039355F"/>
    <w:rsid w:val="0039362A"/>
    <w:rsid w:val="003939FF"/>
    <w:rsid w:val="00394987"/>
    <w:rsid w:val="00395CA7"/>
    <w:rsid w:val="00396B0C"/>
    <w:rsid w:val="00396B84"/>
    <w:rsid w:val="00397826"/>
    <w:rsid w:val="003A062B"/>
    <w:rsid w:val="003A0B8D"/>
    <w:rsid w:val="003A0DC8"/>
    <w:rsid w:val="003A2223"/>
    <w:rsid w:val="003A2373"/>
    <w:rsid w:val="003A2A0F"/>
    <w:rsid w:val="003A3D01"/>
    <w:rsid w:val="003A45A1"/>
    <w:rsid w:val="003A4C20"/>
    <w:rsid w:val="003A5277"/>
    <w:rsid w:val="003A5B0A"/>
    <w:rsid w:val="003A6BAC"/>
    <w:rsid w:val="003A70A4"/>
    <w:rsid w:val="003A764B"/>
    <w:rsid w:val="003A7EF3"/>
    <w:rsid w:val="003B00A2"/>
    <w:rsid w:val="003B0918"/>
    <w:rsid w:val="003B159C"/>
    <w:rsid w:val="003B1C25"/>
    <w:rsid w:val="003B369F"/>
    <w:rsid w:val="003B36A3"/>
    <w:rsid w:val="003B630E"/>
    <w:rsid w:val="003B64BB"/>
    <w:rsid w:val="003B6797"/>
    <w:rsid w:val="003B69D0"/>
    <w:rsid w:val="003B7A95"/>
    <w:rsid w:val="003B7FE5"/>
    <w:rsid w:val="003C04F6"/>
    <w:rsid w:val="003C05F7"/>
    <w:rsid w:val="003C11C8"/>
    <w:rsid w:val="003C2702"/>
    <w:rsid w:val="003C28D7"/>
    <w:rsid w:val="003C4301"/>
    <w:rsid w:val="003C455A"/>
    <w:rsid w:val="003C4C3F"/>
    <w:rsid w:val="003C75A9"/>
    <w:rsid w:val="003C7659"/>
    <w:rsid w:val="003C7806"/>
    <w:rsid w:val="003C7EA0"/>
    <w:rsid w:val="003D0065"/>
    <w:rsid w:val="003D0DF0"/>
    <w:rsid w:val="003D0F6C"/>
    <w:rsid w:val="003D109F"/>
    <w:rsid w:val="003D2478"/>
    <w:rsid w:val="003D3810"/>
    <w:rsid w:val="003D3C45"/>
    <w:rsid w:val="003D3FB7"/>
    <w:rsid w:val="003D42F2"/>
    <w:rsid w:val="003D4484"/>
    <w:rsid w:val="003D479F"/>
    <w:rsid w:val="003D495D"/>
    <w:rsid w:val="003D4EF6"/>
    <w:rsid w:val="003D51B2"/>
    <w:rsid w:val="003D54BC"/>
    <w:rsid w:val="003D5B1F"/>
    <w:rsid w:val="003D6BD3"/>
    <w:rsid w:val="003D7BC4"/>
    <w:rsid w:val="003D7EAA"/>
    <w:rsid w:val="003E03D3"/>
    <w:rsid w:val="003E0678"/>
    <w:rsid w:val="003E0C2E"/>
    <w:rsid w:val="003E15FA"/>
    <w:rsid w:val="003E1C02"/>
    <w:rsid w:val="003E1D50"/>
    <w:rsid w:val="003E1EF2"/>
    <w:rsid w:val="003E204A"/>
    <w:rsid w:val="003E243A"/>
    <w:rsid w:val="003E3ECF"/>
    <w:rsid w:val="003E4511"/>
    <w:rsid w:val="003E55E4"/>
    <w:rsid w:val="003E6979"/>
    <w:rsid w:val="003E6DEB"/>
    <w:rsid w:val="003E74E3"/>
    <w:rsid w:val="003F0130"/>
    <w:rsid w:val="003F05C7"/>
    <w:rsid w:val="003F06B4"/>
    <w:rsid w:val="003F071B"/>
    <w:rsid w:val="003F0781"/>
    <w:rsid w:val="003F07FB"/>
    <w:rsid w:val="003F1579"/>
    <w:rsid w:val="003F2CD4"/>
    <w:rsid w:val="003F3012"/>
    <w:rsid w:val="003F3602"/>
    <w:rsid w:val="003F3E24"/>
    <w:rsid w:val="003F4E22"/>
    <w:rsid w:val="003F5797"/>
    <w:rsid w:val="003F6AF9"/>
    <w:rsid w:val="003F6BBE"/>
    <w:rsid w:val="004000E8"/>
    <w:rsid w:val="004005A7"/>
    <w:rsid w:val="00400A7A"/>
    <w:rsid w:val="00401078"/>
    <w:rsid w:val="004010E8"/>
    <w:rsid w:val="0040149B"/>
    <w:rsid w:val="00402E2B"/>
    <w:rsid w:val="0040319F"/>
    <w:rsid w:val="004038CD"/>
    <w:rsid w:val="00403A55"/>
    <w:rsid w:val="00404510"/>
    <w:rsid w:val="00404F42"/>
    <w:rsid w:val="0040512B"/>
    <w:rsid w:val="0040535F"/>
    <w:rsid w:val="00405CA5"/>
    <w:rsid w:val="00406510"/>
    <w:rsid w:val="004069C9"/>
    <w:rsid w:val="0040789E"/>
    <w:rsid w:val="00407CD3"/>
    <w:rsid w:val="00410134"/>
    <w:rsid w:val="00410135"/>
    <w:rsid w:val="00410AB5"/>
    <w:rsid w:val="00410B72"/>
    <w:rsid w:val="00410F18"/>
    <w:rsid w:val="0041179C"/>
    <w:rsid w:val="00411EB4"/>
    <w:rsid w:val="00412056"/>
    <w:rsid w:val="00412575"/>
    <w:rsid w:val="00412600"/>
    <w:rsid w:val="0041263E"/>
    <w:rsid w:val="00412BAC"/>
    <w:rsid w:val="00412EA6"/>
    <w:rsid w:val="00413545"/>
    <w:rsid w:val="004136A1"/>
    <w:rsid w:val="00413AAC"/>
    <w:rsid w:val="00413E92"/>
    <w:rsid w:val="00414B6B"/>
    <w:rsid w:val="00414FB7"/>
    <w:rsid w:val="00415260"/>
    <w:rsid w:val="00415C25"/>
    <w:rsid w:val="00415CEF"/>
    <w:rsid w:val="00415D7D"/>
    <w:rsid w:val="00420470"/>
    <w:rsid w:val="00421105"/>
    <w:rsid w:val="00421991"/>
    <w:rsid w:val="00421BA1"/>
    <w:rsid w:val="00422AA4"/>
    <w:rsid w:val="004242F4"/>
    <w:rsid w:val="0042480B"/>
    <w:rsid w:val="00424C05"/>
    <w:rsid w:val="004265E9"/>
    <w:rsid w:val="00426693"/>
    <w:rsid w:val="004269B0"/>
    <w:rsid w:val="00427248"/>
    <w:rsid w:val="0042733F"/>
    <w:rsid w:val="004279BB"/>
    <w:rsid w:val="00430390"/>
    <w:rsid w:val="004315A5"/>
    <w:rsid w:val="00433320"/>
    <w:rsid w:val="0043531F"/>
    <w:rsid w:val="00435A60"/>
    <w:rsid w:val="00435AFE"/>
    <w:rsid w:val="004361B4"/>
    <w:rsid w:val="00437447"/>
    <w:rsid w:val="00437A2D"/>
    <w:rsid w:val="00437B51"/>
    <w:rsid w:val="00440294"/>
    <w:rsid w:val="00441849"/>
    <w:rsid w:val="00441A92"/>
    <w:rsid w:val="00442AA6"/>
    <w:rsid w:val="004431DC"/>
    <w:rsid w:val="00443289"/>
    <w:rsid w:val="004434B5"/>
    <w:rsid w:val="004439D8"/>
    <w:rsid w:val="00443C69"/>
    <w:rsid w:val="00444586"/>
    <w:rsid w:val="00444D61"/>
    <w:rsid w:val="00444F56"/>
    <w:rsid w:val="00446351"/>
    <w:rsid w:val="0044640E"/>
    <w:rsid w:val="00446488"/>
    <w:rsid w:val="00447429"/>
    <w:rsid w:val="00447D54"/>
    <w:rsid w:val="00447F55"/>
    <w:rsid w:val="00447FA5"/>
    <w:rsid w:val="004500CF"/>
    <w:rsid w:val="0045130A"/>
    <w:rsid w:val="004517AA"/>
    <w:rsid w:val="00451A76"/>
    <w:rsid w:val="00452C0C"/>
    <w:rsid w:val="00452CAC"/>
    <w:rsid w:val="00452E31"/>
    <w:rsid w:val="0045360D"/>
    <w:rsid w:val="0045484B"/>
    <w:rsid w:val="00454CCC"/>
    <w:rsid w:val="0045539B"/>
    <w:rsid w:val="0045554E"/>
    <w:rsid w:val="004568AF"/>
    <w:rsid w:val="00456E51"/>
    <w:rsid w:val="00456F51"/>
    <w:rsid w:val="004573FC"/>
    <w:rsid w:val="00457565"/>
    <w:rsid w:val="00457B71"/>
    <w:rsid w:val="00457D08"/>
    <w:rsid w:val="0046029A"/>
    <w:rsid w:val="004602DA"/>
    <w:rsid w:val="00460CE0"/>
    <w:rsid w:val="00461140"/>
    <w:rsid w:val="004612E2"/>
    <w:rsid w:val="004618F4"/>
    <w:rsid w:val="00461FB3"/>
    <w:rsid w:val="004627D4"/>
    <w:rsid w:val="004630AD"/>
    <w:rsid w:val="004635AA"/>
    <w:rsid w:val="00464689"/>
    <w:rsid w:val="004646ED"/>
    <w:rsid w:val="00464DF1"/>
    <w:rsid w:val="004654A1"/>
    <w:rsid w:val="00465BAE"/>
    <w:rsid w:val="004669E2"/>
    <w:rsid w:val="00467303"/>
    <w:rsid w:val="004673AB"/>
    <w:rsid w:val="00467C2D"/>
    <w:rsid w:val="004704CF"/>
    <w:rsid w:val="004704E0"/>
    <w:rsid w:val="00470C27"/>
    <w:rsid w:val="00470C31"/>
    <w:rsid w:val="004718EB"/>
    <w:rsid w:val="00471C06"/>
    <w:rsid w:val="00471DE0"/>
    <w:rsid w:val="00471E3F"/>
    <w:rsid w:val="0047206C"/>
    <w:rsid w:val="00472A01"/>
    <w:rsid w:val="004734D0"/>
    <w:rsid w:val="00473DE8"/>
    <w:rsid w:val="00474289"/>
    <w:rsid w:val="00474624"/>
    <w:rsid w:val="00474BE2"/>
    <w:rsid w:val="0047556B"/>
    <w:rsid w:val="00475CAD"/>
    <w:rsid w:val="00476283"/>
    <w:rsid w:val="00476B18"/>
    <w:rsid w:val="004770F9"/>
    <w:rsid w:val="00477427"/>
    <w:rsid w:val="00477768"/>
    <w:rsid w:val="004804BA"/>
    <w:rsid w:val="00481280"/>
    <w:rsid w:val="004815C3"/>
    <w:rsid w:val="00481D52"/>
    <w:rsid w:val="00481DE4"/>
    <w:rsid w:val="00481FFB"/>
    <w:rsid w:val="00482844"/>
    <w:rsid w:val="00482C92"/>
    <w:rsid w:val="00483A02"/>
    <w:rsid w:val="00483A1E"/>
    <w:rsid w:val="004846CA"/>
    <w:rsid w:val="00484A59"/>
    <w:rsid w:val="00484E74"/>
    <w:rsid w:val="00485356"/>
    <w:rsid w:val="00486135"/>
    <w:rsid w:val="00486547"/>
    <w:rsid w:val="00486553"/>
    <w:rsid w:val="00486C09"/>
    <w:rsid w:val="00486D27"/>
    <w:rsid w:val="0048726A"/>
    <w:rsid w:val="004879C8"/>
    <w:rsid w:val="00491957"/>
    <w:rsid w:val="00492BC5"/>
    <w:rsid w:val="00493204"/>
    <w:rsid w:val="00493214"/>
    <w:rsid w:val="00494979"/>
    <w:rsid w:val="00495395"/>
    <w:rsid w:val="00495BAC"/>
    <w:rsid w:val="004964F1"/>
    <w:rsid w:val="00497C4B"/>
    <w:rsid w:val="00497C69"/>
    <w:rsid w:val="00497E86"/>
    <w:rsid w:val="004A16B2"/>
    <w:rsid w:val="004A16BC"/>
    <w:rsid w:val="004A1959"/>
    <w:rsid w:val="004A1CF1"/>
    <w:rsid w:val="004A2B0B"/>
    <w:rsid w:val="004A2B94"/>
    <w:rsid w:val="004A332D"/>
    <w:rsid w:val="004A39C7"/>
    <w:rsid w:val="004A47FC"/>
    <w:rsid w:val="004A5701"/>
    <w:rsid w:val="004A57CC"/>
    <w:rsid w:val="004A6849"/>
    <w:rsid w:val="004A73AD"/>
    <w:rsid w:val="004A73CE"/>
    <w:rsid w:val="004A7C26"/>
    <w:rsid w:val="004B03D3"/>
    <w:rsid w:val="004B08DD"/>
    <w:rsid w:val="004B15E0"/>
    <w:rsid w:val="004B1834"/>
    <w:rsid w:val="004B1BD1"/>
    <w:rsid w:val="004B2587"/>
    <w:rsid w:val="004B25E7"/>
    <w:rsid w:val="004B2B98"/>
    <w:rsid w:val="004B36CF"/>
    <w:rsid w:val="004B3C56"/>
    <w:rsid w:val="004B3F0E"/>
    <w:rsid w:val="004B6314"/>
    <w:rsid w:val="004B6F6A"/>
    <w:rsid w:val="004B7460"/>
    <w:rsid w:val="004B7C0C"/>
    <w:rsid w:val="004C0306"/>
    <w:rsid w:val="004C0328"/>
    <w:rsid w:val="004C0456"/>
    <w:rsid w:val="004C110B"/>
    <w:rsid w:val="004C18B5"/>
    <w:rsid w:val="004C2F91"/>
    <w:rsid w:val="004C3446"/>
    <w:rsid w:val="004C3898"/>
    <w:rsid w:val="004C4B1D"/>
    <w:rsid w:val="004C57DE"/>
    <w:rsid w:val="004C5ADD"/>
    <w:rsid w:val="004C5B51"/>
    <w:rsid w:val="004C6640"/>
    <w:rsid w:val="004D1343"/>
    <w:rsid w:val="004D138A"/>
    <w:rsid w:val="004D14F3"/>
    <w:rsid w:val="004D2EAA"/>
    <w:rsid w:val="004D36B1"/>
    <w:rsid w:val="004D4950"/>
    <w:rsid w:val="004D498C"/>
    <w:rsid w:val="004D65BE"/>
    <w:rsid w:val="004D66B9"/>
    <w:rsid w:val="004D7A00"/>
    <w:rsid w:val="004D7EBD"/>
    <w:rsid w:val="004E0A12"/>
    <w:rsid w:val="004E23FF"/>
    <w:rsid w:val="004E2680"/>
    <w:rsid w:val="004E28F9"/>
    <w:rsid w:val="004E2F48"/>
    <w:rsid w:val="004E34E2"/>
    <w:rsid w:val="004E40B7"/>
    <w:rsid w:val="004E462E"/>
    <w:rsid w:val="004E485E"/>
    <w:rsid w:val="004E49DE"/>
    <w:rsid w:val="004E5044"/>
    <w:rsid w:val="004E56DC"/>
    <w:rsid w:val="004E76F4"/>
    <w:rsid w:val="004F036C"/>
    <w:rsid w:val="004F06E9"/>
    <w:rsid w:val="004F0728"/>
    <w:rsid w:val="004F0B4E"/>
    <w:rsid w:val="004F0B6C"/>
    <w:rsid w:val="004F0DD5"/>
    <w:rsid w:val="004F19CA"/>
    <w:rsid w:val="004F1AD7"/>
    <w:rsid w:val="004F2078"/>
    <w:rsid w:val="004F2CC3"/>
    <w:rsid w:val="004F3701"/>
    <w:rsid w:val="004F4DA3"/>
    <w:rsid w:val="004F5516"/>
    <w:rsid w:val="004F5836"/>
    <w:rsid w:val="004F6915"/>
    <w:rsid w:val="00501A17"/>
    <w:rsid w:val="0050358F"/>
    <w:rsid w:val="00503917"/>
    <w:rsid w:val="00503ADC"/>
    <w:rsid w:val="00503E21"/>
    <w:rsid w:val="005048DA"/>
    <w:rsid w:val="005064FF"/>
    <w:rsid w:val="00506557"/>
    <w:rsid w:val="0050677A"/>
    <w:rsid w:val="0050691E"/>
    <w:rsid w:val="005108D8"/>
    <w:rsid w:val="00511080"/>
    <w:rsid w:val="005116F9"/>
    <w:rsid w:val="00511966"/>
    <w:rsid w:val="00511F95"/>
    <w:rsid w:val="005122AA"/>
    <w:rsid w:val="00512645"/>
    <w:rsid w:val="00512965"/>
    <w:rsid w:val="00512D6F"/>
    <w:rsid w:val="005153A7"/>
    <w:rsid w:val="00515DDD"/>
    <w:rsid w:val="00516055"/>
    <w:rsid w:val="00516C50"/>
    <w:rsid w:val="005171E1"/>
    <w:rsid w:val="00520891"/>
    <w:rsid w:val="00520AAD"/>
    <w:rsid w:val="005219CF"/>
    <w:rsid w:val="005236E4"/>
    <w:rsid w:val="00524063"/>
    <w:rsid w:val="00524F5C"/>
    <w:rsid w:val="0052518C"/>
    <w:rsid w:val="005258CE"/>
    <w:rsid w:val="00526743"/>
    <w:rsid w:val="00526CE3"/>
    <w:rsid w:val="005300DD"/>
    <w:rsid w:val="00530612"/>
    <w:rsid w:val="00530B94"/>
    <w:rsid w:val="005318BC"/>
    <w:rsid w:val="005326AE"/>
    <w:rsid w:val="00533FFF"/>
    <w:rsid w:val="0053468D"/>
    <w:rsid w:val="00534B59"/>
    <w:rsid w:val="0053535A"/>
    <w:rsid w:val="00535D55"/>
    <w:rsid w:val="00535FB2"/>
    <w:rsid w:val="00536759"/>
    <w:rsid w:val="00536B6C"/>
    <w:rsid w:val="00537733"/>
    <w:rsid w:val="00537C62"/>
    <w:rsid w:val="00537FEA"/>
    <w:rsid w:val="0054281C"/>
    <w:rsid w:val="00543274"/>
    <w:rsid w:val="00543CF7"/>
    <w:rsid w:val="00544939"/>
    <w:rsid w:val="00546970"/>
    <w:rsid w:val="00546EA7"/>
    <w:rsid w:val="00547626"/>
    <w:rsid w:val="00547FB1"/>
    <w:rsid w:val="0055051B"/>
    <w:rsid w:val="005511F2"/>
    <w:rsid w:val="005535A0"/>
    <w:rsid w:val="00554E19"/>
    <w:rsid w:val="00555177"/>
    <w:rsid w:val="00556271"/>
    <w:rsid w:val="005602E0"/>
    <w:rsid w:val="00560539"/>
    <w:rsid w:val="00560E01"/>
    <w:rsid w:val="00561065"/>
    <w:rsid w:val="0056121F"/>
    <w:rsid w:val="00561E0B"/>
    <w:rsid w:val="0056254D"/>
    <w:rsid w:val="00563155"/>
    <w:rsid w:val="00563741"/>
    <w:rsid w:val="005639C5"/>
    <w:rsid w:val="0056420A"/>
    <w:rsid w:val="00564508"/>
    <w:rsid w:val="0056514E"/>
    <w:rsid w:val="00565443"/>
    <w:rsid w:val="00565D50"/>
    <w:rsid w:val="00565E66"/>
    <w:rsid w:val="00566521"/>
    <w:rsid w:val="00566C05"/>
    <w:rsid w:val="00567592"/>
    <w:rsid w:val="00570FBE"/>
    <w:rsid w:val="005710CE"/>
    <w:rsid w:val="00572505"/>
    <w:rsid w:val="00572FD1"/>
    <w:rsid w:val="00573644"/>
    <w:rsid w:val="00574F43"/>
    <w:rsid w:val="005757C0"/>
    <w:rsid w:val="0058191C"/>
    <w:rsid w:val="0058193B"/>
    <w:rsid w:val="00582288"/>
    <w:rsid w:val="00582809"/>
    <w:rsid w:val="00583F8B"/>
    <w:rsid w:val="0058488F"/>
    <w:rsid w:val="00585866"/>
    <w:rsid w:val="005877E6"/>
    <w:rsid w:val="0058798C"/>
    <w:rsid w:val="005900FA"/>
    <w:rsid w:val="0059021A"/>
    <w:rsid w:val="0059028E"/>
    <w:rsid w:val="00590477"/>
    <w:rsid w:val="0059109E"/>
    <w:rsid w:val="0059330D"/>
    <w:rsid w:val="005935A4"/>
    <w:rsid w:val="00593F5D"/>
    <w:rsid w:val="005948C2"/>
    <w:rsid w:val="005948C8"/>
    <w:rsid w:val="00595DCA"/>
    <w:rsid w:val="005963E4"/>
    <w:rsid w:val="00596893"/>
    <w:rsid w:val="00596ADE"/>
    <w:rsid w:val="00597317"/>
    <w:rsid w:val="005975FE"/>
    <w:rsid w:val="00597630"/>
    <w:rsid w:val="0059779B"/>
    <w:rsid w:val="00597A91"/>
    <w:rsid w:val="00597AC6"/>
    <w:rsid w:val="00597E76"/>
    <w:rsid w:val="005A09D2"/>
    <w:rsid w:val="005A209A"/>
    <w:rsid w:val="005A31B1"/>
    <w:rsid w:val="005A383B"/>
    <w:rsid w:val="005A39D9"/>
    <w:rsid w:val="005A39EB"/>
    <w:rsid w:val="005A59A3"/>
    <w:rsid w:val="005A662D"/>
    <w:rsid w:val="005A6A4C"/>
    <w:rsid w:val="005B0C21"/>
    <w:rsid w:val="005B1409"/>
    <w:rsid w:val="005B35D7"/>
    <w:rsid w:val="005B392A"/>
    <w:rsid w:val="005B3AA3"/>
    <w:rsid w:val="005B3CF6"/>
    <w:rsid w:val="005B3F48"/>
    <w:rsid w:val="005B5B19"/>
    <w:rsid w:val="005B5EC3"/>
    <w:rsid w:val="005B66BA"/>
    <w:rsid w:val="005B69BC"/>
    <w:rsid w:val="005B6F83"/>
    <w:rsid w:val="005B7EE3"/>
    <w:rsid w:val="005B7FC8"/>
    <w:rsid w:val="005C042B"/>
    <w:rsid w:val="005C0E22"/>
    <w:rsid w:val="005C2359"/>
    <w:rsid w:val="005C31B5"/>
    <w:rsid w:val="005C3E41"/>
    <w:rsid w:val="005C41E6"/>
    <w:rsid w:val="005C4E27"/>
    <w:rsid w:val="005C4F32"/>
    <w:rsid w:val="005C592B"/>
    <w:rsid w:val="005C6D53"/>
    <w:rsid w:val="005C74FB"/>
    <w:rsid w:val="005C785F"/>
    <w:rsid w:val="005C7925"/>
    <w:rsid w:val="005C7AA9"/>
    <w:rsid w:val="005D1602"/>
    <w:rsid w:val="005D1616"/>
    <w:rsid w:val="005D2FF9"/>
    <w:rsid w:val="005D3013"/>
    <w:rsid w:val="005D348B"/>
    <w:rsid w:val="005D3619"/>
    <w:rsid w:val="005D3DBB"/>
    <w:rsid w:val="005D4431"/>
    <w:rsid w:val="005D4711"/>
    <w:rsid w:val="005D4D02"/>
    <w:rsid w:val="005D4FB7"/>
    <w:rsid w:val="005D5C02"/>
    <w:rsid w:val="005D5F5A"/>
    <w:rsid w:val="005D6570"/>
    <w:rsid w:val="005D69CF"/>
    <w:rsid w:val="005D6E99"/>
    <w:rsid w:val="005D764D"/>
    <w:rsid w:val="005D7AA7"/>
    <w:rsid w:val="005E0D4F"/>
    <w:rsid w:val="005E2126"/>
    <w:rsid w:val="005E24B7"/>
    <w:rsid w:val="005E3510"/>
    <w:rsid w:val="005E385F"/>
    <w:rsid w:val="005E3BB1"/>
    <w:rsid w:val="005E413F"/>
    <w:rsid w:val="005E4D0F"/>
    <w:rsid w:val="005E5B81"/>
    <w:rsid w:val="005E5D81"/>
    <w:rsid w:val="005E6E56"/>
    <w:rsid w:val="005E74C8"/>
    <w:rsid w:val="005E753B"/>
    <w:rsid w:val="005F0E76"/>
    <w:rsid w:val="005F2CB1"/>
    <w:rsid w:val="005F2E39"/>
    <w:rsid w:val="005F3025"/>
    <w:rsid w:val="005F3062"/>
    <w:rsid w:val="005F3E09"/>
    <w:rsid w:val="005F49D9"/>
    <w:rsid w:val="005F4D46"/>
    <w:rsid w:val="005F53F3"/>
    <w:rsid w:val="005F5762"/>
    <w:rsid w:val="005F5F41"/>
    <w:rsid w:val="005F618C"/>
    <w:rsid w:val="005F63EB"/>
    <w:rsid w:val="005F70BD"/>
    <w:rsid w:val="0060079D"/>
    <w:rsid w:val="00600AEF"/>
    <w:rsid w:val="00601722"/>
    <w:rsid w:val="00601874"/>
    <w:rsid w:val="0060283C"/>
    <w:rsid w:val="00602DF0"/>
    <w:rsid w:val="0060420E"/>
    <w:rsid w:val="0060477E"/>
    <w:rsid w:val="00604949"/>
    <w:rsid w:val="00604F14"/>
    <w:rsid w:val="00605A2B"/>
    <w:rsid w:val="006064AB"/>
    <w:rsid w:val="0060671A"/>
    <w:rsid w:val="006068B7"/>
    <w:rsid w:val="00606C75"/>
    <w:rsid w:val="00610CE4"/>
    <w:rsid w:val="006119E0"/>
    <w:rsid w:val="00611B83"/>
    <w:rsid w:val="00611EB6"/>
    <w:rsid w:val="00612218"/>
    <w:rsid w:val="0061231C"/>
    <w:rsid w:val="006125E8"/>
    <w:rsid w:val="00612A44"/>
    <w:rsid w:val="00613257"/>
    <w:rsid w:val="00613384"/>
    <w:rsid w:val="00614C8D"/>
    <w:rsid w:val="00614EE1"/>
    <w:rsid w:val="00616355"/>
    <w:rsid w:val="006168D7"/>
    <w:rsid w:val="00616C3F"/>
    <w:rsid w:val="0061774C"/>
    <w:rsid w:val="00620155"/>
    <w:rsid w:val="00620A71"/>
    <w:rsid w:val="00620D80"/>
    <w:rsid w:val="0062114C"/>
    <w:rsid w:val="006234A6"/>
    <w:rsid w:val="006236DE"/>
    <w:rsid w:val="00624168"/>
    <w:rsid w:val="006242D0"/>
    <w:rsid w:val="0062453E"/>
    <w:rsid w:val="006247D4"/>
    <w:rsid w:val="00624AAA"/>
    <w:rsid w:val="00624EF7"/>
    <w:rsid w:val="00625725"/>
    <w:rsid w:val="00626E76"/>
    <w:rsid w:val="00627A37"/>
    <w:rsid w:val="00627C31"/>
    <w:rsid w:val="00630001"/>
    <w:rsid w:val="00630586"/>
    <w:rsid w:val="006311B3"/>
    <w:rsid w:val="0063284C"/>
    <w:rsid w:val="00632C09"/>
    <w:rsid w:val="00632D4A"/>
    <w:rsid w:val="0063314D"/>
    <w:rsid w:val="0063323F"/>
    <w:rsid w:val="00633598"/>
    <w:rsid w:val="00633811"/>
    <w:rsid w:val="00633BA1"/>
    <w:rsid w:val="006342FB"/>
    <w:rsid w:val="00634DA1"/>
    <w:rsid w:val="006351CE"/>
    <w:rsid w:val="00635265"/>
    <w:rsid w:val="006353FF"/>
    <w:rsid w:val="00636167"/>
    <w:rsid w:val="00636398"/>
    <w:rsid w:val="006368D3"/>
    <w:rsid w:val="006377EC"/>
    <w:rsid w:val="00637F02"/>
    <w:rsid w:val="0064104C"/>
    <w:rsid w:val="0064151F"/>
    <w:rsid w:val="00641533"/>
    <w:rsid w:val="00641820"/>
    <w:rsid w:val="00641E41"/>
    <w:rsid w:val="0064208D"/>
    <w:rsid w:val="006420BE"/>
    <w:rsid w:val="00642400"/>
    <w:rsid w:val="00642742"/>
    <w:rsid w:val="00643475"/>
    <w:rsid w:val="00643851"/>
    <w:rsid w:val="0064396A"/>
    <w:rsid w:val="00643A86"/>
    <w:rsid w:val="00643D8F"/>
    <w:rsid w:val="00644234"/>
    <w:rsid w:val="00644875"/>
    <w:rsid w:val="00645707"/>
    <w:rsid w:val="0064624E"/>
    <w:rsid w:val="00647A46"/>
    <w:rsid w:val="00650127"/>
    <w:rsid w:val="006501C4"/>
    <w:rsid w:val="00650AB9"/>
    <w:rsid w:val="006513F6"/>
    <w:rsid w:val="00651FB2"/>
    <w:rsid w:val="0065211A"/>
    <w:rsid w:val="006536B1"/>
    <w:rsid w:val="006537FE"/>
    <w:rsid w:val="00654E69"/>
    <w:rsid w:val="006551D1"/>
    <w:rsid w:val="006553BC"/>
    <w:rsid w:val="00655733"/>
    <w:rsid w:val="00655ACD"/>
    <w:rsid w:val="00656A92"/>
    <w:rsid w:val="00656BA2"/>
    <w:rsid w:val="00656DDE"/>
    <w:rsid w:val="0066011D"/>
    <w:rsid w:val="006607C0"/>
    <w:rsid w:val="00660E97"/>
    <w:rsid w:val="00661078"/>
    <w:rsid w:val="006613A6"/>
    <w:rsid w:val="0066243B"/>
    <w:rsid w:val="006627A2"/>
    <w:rsid w:val="006634E6"/>
    <w:rsid w:val="006655EE"/>
    <w:rsid w:val="00666FBE"/>
    <w:rsid w:val="00667E17"/>
    <w:rsid w:val="00667EE7"/>
    <w:rsid w:val="00670922"/>
    <w:rsid w:val="00670BE1"/>
    <w:rsid w:val="00670F1B"/>
    <w:rsid w:val="00671758"/>
    <w:rsid w:val="00671A7C"/>
    <w:rsid w:val="0067218F"/>
    <w:rsid w:val="006724D7"/>
    <w:rsid w:val="00672930"/>
    <w:rsid w:val="00672E28"/>
    <w:rsid w:val="006741F2"/>
    <w:rsid w:val="006744AF"/>
    <w:rsid w:val="0067477D"/>
    <w:rsid w:val="00674CC3"/>
    <w:rsid w:val="00674FE0"/>
    <w:rsid w:val="00675681"/>
    <w:rsid w:val="00675C72"/>
    <w:rsid w:val="00676BCC"/>
    <w:rsid w:val="00676EBD"/>
    <w:rsid w:val="006771F9"/>
    <w:rsid w:val="006776D7"/>
    <w:rsid w:val="00677EF6"/>
    <w:rsid w:val="00680763"/>
    <w:rsid w:val="00680F75"/>
    <w:rsid w:val="00681003"/>
    <w:rsid w:val="00681225"/>
    <w:rsid w:val="00681300"/>
    <w:rsid w:val="00681455"/>
    <w:rsid w:val="006817C9"/>
    <w:rsid w:val="0068184E"/>
    <w:rsid w:val="00681954"/>
    <w:rsid w:val="00681FE7"/>
    <w:rsid w:val="00682D7F"/>
    <w:rsid w:val="00683199"/>
    <w:rsid w:val="0068320E"/>
    <w:rsid w:val="0068345C"/>
    <w:rsid w:val="00683CDE"/>
    <w:rsid w:val="00683ECE"/>
    <w:rsid w:val="00684B56"/>
    <w:rsid w:val="00685538"/>
    <w:rsid w:val="00685D95"/>
    <w:rsid w:val="00687D41"/>
    <w:rsid w:val="00690402"/>
    <w:rsid w:val="00691AF1"/>
    <w:rsid w:val="00691B95"/>
    <w:rsid w:val="00693114"/>
    <w:rsid w:val="006939D6"/>
    <w:rsid w:val="00694333"/>
    <w:rsid w:val="006948BF"/>
    <w:rsid w:val="00695FC2"/>
    <w:rsid w:val="00696949"/>
    <w:rsid w:val="00696B2E"/>
    <w:rsid w:val="00697052"/>
    <w:rsid w:val="006974DE"/>
    <w:rsid w:val="006A0FB1"/>
    <w:rsid w:val="006A1333"/>
    <w:rsid w:val="006A2E08"/>
    <w:rsid w:val="006A2E52"/>
    <w:rsid w:val="006A321E"/>
    <w:rsid w:val="006A34A2"/>
    <w:rsid w:val="006A46B9"/>
    <w:rsid w:val="006A46FB"/>
    <w:rsid w:val="006A5E28"/>
    <w:rsid w:val="006A697B"/>
    <w:rsid w:val="006A6AF3"/>
    <w:rsid w:val="006A718E"/>
    <w:rsid w:val="006A71FC"/>
    <w:rsid w:val="006A7AFF"/>
    <w:rsid w:val="006A7CA3"/>
    <w:rsid w:val="006B1816"/>
    <w:rsid w:val="006B2099"/>
    <w:rsid w:val="006B2E36"/>
    <w:rsid w:val="006B4ED9"/>
    <w:rsid w:val="006B50CF"/>
    <w:rsid w:val="006B57E7"/>
    <w:rsid w:val="006B5FAD"/>
    <w:rsid w:val="006B5FB7"/>
    <w:rsid w:val="006B60B4"/>
    <w:rsid w:val="006B6228"/>
    <w:rsid w:val="006B6F27"/>
    <w:rsid w:val="006B7650"/>
    <w:rsid w:val="006B7AE2"/>
    <w:rsid w:val="006B7C54"/>
    <w:rsid w:val="006C03B8"/>
    <w:rsid w:val="006C0ACC"/>
    <w:rsid w:val="006C1011"/>
    <w:rsid w:val="006C11DD"/>
    <w:rsid w:val="006C2FE7"/>
    <w:rsid w:val="006C3834"/>
    <w:rsid w:val="006C38B4"/>
    <w:rsid w:val="006C56E8"/>
    <w:rsid w:val="006C59B3"/>
    <w:rsid w:val="006C5A6E"/>
    <w:rsid w:val="006C5EC9"/>
    <w:rsid w:val="006C6059"/>
    <w:rsid w:val="006C6ED9"/>
    <w:rsid w:val="006C7084"/>
    <w:rsid w:val="006C7522"/>
    <w:rsid w:val="006C7A6B"/>
    <w:rsid w:val="006D0CB8"/>
    <w:rsid w:val="006D10CC"/>
    <w:rsid w:val="006D1484"/>
    <w:rsid w:val="006D184B"/>
    <w:rsid w:val="006D4C18"/>
    <w:rsid w:val="006D4EFD"/>
    <w:rsid w:val="006D5F00"/>
    <w:rsid w:val="006D6954"/>
    <w:rsid w:val="006D6F08"/>
    <w:rsid w:val="006D7685"/>
    <w:rsid w:val="006D7A83"/>
    <w:rsid w:val="006D7C3C"/>
    <w:rsid w:val="006E062C"/>
    <w:rsid w:val="006E0D86"/>
    <w:rsid w:val="006E171D"/>
    <w:rsid w:val="006E1C82"/>
    <w:rsid w:val="006E1FBD"/>
    <w:rsid w:val="006E28B7"/>
    <w:rsid w:val="006E2A9B"/>
    <w:rsid w:val="006E3310"/>
    <w:rsid w:val="006E3892"/>
    <w:rsid w:val="006E39F0"/>
    <w:rsid w:val="006E3BC1"/>
    <w:rsid w:val="006E3C62"/>
    <w:rsid w:val="006E3CA9"/>
    <w:rsid w:val="006E3F02"/>
    <w:rsid w:val="006E43E4"/>
    <w:rsid w:val="006E4446"/>
    <w:rsid w:val="006E47AC"/>
    <w:rsid w:val="006E4E39"/>
    <w:rsid w:val="006E565E"/>
    <w:rsid w:val="006E673D"/>
    <w:rsid w:val="006E7145"/>
    <w:rsid w:val="006E7180"/>
    <w:rsid w:val="006E71D0"/>
    <w:rsid w:val="006E7D3B"/>
    <w:rsid w:val="006E7E00"/>
    <w:rsid w:val="006F0C6D"/>
    <w:rsid w:val="006F0F1A"/>
    <w:rsid w:val="006F104D"/>
    <w:rsid w:val="006F1B70"/>
    <w:rsid w:val="006F1E93"/>
    <w:rsid w:val="006F2437"/>
    <w:rsid w:val="006F2713"/>
    <w:rsid w:val="006F2923"/>
    <w:rsid w:val="006F2935"/>
    <w:rsid w:val="006F341D"/>
    <w:rsid w:val="006F3718"/>
    <w:rsid w:val="006F3CDE"/>
    <w:rsid w:val="006F3F6D"/>
    <w:rsid w:val="006F58D4"/>
    <w:rsid w:val="006F6582"/>
    <w:rsid w:val="006F6B98"/>
    <w:rsid w:val="006F70EE"/>
    <w:rsid w:val="006F726B"/>
    <w:rsid w:val="006F773E"/>
    <w:rsid w:val="007005A7"/>
    <w:rsid w:val="00700BA0"/>
    <w:rsid w:val="00701741"/>
    <w:rsid w:val="00702C0C"/>
    <w:rsid w:val="0070346E"/>
    <w:rsid w:val="007035E1"/>
    <w:rsid w:val="00704875"/>
    <w:rsid w:val="00704EDB"/>
    <w:rsid w:val="007054E9"/>
    <w:rsid w:val="00706101"/>
    <w:rsid w:val="0070663C"/>
    <w:rsid w:val="00706FB9"/>
    <w:rsid w:val="00707072"/>
    <w:rsid w:val="007076E9"/>
    <w:rsid w:val="00707D61"/>
    <w:rsid w:val="007104E0"/>
    <w:rsid w:val="00712287"/>
    <w:rsid w:val="00712603"/>
    <w:rsid w:val="00712772"/>
    <w:rsid w:val="00713587"/>
    <w:rsid w:val="007136D1"/>
    <w:rsid w:val="00714366"/>
    <w:rsid w:val="007148D3"/>
    <w:rsid w:val="00715B9A"/>
    <w:rsid w:val="00716A86"/>
    <w:rsid w:val="00716CCC"/>
    <w:rsid w:val="00717D8F"/>
    <w:rsid w:val="00717E5A"/>
    <w:rsid w:val="007210D8"/>
    <w:rsid w:val="00721752"/>
    <w:rsid w:val="00721B32"/>
    <w:rsid w:val="00721CA0"/>
    <w:rsid w:val="00724B3D"/>
    <w:rsid w:val="00725413"/>
    <w:rsid w:val="007257D0"/>
    <w:rsid w:val="007262A4"/>
    <w:rsid w:val="007262AD"/>
    <w:rsid w:val="00726EA6"/>
    <w:rsid w:val="00727208"/>
    <w:rsid w:val="00727680"/>
    <w:rsid w:val="007279AF"/>
    <w:rsid w:val="00727A5D"/>
    <w:rsid w:val="007304A7"/>
    <w:rsid w:val="0073292E"/>
    <w:rsid w:val="0073479F"/>
    <w:rsid w:val="007348B1"/>
    <w:rsid w:val="0073518F"/>
    <w:rsid w:val="007355B0"/>
    <w:rsid w:val="00735698"/>
    <w:rsid w:val="007362A6"/>
    <w:rsid w:val="007364F1"/>
    <w:rsid w:val="00736D7D"/>
    <w:rsid w:val="0073723A"/>
    <w:rsid w:val="0074019A"/>
    <w:rsid w:val="007401B5"/>
    <w:rsid w:val="00740D30"/>
    <w:rsid w:val="00740E4D"/>
    <w:rsid w:val="00740E58"/>
    <w:rsid w:val="00742C49"/>
    <w:rsid w:val="007433C3"/>
    <w:rsid w:val="007445A0"/>
    <w:rsid w:val="0074524B"/>
    <w:rsid w:val="0074614E"/>
    <w:rsid w:val="0074617D"/>
    <w:rsid w:val="00746553"/>
    <w:rsid w:val="00746D91"/>
    <w:rsid w:val="0074705A"/>
    <w:rsid w:val="007473B5"/>
    <w:rsid w:val="00747D8B"/>
    <w:rsid w:val="00750597"/>
    <w:rsid w:val="00751228"/>
    <w:rsid w:val="00751742"/>
    <w:rsid w:val="00752644"/>
    <w:rsid w:val="00752BFB"/>
    <w:rsid w:val="00753924"/>
    <w:rsid w:val="007541C2"/>
    <w:rsid w:val="00754FFF"/>
    <w:rsid w:val="00755611"/>
    <w:rsid w:val="007571E1"/>
    <w:rsid w:val="00757BC0"/>
    <w:rsid w:val="0076043C"/>
    <w:rsid w:val="007604B2"/>
    <w:rsid w:val="007608CE"/>
    <w:rsid w:val="00760A7D"/>
    <w:rsid w:val="00761110"/>
    <w:rsid w:val="0076116E"/>
    <w:rsid w:val="00761447"/>
    <w:rsid w:val="007634F9"/>
    <w:rsid w:val="007643C7"/>
    <w:rsid w:val="00765281"/>
    <w:rsid w:val="007664AF"/>
    <w:rsid w:val="00766BAD"/>
    <w:rsid w:val="00766E6F"/>
    <w:rsid w:val="00770327"/>
    <w:rsid w:val="00770FF4"/>
    <w:rsid w:val="007729A2"/>
    <w:rsid w:val="00773FD7"/>
    <w:rsid w:val="00774AD3"/>
    <w:rsid w:val="007751F2"/>
    <w:rsid w:val="007755CC"/>
    <w:rsid w:val="007755F2"/>
    <w:rsid w:val="007767D3"/>
    <w:rsid w:val="00776971"/>
    <w:rsid w:val="00776AA2"/>
    <w:rsid w:val="00776F31"/>
    <w:rsid w:val="00777A76"/>
    <w:rsid w:val="00777CA3"/>
    <w:rsid w:val="00780034"/>
    <w:rsid w:val="0078031D"/>
    <w:rsid w:val="00780331"/>
    <w:rsid w:val="0078093E"/>
    <w:rsid w:val="00780A80"/>
    <w:rsid w:val="00780E84"/>
    <w:rsid w:val="0078177E"/>
    <w:rsid w:val="00781DA6"/>
    <w:rsid w:val="0078304C"/>
    <w:rsid w:val="00783673"/>
    <w:rsid w:val="00783B8F"/>
    <w:rsid w:val="00783C89"/>
    <w:rsid w:val="0078425E"/>
    <w:rsid w:val="007843C3"/>
    <w:rsid w:val="00785490"/>
    <w:rsid w:val="007869FD"/>
    <w:rsid w:val="0078731E"/>
    <w:rsid w:val="007903EA"/>
    <w:rsid w:val="00791311"/>
    <w:rsid w:val="00791B2E"/>
    <w:rsid w:val="00792403"/>
    <w:rsid w:val="007925EA"/>
    <w:rsid w:val="00792A01"/>
    <w:rsid w:val="00793CD8"/>
    <w:rsid w:val="00795A20"/>
    <w:rsid w:val="00795C92"/>
    <w:rsid w:val="00795CA4"/>
    <w:rsid w:val="0079618A"/>
    <w:rsid w:val="00796231"/>
    <w:rsid w:val="007965E9"/>
    <w:rsid w:val="00796B94"/>
    <w:rsid w:val="00796C94"/>
    <w:rsid w:val="00796E86"/>
    <w:rsid w:val="00797AA5"/>
    <w:rsid w:val="00797AC9"/>
    <w:rsid w:val="007A0D4E"/>
    <w:rsid w:val="007A14AE"/>
    <w:rsid w:val="007A1CB3"/>
    <w:rsid w:val="007A306F"/>
    <w:rsid w:val="007A3A96"/>
    <w:rsid w:val="007A3F5A"/>
    <w:rsid w:val="007A43A6"/>
    <w:rsid w:val="007A44B6"/>
    <w:rsid w:val="007A58A6"/>
    <w:rsid w:val="007A5B0C"/>
    <w:rsid w:val="007A6143"/>
    <w:rsid w:val="007A6BEF"/>
    <w:rsid w:val="007A6C0A"/>
    <w:rsid w:val="007B0E4E"/>
    <w:rsid w:val="007B198A"/>
    <w:rsid w:val="007B19CE"/>
    <w:rsid w:val="007B36E1"/>
    <w:rsid w:val="007B3D2D"/>
    <w:rsid w:val="007B4C26"/>
    <w:rsid w:val="007B50AE"/>
    <w:rsid w:val="007B51DF"/>
    <w:rsid w:val="007B523E"/>
    <w:rsid w:val="007B5695"/>
    <w:rsid w:val="007B5ABB"/>
    <w:rsid w:val="007B6462"/>
    <w:rsid w:val="007B6B29"/>
    <w:rsid w:val="007B7943"/>
    <w:rsid w:val="007C05DD"/>
    <w:rsid w:val="007C0658"/>
    <w:rsid w:val="007C0960"/>
    <w:rsid w:val="007C21A1"/>
    <w:rsid w:val="007C2F05"/>
    <w:rsid w:val="007C3C78"/>
    <w:rsid w:val="007C3D18"/>
    <w:rsid w:val="007C4AB1"/>
    <w:rsid w:val="007C4B2C"/>
    <w:rsid w:val="007C50E8"/>
    <w:rsid w:val="007C60BF"/>
    <w:rsid w:val="007C6A07"/>
    <w:rsid w:val="007C75A1"/>
    <w:rsid w:val="007C75AB"/>
    <w:rsid w:val="007C77A5"/>
    <w:rsid w:val="007D04E5"/>
    <w:rsid w:val="007D07A0"/>
    <w:rsid w:val="007D1559"/>
    <w:rsid w:val="007D2C3A"/>
    <w:rsid w:val="007D2F19"/>
    <w:rsid w:val="007D34FC"/>
    <w:rsid w:val="007D3CCC"/>
    <w:rsid w:val="007D4216"/>
    <w:rsid w:val="007D5901"/>
    <w:rsid w:val="007D635F"/>
    <w:rsid w:val="007D7526"/>
    <w:rsid w:val="007D7B42"/>
    <w:rsid w:val="007E0DC1"/>
    <w:rsid w:val="007E1102"/>
    <w:rsid w:val="007E120B"/>
    <w:rsid w:val="007E1240"/>
    <w:rsid w:val="007E1805"/>
    <w:rsid w:val="007E1CBB"/>
    <w:rsid w:val="007E2A09"/>
    <w:rsid w:val="007E2E5E"/>
    <w:rsid w:val="007E3CD2"/>
    <w:rsid w:val="007E4166"/>
    <w:rsid w:val="007E4610"/>
    <w:rsid w:val="007E4715"/>
    <w:rsid w:val="007E4F91"/>
    <w:rsid w:val="007E505B"/>
    <w:rsid w:val="007E5A55"/>
    <w:rsid w:val="007E5A87"/>
    <w:rsid w:val="007E6055"/>
    <w:rsid w:val="007E7091"/>
    <w:rsid w:val="007E71EB"/>
    <w:rsid w:val="007F09A8"/>
    <w:rsid w:val="007F24FD"/>
    <w:rsid w:val="007F267A"/>
    <w:rsid w:val="007F3861"/>
    <w:rsid w:val="007F3F74"/>
    <w:rsid w:val="007F64D0"/>
    <w:rsid w:val="007F761B"/>
    <w:rsid w:val="007F76FD"/>
    <w:rsid w:val="00800763"/>
    <w:rsid w:val="00802769"/>
    <w:rsid w:val="00803FAE"/>
    <w:rsid w:val="0080413E"/>
    <w:rsid w:val="00804362"/>
    <w:rsid w:val="00804AB7"/>
    <w:rsid w:val="00805B47"/>
    <w:rsid w:val="0080605F"/>
    <w:rsid w:val="00806E25"/>
    <w:rsid w:val="00807786"/>
    <w:rsid w:val="008116C9"/>
    <w:rsid w:val="00811FCB"/>
    <w:rsid w:val="00812235"/>
    <w:rsid w:val="0081280C"/>
    <w:rsid w:val="00812BD6"/>
    <w:rsid w:val="00814BA1"/>
    <w:rsid w:val="00814C4B"/>
    <w:rsid w:val="00814D42"/>
    <w:rsid w:val="00814F4D"/>
    <w:rsid w:val="008152B9"/>
    <w:rsid w:val="008158D6"/>
    <w:rsid w:val="00815B48"/>
    <w:rsid w:val="00816E6B"/>
    <w:rsid w:val="00816E7E"/>
    <w:rsid w:val="00817196"/>
    <w:rsid w:val="008171A4"/>
    <w:rsid w:val="008171A5"/>
    <w:rsid w:val="0081769B"/>
    <w:rsid w:val="008177A0"/>
    <w:rsid w:val="0082097C"/>
    <w:rsid w:val="00820E86"/>
    <w:rsid w:val="00820F62"/>
    <w:rsid w:val="008221A3"/>
    <w:rsid w:val="00822ABE"/>
    <w:rsid w:val="008235DB"/>
    <w:rsid w:val="0082372C"/>
    <w:rsid w:val="0082389D"/>
    <w:rsid w:val="008246CE"/>
    <w:rsid w:val="00824AB4"/>
    <w:rsid w:val="00825BDD"/>
    <w:rsid w:val="00825C42"/>
    <w:rsid w:val="00825D25"/>
    <w:rsid w:val="0082616F"/>
    <w:rsid w:val="00827199"/>
    <w:rsid w:val="00827CE4"/>
    <w:rsid w:val="00827D6F"/>
    <w:rsid w:val="0083152D"/>
    <w:rsid w:val="00831803"/>
    <w:rsid w:val="00831A58"/>
    <w:rsid w:val="00831C5A"/>
    <w:rsid w:val="00831F35"/>
    <w:rsid w:val="0083293E"/>
    <w:rsid w:val="00833B7A"/>
    <w:rsid w:val="0083456D"/>
    <w:rsid w:val="00834B86"/>
    <w:rsid w:val="00836437"/>
    <w:rsid w:val="0083743A"/>
    <w:rsid w:val="008376AC"/>
    <w:rsid w:val="008421D5"/>
    <w:rsid w:val="00843939"/>
    <w:rsid w:val="00843DAB"/>
    <w:rsid w:val="008444E8"/>
    <w:rsid w:val="00844AE4"/>
    <w:rsid w:val="00844E80"/>
    <w:rsid w:val="00845122"/>
    <w:rsid w:val="0084571B"/>
    <w:rsid w:val="008465FA"/>
    <w:rsid w:val="00846FE7"/>
    <w:rsid w:val="00847721"/>
    <w:rsid w:val="00850525"/>
    <w:rsid w:val="008506F4"/>
    <w:rsid w:val="00851467"/>
    <w:rsid w:val="00851E8E"/>
    <w:rsid w:val="00852016"/>
    <w:rsid w:val="008522AF"/>
    <w:rsid w:val="00852904"/>
    <w:rsid w:val="0085308B"/>
    <w:rsid w:val="008537F6"/>
    <w:rsid w:val="00853870"/>
    <w:rsid w:val="00853CB7"/>
    <w:rsid w:val="008559FB"/>
    <w:rsid w:val="00855B3B"/>
    <w:rsid w:val="0085600A"/>
    <w:rsid w:val="008568F3"/>
    <w:rsid w:val="00856911"/>
    <w:rsid w:val="00857672"/>
    <w:rsid w:val="00857873"/>
    <w:rsid w:val="00857C8B"/>
    <w:rsid w:val="00860844"/>
    <w:rsid w:val="00860998"/>
    <w:rsid w:val="0086177F"/>
    <w:rsid w:val="00861C55"/>
    <w:rsid w:val="00864064"/>
    <w:rsid w:val="008650F4"/>
    <w:rsid w:val="00865257"/>
    <w:rsid w:val="0086565E"/>
    <w:rsid w:val="00865ABA"/>
    <w:rsid w:val="00865C2E"/>
    <w:rsid w:val="0086618B"/>
    <w:rsid w:val="00866406"/>
    <w:rsid w:val="008668C9"/>
    <w:rsid w:val="00867215"/>
    <w:rsid w:val="008677FD"/>
    <w:rsid w:val="008700E9"/>
    <w:rsid w:val="00870387"/>
    <w:rsid w:val="008706D4"/>
    <w:rsid w:val="00870F8A"/>
    <w:rsid w:val="008719A4"/>
    <w:rsid w:val="00871D23"/>
    <w:rsid w:val="00871D86"/>
    <w:rsid w:val="00873ED2"/>
    <w:rsid w:val="00873F07"/>
    <w:rsid w:val="00874312"/>
    <w:rsid w:val="0087437C"/>
    <w:rsid w:val="0087468F"/>
    <w:rsid w:val="00875CD7"/>
    <w:rsid w:val="00876B4D"/>
    <w:rsid w:val="00876BE2"/>
    <w:rsid w:val="00876EF5"/>
    <w:rsid w:val="008773E6"/>
    <w:rsid w:val="008773F3"/>
    <w:rsid w:val="00877465"/>
    <w:rsid w:val="00877F18"/>
    <w:rsid w:val="00880B24"/>
    <w:rsid w:val="008817FA"/>
    <w:rsid w:val="00881C51"/>
    <w:rsid w:val="008820F0"/>
    <w:rsid w:val="00882AB6"/>
    <w:rsid w:val="008840FE"/>
    <w:rsid w:val="008843B8"/>
    <w:rsid w:val="00884424"/>
    <w:rsid w:val="00885008"/>
    <w:rsid w:val="008854A9"/>
    <w:rsid w:val="0088769B"/>
    <w:rsid w:val="008907B8"/>
    <w:rsid w:val="00890D57"/>
    <w:rsid w:val="0089134E"/>
    <w:rsid w:val="00891B65"/>
    <w:rsid w:val="008941E3"/>
    <w:rsid w:val="0089452E"/>
    <w:rsid w:val="00894A88"/>
    <w:rsid w:val="00895386"/>
    <w:rsid w:val="008969A6"/>
    <w:rsid w:val="008A1878"/>
    <w:rsid w:val="008A2125"/>
    <w:rsid w:val="008A21FF"/>
    <w:rsid w:val="008A29DA"/>
    <w:rsid w:val="008A2CE2"/>
    <w:rsid w:val="008A30AC"/>
    <w:rsid w:val="008A3EF0"/>
    <w:rsid w:val="008A42E8"/>
    <w:rsid w:val="008A44B8"/>
    <w:rsid w:val="008A51A8"/>
    <w:rsid w:val="008A54C7"/>
    <w:rsid w:val="008A5AE8"/>
    <w:rsid w:val="008A6D87"/>
    <w:rsid w:val="008A77D8"/>
    <w:rsid w:val="008A784B"/>
    <w:rsid w:val="008A7DF9"/>
    <w:rsid w:val="008B0483"/>
    <w:rsid w:val="008B120C"/>
    <w:rsid w:val="008B1257"/>
    <w:rsid w:val="008B2FAC"/>
    <w:rsid w:val="008B51A0"/>
    <w:rsid w:val="008B592A"/>
    <w:rsid w:val="008B6227"/>
    <w:rsid w:val="008B6904"/>
    <w:rsid w:val="008B7505"/>
    <w:rsid w:val="008B763F"/>
    <w:rsid w:val="008B7B5C"/>
    <w:rsid w:val="008C0C99"/>
    <w:rsid w:val="008C1EC7"/>
    <w:rsid w:val="008C2017"/>
    <w:rsid w:val="008C20C3"/>
    <w:rsid w:val="008C2DD3"/>
    <w:rsid w:val="008C4958"/>
    <w:rsid w:val="008C4BAA"/>
    <w:rsid w:val="008C4ECF"/>
    <w:rsid w:val="008C54EE"/>
    <w:rsid w:val="008C5938"/>
    <w:rsid w:val="008C67CD"/>
    <w:rsid w:val="008C6949"/>
    <w:rsid w:val="008C6ADF"/>
    <w:rsid w:val="008C6AE8"/>
    <w:rsid w:val="008C7573"/>
    <w:rsid w:val="008D00A5"/>
    <w:rsid w:val="008D0DA6"/>
    <w:rsid w:val="008D34F1"/>
    <w:rsid w:val="008D39D8"/>
    <w:rsid w:val="008D3BB1"/>
    <w:rsid w:val="008D5C28"/>
    <w:rsid w:val="008D62CD"/>
    <w:rsid w:val="008D6D1A"/>
    <w:rsid w:val="008D707A"/>
    <w:rsid w:val="008D7CE1"/>
    <w:rsid w:val="008E065D"/>
    <w:rsid w:val="008E065E"/>
    <w:rsid w:val="008E0914"/>
    <w:rsid w:val="008E0927"/>
    <w:rsid w:val="008E115F"/>
    <w:rsid w:val="008E1404"/>
    <w:rsid w:val="008E1909"/>
    <w:rsid w:val="008E1C94"/>
    <w:rsid w:val="008E4EBB"/>
    <w:rsid w:val="008E5378"/>
    <w:rsid w:val="008E6569"/>
    <w:rsid w:val="008E6737"/>
    <w:rsid w:val="008E723C"/>
    <w:rsid w:val="008E7855"/>
    <w:rsid w:val="008E7DBB"/>
    <w:rsid w:val="008F0B3C"/>
    <w:rsid w:val="008F0C73"/>
    <w:rsid w:val="008F1C4E"/>
    <w:rsid w:val="008F1CD7"/>
    <w:rsid w:val="008F1EAB"/>
    <w:rsid w:val="008F2924"/>
    <w:rsid w:val="008F2B04"/>
    <w:rsid w:val="008F33DC"/>
    <w:rsid w:val="008F3D46"/>
    <w:rsid w:val="008F4035"/>
    <w:rsid w:val="008F477F"/>
    <w:rsid w:val="008F55C0"/>
    <w:rsid w:val="008F6C4D"/>
    <w:rsid w:val="008F7FFC"/>
    <w:rsid w:val="009004D0"/>
    <w:rsid w:val="00901107"/>
    <w:rsid w:val="009014A7"/>
    <w:rsid w:val="00901B4E"/>
    <w:rsid w:val="00902350"/>
    <w:rsid w:val="0090336B"/>
    <w:rsid w:val="00903472"/>
    <w:rsid w:val="00903741"/>
    <w:rsid w:val="0090380B"/>
    <w:rsid w:val="009048B1"/>
    <w:rsid w:val="009048C1"/>
    <w:rsid w:val="00904E24"/>
    <w:rsid w:val="009053AA"/>
    <w:rsid w:val="00905A72"/>
    <w:rsid w:val="00906410"/>
    <w:rsid w:val="00906862"/>
    <w:rsid w:val="00906939"/>
    <w:rsid w:val="00910B7D"/>
    <w:rsid w:val="00911DFB"/>
    <w:rsid w:val="0091215A"/>
    <w:rsid w:val="00912236"/>
    <w:rsid w:val="00912549"/>
    <w:rsid w:val="009125A6"/>
    <w:rsid w:val="009139D9"/>
    <w:rsid w:val="009145D7"/>
    <w:rsid w:val="00914AD8"/>
    <w:rsid w:val="009152E8"/>
    <w:rsid w:val="00915359"/>
    <w:rsid w:val="00915364"/>
    <w:rsid w:val="0091548D"/>
    <w:rsid w:val="00916079"/>
    <w:rsid w:val="00916286"/>
    <w:rsid w:val="00916DF3"/>
    <w:rsid w:val="0091763C"/>
    <w:rsid w:val="00917CE9"/>
    <w:rsid w:val="0092075B"/>
    <w:rsid w:val="009208B2"/>
    <w:rsid w:val="00920BF2"/>
    <w:rsid w:val="00922010"/>
    <w:rsid w:val="0092236C"/>
    <w:rsid w:val="009223CE"/>
    <w:rsid w:val="00922686"/>
    <w:rsid w:val="009234EE"/>
    <w:rsid w:val="00923A84"/>
    <w:rsid w:val="00924EEA"/>
    <w:rsid w:val="0092571F"/>
    <w:rsid w:val="00925A6D"/>
    <w:rsid w:val="009265B2"/>
    <w:rsid w:val="00927083"/>
    <w:rsid w:val="00927994"/>
    <w:rsid w:val="00930D56"/>
    <w:rsid w:val="00931BD9"/>
    <w:rsid w:val="00932282"/>
    <w:rsid w:val="00933671"/>
    <w:rsid w:val="009368F3"/>
    <w:rsid w:val="00936E00"/>
    <w:rsid w:val="00937FC2"/>
    <w:rsid w:val="009406C4"/>
    <w:rsid w:val="009406E7"/>
    <w:rsid w:val="00941636"/>
    <w:rsid w:val="00942CC2"/>
    <w:rsid w:val="00943742"/>
    <w:rsid w:val="00943CCA"/>
    <w:rsid w:val="00944C7E"/>
    <w:rsid w:val="0094553D"/>
    <w:rsid w:val="00945C05"/>
    <w:rsid w:val="00945FBE"/>
    <w:rsid w:val="009465A3"/>
    <w:rsid w:val="00946945"/>
    <w:rsid w:val="009470E6"/>
    <w:rsid w:val="0094720A"/>
    <w:rsid w:val="00947713"/>
    <w:rsid w:val="00947942"/>
    <w:rsid w:val="0095044A"/>
    <w:rsid w:val="0095089D"/>
    <w:rsid w:val="00950C90"/>
    <w:rsid w:val="00950DE7"/>
    <w:rsid w:val="00950EE4"/>
    <w:rsid w:val="00951452"/>
    <w:rsid w:val="00952201"/>
    <w:rsid w:val="00952246"/>
    <w:rsid w:val="0095262F"/>
    <w:rsid w:val="009535BB"/>
    <w:rsid w:val="00953920"/>
    <w:rsid w:val="009539FB"/>
    <w:rsid w:val="00953D47"/>
    <w:rsid w:val="009540F8"/>
    <w:rsid w:val="00954133"/>
    <w:rsid w:val="009541CF"/>
    <w:rsid w:val="009548C6"/>
    <w:rsid w:val="009552D2"/>
    <w:rsid w:val="0095551F"/>
    <w:rsid w:val="00955BFC"/>
    <w:rsid w:val="0095681E"/>
    <w:rsid w:val="009568B5"/>
    <w:rsid w:val="00956AB1"/>
    <w:rsid w:val="0095705F"/>
    <w:rsid w:val="009572D4"/>
    <w:rsid w:val="00960DA0"/>
    <w:rsid w:val="00961692"/>
    <w:rsid w:val="00961921"/>
    <w:rsid w:val="00962306"/>
    <w:rsid w:val="00963FEB"/>
    <w:rsid w:val="0096430A"/>
    <w:rsid w:val="0096554B"/>
    <w:rsid w:val="0096584A"/>
    <w:rsid w:val="00966DA7"/>
    <w:rsid w:val="009702F4"/>
    <w:rsid w:val="0097034E"/>
    <w:rsid w:val="0097040B"/>
    <w:rsid w:val="00971969"/>
    <w:rsid w:val="00971F08"/>
    <w:rsid w:val="009724E5"/>
    <w:rsid w:val="00972B1D"/>
    <w:rsid w:val="0097306A"/>
    <w:rsid w:val="009730BD"/>
    <w:rsid w:val="00974BF5"/>
    <w:rsid w:val="0097574F"/>
    <w:rsid w:val="0097603D"/>
    <w:rsid w:val="00976166"/>
    <w:rsid w:val="00976949"/>
    <w:rsid w:val="00976CF0"/>
    <w:rsid w:val="00977B20"/>
    <w:rsid w:val="00980477"/>
    <w:rsid w:val="009808B2"/>
    <w:rsid w:val="00981526"/>
    <w:rsid w:val="00981CB5"/>
    <w:rsid w:val="00984E2F"/>
    <w:rsid w:val="00984EEE"/>
    <w:rsid w:val="00985093"/>
    <w:rsid w:val="00985253"/>
    <w:rsid w:val="009853B3"/>
    <w:rsid w:val="0098575A"/>
    <w:rsid w:val="00985BAE"/>
    <w:rsid w:val="0098618F"/>
    <w:rsid w:val="00986559"/>
    <w:rsid w:val="009871E3"/>
    <w:rsid w:val="009879A3"/>
    <w:rsid w:val="00990630"/>
    <w:rsid w:val="009907CE"/>
    <w:rsid w:val="00990C68"/>
    <w:rsid w:val="00990EA2"/>
    <w:rsid w:val="009912DF"/>
    <w:rsid w:val="00991750"/>
    <w:rsid w:val="00991761"/>
    <w:rsid w:val="00992048"/>
    <w:rsid w:val="00992DE3"/>
    <w:rsid w:val="00993479"/>
    <w:rsid w:val="009940F1"/>
    <w:rsid w:val="0099475E"/>
    <w:rsid w:val="00994B1C"/>
    <w:rsid w:val="00994DCA"/>
    <w:rsid w:val="0099516E"/>
    <w:rsid w:val="00995F58"/>
    <w:rsid w:val="009960EC"/>
    <w:rsid w:val="00996145"/>
    <w:rsid w:val="009962EB"/>
    <w:rsid w:val="009970DD"/>
    <w:rsid w:val="009972B0"/>
    <w:rsid w:val="00997585"/>
    <w:rsid w:val="00997DDF"/>
    <w:rsid w:val="009A0DC6"/>
    <w:rsid w:val="009A0FBA"/>
    <w:rsid w:val="009A1601"/>
    <w:rsid w:val="009A3811"/>
    <w:rsid w:val="009A3BB6"/>
    <w:rsid w:val="009A462D"/>
    <w:rsid w:val="009A4FF1"/>
    <w:rsid w:val="009A5706"/>
    <w:rsid w:val="009A5CBA"/>
    <w:rsid w:val="009A6E19"/>
    <w:rsid w:val="009A76BB"/>
    <w:rsid w:val="009B09D7"/>
    <w:rsid w:val="009B12F5"/>
    <w:rsid w:val="009B1717"/>
    <w:rsid w:val="009B1DFC"/>
    <w:rsid w:val="009B1F30"/>
    <w:rsid w:val="009B22C8"/>
    <w:rsid w:val="009B2E1E"/>
    <w:rsid w:val="009B3AC2"/>
    <w:rsid w:val="009B4026"/>
    <w:rsid w:val="009B4378"/>
    <w:rsid w:val="009B44C9"/>
    <w:rsid w:val="009B4773"/>
    <w:rsid w:val="009B4DF4"/>
    <w:rsid w:val="009B564E"/>
    <w:rsid w:val="009B5DEE"/>
    <w:rsid w:val="009B75DF"/>
    <w:rsid w:val="009B760B"/>
    <w:rsid w:val="009B7E87"/>
    <w:rsid w:val="009C0169"/>
    <w:rsid w:val="009C1119"/>
    <w:rsid w:val="009C1E59"/>
    <w:rsid w:val="009C3AEF"/>
    <w:rsid w:val="009C403E"/>
    <w:rsid w:val="009C4449"/>
    <w:rsid w:val="009C56A7"/>
    <w:rsid w:val="009C5D87"/>
    <w:rsid w:val="009C6252"/>
    <w:rsid w:val="009C6FB2"/>
    <w:rsid w:val="009C70A9"/>
    <w:rsid w:val="009C77F0"/>
    <w:rsid w:val="009C7A45"/>
    <w:rsid w:val="009C7F32"/>
    <w:rsid w:val="009D0423"/>
    <w:rsid w:val="009D0911"/>
    <w:rsid w:val="009D0B0F"/>
    <w:rsid w:val="009D2B61"/>
    <w:rsid w:val="009D3BEA"/>
    <w:rsid w:val="009D4BEB"/>
    <w:rsid w:val="009D4FF0"/>
    <w:rsid w:val="009D5617"/>
    <w:rsid w:val="009D5AF2"/>
    <w:rsid w:val="009D6252"/>
    <w:rsid w:val="009D6B84"/>
    <w:rsid w:val="009D703C"/>
    <w:rsid w:val="009D718F"/>
    <w:rsid w:val="009D77CB"/>
    <w:rsid w:val="009D78FA"/>
    <w:rsid w:val="009E068F"/>
    <w:rsid w:val="009E14E0"/>
    <w:rsid w:val="009E1588"/>
    <w:rsid w:val="009E2DCE"/>
    <w:rsid w:val="009E35DB"/>
    <w:rsid w:val="009E46BE"/>
    <w:rsid w:val="009E47A3"/>
    <w:rsid w:val="009E49D4"/>
    <w:rsid w:val="009E509A"/>
    <w:rsid w:val="009E58A7"/>
    <w:rsid w:val="009E596F"/>
    <w:rsid w:val="009E609A"/>
    <w:rsid w:val="009E6417"/>
    <w:rsid w:val="009E6EE3"/>
    <w:rsid w:val="009E7F1E"/>
    <w:rsid w:val="009E7F2C"/>
    <w:rsid w:val="009F08F3"/>
    <w:rsid w:val="009F0C9E"/>
    <w:rsid w:val="009F1741"/>
    <w:rsid w:val="009F20CF"/>
    <w:rsid w:val="009F344F"/>
    <w:rsid w:val="009F3B27"/>
    <w:rsid w:val="009F4374"/>
    <w:rsid w:val="009F50F7"/>
    <w:rsid w:val="009F6041"/>
    <w:rsid w:val="009F73F1"/>
    <w:rsid w:val="009F7D8F"/>
    <w:rsid w:val="00A000F4"/>
    <w:rsid w:val="00A00311"/>
    <w:rsid w:val="00A015AB"/>
    <w:rsid w:val="00A01869"/>
    <w:rsid w:val="00A02608"/>
    <w:rsid w:val="00A031D8"/>
    <w:rsid w:val="00A03BC4"/>
    <w:rsid w:val="00A048A8"/>
    <w:rsid w:val="00A04A01"/>
    <w:rsid w:val="00A04F49"/>
    <w:rsid w:val="00A05E77"/>
    <w:rsid w:val="00A062C3"/>
    <w:rsid w:val="00A06686"/>
    <w:rsid w:val="00A101A2"/>
    <w:rsid w:val="00A114BF"/>
    <w:rsid w:val="00A11D38"/>
    <w:rsid w:val="00A1234D"/>
    <w:rsid w:val="00A12648"/>
    <w:rsid w:val="00A133EA"/>
    <w:rsid w:val="00A137E1"/>
    <w:rsid w:val="00A13E54"/>
    <w:rsid w:val="00A1419D"/>
    <w:rsid w:val="00A14CF1"/>
    <w:rsid w:val="00A1593E"/>
    <w:rsid w:val="00A15EDD"/>
    <w:rsid w:val="00A16FA6"/>
    <w:rsid w:val="00A1710D"/>
    <w:rsid w:val="00A17EAD"/>
    <w:rsid w:val="00A17F63"/>
    <w:rsid w:val="00A21823"/>
    <w:rsid w:val="00A21879"/>
    <w:rsid w:val="00A2193B"/>
    <w:rsid w:val="00A21AF1"/>
    <w:rsid w:val="00A21B6B"/>
    <w:rsid w:val="00A2351A"/>
    <w:rsid w:val="00A2408D"/>
    <w:rsid w:val="00A2483A"/>
    <w:rsid w:val="00A25856"/>
    <w:rsid w:val="00A25B4A"/>
    <w:rsid w:val="00A264A9"/>
    <w:rsid w:val="00A26701"/>
    <w:rsid w:val="00A26929"/>
    <w:rsid w:val="00A26CBC"/>
    <w:rsid w:val="00A26DCF"/>
    <w:rsid w:val="00A273EA"/>
    <w:rsid w:val="00A2770F"/>
    <w:rsid w:val="00A27785"/>
    <w:rsid w:val="00A30187"/>
    <w:rsid w:val="00A30384"/>
    <w:rsid w:val="00A3056B"/>
    <w:rsid w:val="00A3162B"/>
    <w:rsid w:val="00A3176A"/>
    <w:rsid w:val="00A321B0"/>
    <w:rsid w:val="00A32DC8"/>
    <w:rsid w:val="00A33D5C"/>
    <w:rsid w:val="00A34103"/>
    <w:rsid w:val="00A341C1"/>
    <w:rsid w:val="00A3448A"/>
    <w:rsid w:val="00A36297"/>
    <w:rsid w:val="00A36539"/>
    <w:rsid w:val="00A40052"/>
    <w:rsid w:val="00A41E2B"/>
    <w:rsid w:val="00A42056"/>
    <w:rsid w:val="00A435D7"/>
    <w:rsid w:val="00A43F84"/>
    <w:rsid w:val="00A43FAD"/>
    <w:rsid w:val="00A446EF"/>
    <w:rsid w:val="00A45402"/>
    <w:rsid w:val="00A454C4"/>
    <w:rsid w:val="00A45B74"/>
    <w:rsid w:val="00A469F3"/>
    <w:rsid w:val="00A46E33"/>
    <w:rsid w:val="00A472AE"/>
    <w:rsid w:val="00A5024F"/>
    <w:rsid w:val="00A507B3"/>
    <w:rsid w:val="00A508A0"/>
    <w:rsid w:val="00A5092B"/>
    <w:rsid w:val="00A5109F"/>
    <w:rsid w:val="00A51117"/>
    <w:rsid w:val="00A51238"/>
    <w:rsid w:val="00A51307"/>
    <w:rsid w:val="00A515A6"/>
    <w:rsid w:val="00A52559"/>
    <w:rsid w:val="00A52864"/>
    <w:rsid w:val="00A52999"/>
    <w:rsid w:val="00A52B1E"/>
    <w:rsid w:val="00A52E1D"/>
    <w:rsid w:val="00A537DD"/>
    <w:rsid w:val="00A5566B"/>
    <w:rsid w:val="00A55764"/>
    <w:rsid w:val="00A578D7"/>
    <w:rsid w:val="00A60691"/>
    <w:rsid w:val="00A6081E"/>
    <w:rsid w:val="00A60C8D"/>
    <w:rsid w:val="00A60EFD"/>
    <w:rsid w:val="00A61188"/>
    <w:rsid w:val="00A61499"/>
    <w:rsid w:val="00A616AB"/>
    <w:rsid w:val="00A618FE"/>
    <w:rsid w:val="00A61D00"/>
    <w:rsid w:val="00A62239"/>
    <w:rsid w:val="00A62A77"/>
    <w:rsid w:val="00A63483"/>
    <w:rsid w:val="00A653FC"/>
    <w:rsid w:val="00A6548D"/>
    <w:rsid w:val="00A657D7"/>
    <w:rsid w:val="00A6606A"/>
    <w:rsid w:val="00A660AC"/>
    <w:rsid w:val="00A6657A"/>
    <w:rsid w:val="00A66D07"/>
    <w:rsid w:val="00A67582"/>
    <w:rsid w:val="00A67B89"/>
    <w:rsid w:val="00A67E6C"/>
    <w:rsid w:val="00A70A69"/>
    <w:rsid w:val="00A712CA"/>
    <w:rsid w:val="00A71B99"/>
    <w:rsid w:val="00A73048"/>
    <w:rsid w:val="00A732B9"/>
    <w:rsid w:val="00A734C6"/>
    <w:rsid w:val="00A739D0"/>
    <w:rsid w:val="00A742B6"/>
    <w:rsid w:val="00A74875"/>
    <w:rsid w:val="00A75BB9"/>
    <w:rsid w:val="00A761D4"/>
    <w:rsid w:val="00A764A8"/>
    <w:rsid w:val="00A76CC3"/>
    <w:rsid w:val="00A76DF5"/>
    <w:rsid w:val="00A76F38"/>
    <w:rsid w:val="00A77683"/>
    <w:rsid w:val="00A779AA"/>
    <w:rsid w:val="00A77CEB"/>
    <w:rsid w:val="00A77EC4"/>
    <w:rsid w:val="00A80AC6"/>
    <w:rsid w:val="00A80D0C"/>
    <w:rsid w:val="00A81FB0"/>
    <w:rsid w:val="00A84880"/>
    <w:rsid w:val="00A84971"/>
    <w:rsid w:val="00A84C48"/>
    <w:rsid w:val="00A84CCB"/>
    <w:rsid w:val="00A86583"/>
    <w:rsid w:val="00A90167"/>
    <w:rsid w:val="00A923E3"/>
    <w:rsid w:val="00A92879"/>
    <w:rsid w:val="00A92AF3"/>
    <w:rsid w:val="00A92C21"/>
    <w:rsid w:val="00A92C53"/>
    <w:rsid w:val="00A943F9"/>
    <w:rsid w:val="00A9442A"/>
    <w:rsid w:val="00A94D45"/>
    <w:rsid w:val="00A94E56"/>
    <w:rsid w:val="00A94FBE"/>
    <w:rsid w:val="00A955EE"/>
    <w:rsid w:val="00A9567A"/>
    <w:rsid w:val="00A95A45"/>
    <w:rsid w:val="00A96052"/>
    <w:rsid w:val="00A96DEB"/>
    <w:rsid w:val="00A972B6"/>
    <w:rsid w:val="00AA016F"/>
    <w:rsid w:val="00AA0278"/>
    <w:rsid w:val="00AA0869"/>
    <w:rsid w:val="00AA14A6"/>
    <w:rsid w:val="00AA1ED6"/>
    <w:rsid w:val="00AA3057"/>
    <w:rsid w:val="00AA3297"/>
    <w:rsid w:val="00AA3377"/>
    <w:rsid w:val="00AA45A8"/>
    <w:rsid w:val="00AA51D6"/>
    <w:rsid w:val="00AA6A27"/>
    <w:rsid w:val="00AB0BC8"/>
    <w:rsid w:val="00AB11CA"/>
    <w:rsid w:val="00AB14D9"/>
    <w:rsid w:val="00AB210E"/>
    <w:rsid w:val="00AB2E59"/>
    <w:rsid w:val="00AB33F9"/>
    <w:rsid w:val="00AB3991"/>
    <w:rsid w:val="00AB3A07"/>
    <w:rsid w:val="00AB3F07"/>
    <w:rsid w:val="00AB4AB8"/>
    <w:rsid w:val="00AB534F"/>
    <w:rsid w:val="00AB5C6B"/>
    <w:rsid w:val="00AB655E"/>
    <w:rsid w:val="00AC007F"/>
    <w:rsid w:val="00AC0662"/>
    <w:rsid w:val="00AC087D"/>
    <w:rsid w:val="00AC1F7E"/>
    <w:rsid w:val="00AC2159"/>
    <w:rsid w:val="00AC2B0A"/>
    <w:rsid w:val="00AC2ECD"/>
    <w:rsid w:val="00AC3119"/>
    <w:rsid w:val="00AC46E5"/>
    <w:rsid w:val="00AC48FC"/>
    <w:rsid w:val="00AC49FB"/>
    <w:rsid w:val="00AC4F0E"/>
    <w:rsid w:val="00AC5A10"/>
    <w:rsid w:val="00AC6D9F"/>
    <w:rsid w:val="00AD0164"/>
    <w:rsid w:val="00AD0AA3"/>
    <w:rsid w:val="00AD0B18"/>
    <w:rsid w:val="00AD1A16"/>
    <w:rsid w:val="00AD1B62"/>
    <w:rsid w:val="00AD24E5"/>
    <w:rsid w:val="00AD2913"/>
    <w:rsid w:val="00AD2ED0"/>
    <w:rsid w:val="00AD342A"/>
    <w:rsid w:val="00AD397A"/>
    <w:rsid w:val="00AD3C37"/>
    <w:rsid w:val="00AD3F94"/>
    <w:rsid w:val="00AD42C9"/>
    <w:rsid w:val="00AD4A5A"/>
    <w:rsid w:val="00AD5BC3"/>
    <w:rsid w:val="00AD67B6"/>
    <w:rsid w:val="00AD76A8"/>
    <w:rsid w:val="00AD7A98"/>
    <w:rsid w:val="00AE0827"/>
    <w:rsid w:val="00AE0D43"/>
    <w:rsid w:val="00AE1B53"/>
    <w:rsid w:val="00AE27AC"/>
    <w:rsid w:val="00AE40E0"/>
    <w:rsid w:val="00AE4789"/>
    <w:rsid w:val="00AE483E"/>
    <w:rsid w:val="00AE4DBA"/>
    <w:rsid w:val="00AE4EDF"/>
    <w:rsid w:val="00AE4F07"/>
    <w:rsid w:val="00AE5BFB"/>
    <w:rsid w:val="00AE796E"/>
    <w:rsid w:val="00AE7B95"/>
    <w:rsid w:val="00AF0476"/>
    <w:rsid w:val="00AF1C5D"/>
    <w:rsid w:val="00AF2830"/>
    <w:rsid w:val="00AF333C"/>
    <w:rsid w:val="00AF4233"/>
    <w:rsid w:val="00AF42D7"/>
    <w:rsid w:val="00AF5A54"/>
    <w:rsid w:val="00AF6BB0"/>
    <w:rsid w:val="00AF71B0"/>
    <w:rsid w:val="00AF79D7"/>
    <w:rsid w:val="00B00146"/>
    <w:rsid w:val="00B006FE"/>
    <w:rsid w:val="00B007CB"/>
    <w:rsid w:val="00B0290A"/>
    <w:rsid w:val="00B02AA9"/>
    <w:rsid w:val="00B02FA3"/>
    <w:rsid w:val="00B042BA"/>
    <w:rsid w:val="00B05084"/>
    <w:rsid w:val="00B05E1E"/>
    <w:rsid w:val="00B05E70"/>
    <w:rsid w:val="00B068D0"/>
    <w:rsid w:val="00B0696D"/>
    <w:rsid w:val="00B070F9"/>
    <w:rsid w:val="00B074CB"/>
    <w:rsid w:val="00B076C7"/>
    <w:rsid w:val="00B077CC"/>
    <w:rsid w:val="00B11685"/>
    <w:rsid w:val="00B11969"/>
    <w:rsid w:val="00B12AB0"/>
    <w:rsid w:val="00B135F8"/>
    <w:rsid w:val="00B138B2"/>
    <w:rsid w:val="00B13A4A"/>
    <w:rsid w:val="00B13CC7"/>
    <w:rsid w:val="00B157F9"/>
    <w:rsid w:val="00B15A10"/>
    <w:rsid w:val="00B16296"/>
    <w:rsid w:val="00B17833"/>
    <w:rsid w:val="00B17C29"/>
    <w:rsid w:val="00B20256"/>
    <w:rsid w:val="00B2081F"/>
    <w:rsid w:val="00B20D09"/>
    <w:rsid w:val="00B2109B"/>
    <w:rsid w:val="00B215E0"/>
    <w:rsid w:val="00B215F3"/>
    <w:rsid w:val="00B22AB2"/>
    <w:rsid w:val="00B2331F"/>
    <w:rsid w:val="00B23E2C"/>
    <w:rsid w:val="00B2763F"/>
    <w:rsid w:val="00B27A72"/>
    <w:rsid w:val="00B27AAC"/>
    <w:rsid w:val="00B27AD6"/>
    <w:rsid w:val="00B27BB9"/>
    <w:rsid w:val="00B27CBC"/>
    <w:rsid w:val="00B27F65"/>
    <w:rsid w:val="00B306CE"/>
    <w:rsid w:val="00B30929"/>
    <w:rsid w:val="00B30F3E"/>
    <w:rsid w:val="00B32F9E"/>
    <w:rsid w:val="00B332B1"/>
    <w:rsid w:val="00B334C5"/>
    <w:rsid w:val="00B3408A"/>
    <w:rsid w:val="00B34676"/>
    <w:rsid w:val="00B34F37"/>
    <w:rsid w:val="00B355CE"/>
    <w:rsid w:val="00B372AA"/>
    <w:rsid w:val="00B40445"/>
    <w:rsid w:val="00B409E0"/>
    <w:rsid w:val="00B40D00"/>
    <w:rsid w:val="00B40D89"/>
    <w:rsid w:val="00B4117A"/>
    <w:rsid w:val="00B41735"/>
    <w:rsid w:val="00B417B9"/>
    <w:rsid w:val="00B41888"/>
    <w:rsid w:val="00B419C6"/>
    <w:rsid w:val="00B42970"/>
    <w:rsid w:val="00B43474"/>
    <w:rsid w:val="00B44F79"/>
    <w:rsid w:val="00B457CF"/>
    <w:rsid w:val="00B45A52"/>
    <w:rsid w:val="00B46175"/>
    <w:rsid w:val="00B46890"/>
    <w:rsid w:val="00B471A6"/>
    <w:rsid w:val="00B5111D"/>
    <w:rsid w:val="00B51399"/>
    <w:rsid w:val="00B514BB"/>
    <w:rsid w:val="00B52879"/>
    <w:rsid w:val="00B533E0"/>
    <w:rsid w:val="00B53569"/>
    <w:rsid w:val="00B53869"/>
    <w:rsid w:val="00B539E2"/>
    <w:rsid w:val="00B53EB3"/>
    <w:rsid w:val="00B5478D"/>
    <w:rsid w:val="00B548B7"/>
    <w:rsid w:val="00B54D53"/>
    <w:rsid w:val="00B55B2A"/>
    <w:rsid w:val="00B55D0E"/>
    <w:rsid w:val="00B56A0A"/>
    <w:rsid w:val="00B56A8A"/>
    <w:rsid w:val="00B56D20"/>
    <w:rsid w:val="00B57B0D"/>
    <w:rsid w:val="00B57E76"/>
    <w:rsid w:val="00B621D2"/>
    <w:rsid w:val="00B63431"/>
    <w:rsid w:val="00B6360C"/>
    <w:rsid w:val="00B649C0"/>
    <w:rsid w:val="00B6571C"/>
    <w:rsid w:val="00B664C7"/>
    <w:rsid w:val="00B7029C"/>
    <w:rsid w:val="00B713D8"/>
    <w:rsid w:val="00B72445"/>
    <w:rsid w:val="00B739F6"/>
    <w:rsid w:val="00B742BA"/>
    <w:rsid w:val="00B74327"/>
    <w:rsid w:val="00B755A6"/>
    <w:rsid w:val="00B75E58"/>
    <w:rsid w:val="00B75EB4"/>
    <w:rsid w:val="00B763AD"/>
    <w:rsid w:val="00B763B2"/>
    <w:rsid w:val="00B77326"/>
    <w:rsid w:val="00B77D25"/>
    <w:rsid w:val="00B80F32"/>
    <w:rsid w:val="00B81A6C"/>
    <w:rsid w:val="00B8264C"/>
    <w:rsid w:val="00B82ED7"/>
    <w:rsid w:val="00B83C8B"/>
    <w:rsid w:val="00B8431A"/>
    <w:rsid w:val="00B84B24"/>
    <w:rsid w:val="00B85DE5"/>
    <w:rsid w:val="00B86238"/>
    <w:rsid w:val="00B8690D"/>
    <w:rsid w:val="00B86980"/>
    <w:rsid w:val="00B87716"/>
    <w:rsid w:val="00B90290"/>
    <w:rsid w:val="00B90F73"/>
    <w:rsid w:val="00B91D99"/>
    <w:rsid w:val="00B93B59"/>
    <w:rsid w:val="00B9406A"/>
    <w:rsid w:val="00B94528"/>
    <w:rsid w:val="00B959DE"/>
    <w:rsid w:val="00B963C3"/>
    <w:rsid w:val="00B96709"/>
    <w:rsid w:val="00B96FF3"/>
    <w:rsid w:val="00BA179D"/>
    <w:rsid w:val="00BA1C21"/>
    <w:rsid w:val="00BA2280"/>
    <w:rsid w:val="00BA2A08"/>
    <w:rsid w:val="00BA4024"/>
    <w:rsid w:val="00BA40BA"/>
    <w:rsid w:val="00BA4D72"/>
    <w:rsid w:val="00BA56D2"/>
    <w:rsid w:val="00BA5DE7"/>
    <w:rsid w:val="00BA695E"/>
    <w:rsid w:val="00BA76E0"/>
    <w:rsid w:val="00BA7D1A"/>
    <w:rsid w:val="00BB157B"/>
    <w:rsid w:val="00BB1F3D"/>
    <w:rsid w:val="00BB264F"/>
    <w:rsid w:val="00BB2A25"/>
    <w:rsid w:val="00BB2B99"/>
    <w:rsid w:val="00BB3DD1"/>
    <w:rsid w:val="00BB4F1F"/>
    <w:rsid w:val="00BB51E9"/>
    <w:rsid w:val="00BB6D6B"/>
    <w:rsid w:val="00BB7122"/>
    <w:rsid w:val="00BC0FDC"/>
    <w:rsid w:val="00BC1692"/>
    <w:rsid w:val="00BC2BBA"/>
    <w:rsid w:val="00BC3053"/>
    <w:rsid w:val="00BC4067"/>
    <w:rsid w:val="00BC40EB"/>
    <w:rsid w:val="00BC4355"/>
    <w:rsid w:val="00BC4BEA"/>
    <w:rsid w:val="00BC4D2E"/>
    <w:rsid w:val="00BC4D87"/>
    <w:rsid w:val="00BC4FDA"/>
    <w:rsid w:val="00BC7136"/>
    <w:rsid w:val="00BD009D"/>
    <w:rsid w:val="00BD1A2E"/>
    <w:rsid w:val="00BD24EF"/>
    <w:rsid w:val="00BD48AC"/>
    <w:rsid w:val="00BD5153"/>
    <w:rsid w:val="00BD5CBC"/>
    <w:rsid w:val="00BD5F1A"/>
    <w:rsid w:val="00BD658B"/>
    <w:rsid w:val="00BD7465"/>
    <w:rsid w:val="00BE08C9"/>
    <w:rsid w:val="00BE1234"/>
    <w:rsid w:val="00BE2262"/>
    <w:rsid w:val="00BE2FA6"/>
    <w:rsid w:val="00BE31BF"/>
    <w:rsid w:val="00BE333F"/>
    <w:rsid w:val="00BE3EFA"/>
    <w:rsid w:val="00BE44A3"/>
    <w:rsid w:val="00BE6CD1"/>
    <w:rsid w:val="00BE7406"/>
    <w:rsid w:val="00BE7549"/>
    <w:rsid w:val="00BE7603"/>
    <w:rsid w:val="00BE7A5C"/>
    <w:rsid w:val="00BF2B26"/>
    <w:rsid w:val="00BF2E4F"/>
    <w:rsid w:val="00BF3279"/>
    <w:rsid w:val="00BF41B9"/>
    <w:rsid w:val="00BF4201"/>
    <w:rsid w:val="00BF47FF"/>
    <w:rsid w:val="00BF5C45"/>
    <w:rsid w:val="00BF5CD9"/>
    <w:rsid w:val="00BF68C1"/>
    <w:rsid w:val="00BF74C7"/>
    <w:rsid w:val="00C00028"/>
    <w:rsid w:val="00C015F1"/>
    <w:rsid w:val="00C01631"/>
    <w:rsid w:val="00C01F33"/>
    <w:rsid w:val="00C02641"/>
    <w:rsid w:val="00C02CC6"/>
    <w:rsid w:val="00C03B39"/>
    <w:rsid w:val="00C03BDB"/>
    <w:rsid w:val="00C0402B"/>
    <w:rsid w:val="00C040F7"/>
    <w:rsid w:val="00C044AB"/>
    <w:rsid w:val="00C0553A"/>
    <w:rsid w:val="00C055F6"/>
    <w:rsid w:val="00C05706"/>
    <w:rsid w:val="00C067C8"/>
    <w:rsid w:val="00C06FB7"/>
    <w:rsid w:val="00C07377"/>
    <w:rsid w:val="00C0792D"/>
    <w:rsid w:val="00C07F8D"/>
    <w:rsid w:val="00C10478"/>
    <w:rsid w:val="00C11744"/>
    <w:rsid w:val="00C12107"/>
    <w:rsid w:val="00C12557"/>
    <w:rsid w:val="00C1276C"/>
    <w:rsid w:val="00C13360"/>
    <w:rsid w:val="00C138A0"/>
    <w:rsid w:val="00C140A8"/>
    <w:rsid w:val="00C14321"/>
    <w:rsid w:val="00C143BF"/>
    <w:rsid w:val="00C14D4B"/>
    <w:rsid w:val="00C154BB"/>
    <w:rsid w:val="00C16327"/>
    <w:rsid w:val="00C1676C"/>
    <w:rsid w:val="00C16A9C"/>
    <w:rsid w:val="00C16C25"/>
    <w:rsid w:val="00C16DB5"/>
    <w:rsid w:val="00C17770"/>
    <w:rsid w:val="00C17C3E"/>
    <w:rsid w:val="00C2104E"/>
    <w:rsid w:val="00C21216"/>
    <w:rsid w:val="00C21284"/>
    <w:rsid w:val="00C21564"/>
    <w:rsid w:val="00C21FEB"/>
    <w:rsid w:val="00C22656"/>
    <w:rsid w:val="00C234CF"/>
    <w:rsid w:val="00C25FC8"/>
    <w:rsid w:val="00C27498"/>
    <w:rsid w:val="00C279B5"/>
    <w:rsid w:val="00C27C45"/>
    <w:rsid w:val="00C27E0C"/>
    <w:rsid w:val="00C32A7A"/>
    <w:rsid w:val="00C33357"/>
    <w:rsid w:val="00C33805"/>
    <w:rsid w:val="00C34036"/>
    <w:rsid w:val="00C36A06"/>
    <w:rsid w:val="00C36C82"/>
    <w:rsid w:val="00C3716E"/>
    <w:rsid w:val="00C3719D"/>
    <w:rsid w:val="00C372DF"/>
    <w:rsid w:val="00C3788C"/>
    <w:rsid w:val="00C37CB2"/>
    <w:rsid w:val="00C41480"/>
    <w:rsid w:val="00C42BF7"/>
    <w:rsid w:val="00C42C00"/>
    <w:rsid w:val="00C42E8B"/>
    <w:rsid w:val="00C439B3"/>
    <w:rsid w:val="00C43B55"/>
    <w:rsid w:val="00C44D3E"/>
    <w:rsid w:val="00C451C3"/>
    <w:rsid w:val="00C45F5F"/>
    <w:rsid w:val="00C4638E"/>
    <w:rsid w:val="00C46D8B"/>
    <w:rsid w:val="00C47054"/>
    <w:rsid w:val="00C47084"/>
    <w:rsid w:val="00C473A5"/>
    <w:rsid w:val="00C51007"/>
    <w:rsid w:val="00C529A2"/>
    <w:rsid w:val="00C53A0C"/>
    <w:rsid w:val="00C53AE3"/>
    <w:rsid w:val="00C54501"/>
    <w:rsid w:val="00C54995"/>
    <w:rsid w:val="00C54D41"/>
    <w:rsid w:val="00C55327"/>
    <w:rsid w:val="00C55928"/>
    <w:rsid w:val="00C56E86"/>
    <w:rsid w:val="00C57F39"/>
    <w:rsid w:val="00C60783"/>
    <w:rsid w:val="00C60B65"/>
    <w:rsid w:val="00C61AB1"/>
    <w:rsid w:val="00C61D4D"/>
    <w:rsid w:val="00C61E1D"/>
    <w:rsid w:val="00C624A5"/>
    <w:rsid w:val="00C6263D"/>
    <w:rsid w:val="00C6368F"/>
    <w:rsid w:val="00C639E0"/>
    <w:rsid w:val="00C63FE8"/>
    <w:rsid w:val="00C64672"/>
    <w:rsid w:val="00C65046"/>
    <w:rsid w:val="00C65CF4"/>
    <w:rsid w:val="00C6607B"/>
    <w:rsid w:val="00C676A0"/>
    <w:rsid w:val="00C67807"/>
    <w:rsid w:val="00C67DB5"/>
    <w:rsid w:val="00C7044D"/>
    <w:rsid w:val="00C70697"/>
    <w:rsid w:val="00C7170C"/>
    <w:rsid w:val="00C71C95"/>
    <w:rsid w:val="00C72093"/>
    <w:rsid w:val="00C7229A"/>
    <w:rsid w:val="00C729FD"/>
    <w:rsid w:val="00C72EF4"/>
    <w:rsid w:val="00C73149"/>
    <w:rsid w:val="00C73D84"/>
    <w:rsid w:val="00C7406D"/>
    <w:rsid w:val="00C744FE"/>
    <w:rsid w:val="00C75125"/>
    <w:rsid w:val="00C75683"/>
    <w:rsid w:val="00C75C71"/>
    <w:rsid w:val="00C75D2F"/>
    <w:rsid w:val="00C75DCE"/>
    <w:rsid w:val="00C75ED3"/>
    <w:rsid w:val="00C767BE"/>
    <w:rsid w:val="00C768D4"/>
    <w:rsid w:val="00C76A34"/>
    <w:rsid w:val="00C76E3C"/>
    <w:rsid w:val="00C77580"/>
    <w:rsid w:val="00C77659"/>
    <w:rsid w:val="00C802B6"/>
    <w:rsid w:val="00C8051C"/>
    <w:rsid w:val="00C809A2"/>
    <w:rsid w:val="00C80C41"/>
    <w:rsid w:val="00C80D45"/>
    <w:rsid w:val="00C80D69"/>
    <w:rsid w:val="00C81568"/>
    <w:rsid w:val="00C835FA"/>
    <w:rsid w:val="00C8429C"/>
    <w:rsid w:val="00C8446C"/>
    <w:rsid w:val="00C84614"/>
    <w:rsid w:val="00C84953"/>
    <w:rsid w:val="00C8631D"/>
    <w:rsid w:val="00C86E38"/>
    <w:rsid w:val="00C8764B"/>
    <w:rsid w:val="00C87E63"/>
    <w:rsid w:val="00C9027A"/>
    <w:rsid w:val="00C9068E"/>
    <w:rsid w:val="00C90B3F"/>
    <w:rsid w:val="00C9156B"/>
    <w:rsid w:val="00C93607"/>
    <w:rsid w:val="00C93814"/>
    <w:rsid w:val="00C93938"/>
    <w:rsid w:val="00C93C4B"/>
    <w:rsid w:val="00C93EF9"/>
    <w:rsid w:val="00C944AB"/>
    <w:rsid w:val="00C94B9B"/>
    <w:rsid w:val="00C95283"/>
    <w:rsid w:val="00C95B40"/>
    <w:rsid w:val="00C9658B"/>
    <w:rsid w:val="00C96D2D"/>
    <w:rsid w:val="00CA01D3"/>
    <w:rsid w:val="00CA091F"/>
    <w:rsid w:val="00CA0CD7"/>
    <w:rsid w:val="00CA0E1B"/>
    <w:rsid w:val="00CA1444"/>
    <w:rsid w:val="00CA1BEE"/>
    <w:rsid w:val="00CA1ED8"/>
    <w:rsid w:val="00CA312E"/>
    <w:rsid w:val="00CA31DC"/>
    <w:rsid w:val="00CA33C6"/>
    <w:rsid w:val="00CA35A2"/>
    <w:rsid w:val="00CA35B7"/>
    <w:rsid w:val="00CA414F"/>
    <w:rsid w:val="00CA6125"/>
    <w:rsid w:val="00CB08B1"/>
    <w:rsid w:val="00CB0A43"/>
    <w:rsid w:val="00CB1610"/>
    <w:rsid w:val="00CB1F63"/>
    <w:rsid w:val="00CB2C1B"/>
    <w:rsid w:val="00CB2DCF"/>
    <w:rsid w:val="00CB3207"/>
    <w:rsid w:val="00CB32CF"/>
    <w:rsid w:val="00CB3979"/>
    <w:rsid w:val="00CB3AE4"/>
    <w:rsid w:val="00CB3E1D"/>
    <w:rsid w:val="00CB54B7"/>
    <w:rsid w:val="00CB5D3B"/>
    <w:rsid w:val="00CB61D8"/>
    <w:rsid w:val="00CB692C"/>
    <w:rsid w:val="00CB7170"/>
    <w:rsid w:val="00CC040E"/>
    <w:rsid w:val="00CC1082"/>
    <w:rsid w:val="00CC111F"/>
    <w:rsid w:val="00CC1196"/>
    <w:rsid w:val="00CC175A"/>
    <w:rsid w:val="00CC1ADE"/>
    <w:rsid w:val="00CC2011"/>
    <w:rsid w:val="00CC214C"/>
    <w:rsid w:val="00CC3878"/>
    <w:rsid w:val="00CC3A06"/>
    <w:rsid w:val="00CC3BD9"/>
    <w:rsid w:val="00CC3EA0"/>
    <w:rsid w:val="00CC4620"/>
    <w:rsid w:val="00CC4704"/>
    <w:rsid w:val="00CC48E6"/>
    <w:rsid w:val="00CC589F"/>
    <w:rsid w:val="00CC5A2E"/>
    <w:rsid w:val="00CC6BC2"/>
    <w:rsid w:val="00CC75D2"/>
    <w:rsid w:val="00CC7B45"/>
    <w:rsid w:val="00CD0188"/>
    <w:rsid w:val="00CD01B6"/>
    <w:rsid w:val="00CD0974"/>
    <w:rsid w:val="00CD1188"/>
    <w:rsid w:val="00CD11D9"/>
    <w:rsid w:val="00CD122D"/>
    <w:rsid w:val="00CD27D8"/>
    <w:rsid w:val="00CD2ED1"/>
    <w:rsid w:val="00CD337B"/>
    <w:rsid w:val="00CD3630"/>
    <w:rsid w:val="00CD3A9D"/>
    <w:rsid w:val="00CD3BA0"/>
    <w:rsid w:val="00CD402D"/>
    <w:rsid w:val="00CD45DA"/>
    <w:rsid w:val="00CD46DA"/>
    <w:rsid w:val="00CD5720"/>
    <w:rsid w:val="00CD6B76"/>
    <w:rsid w:val="00CE0073"/>
    <w:rsid w:val="00CE0249"/>
    <w:rsid w:val="00CE0424"/>
    <w:rsid w:val="00CE04C3"/>
    <w:rsid w:val="00CE0C92"/>
    <w:rsid w:val="00CE3844"/>
    <w:rsid w:val="00CE421B"/>
    <w:rsid w:val="00CE43D2"/>
    <w:rsid w:val="00CE4F59"/>
    <w:rsid w:val="00CE664F"/>
    <w:rsid w:val="00CE7073"/>
    <w:rsid w:val="00CE7125"/>
    <w:rsid w:val="00CE7187"/>
    <w:rsid w:val="00CE7561"/>
    <w:rsid w:val="00CE7AA3"/>
    <w:rsid w:val="00CE7C40"/>
    <w:rsid w:val="00CE7E69"/>
    <w:rsid w:val="00CE7E8A"/>
    <w:rsid w:val="00CF001A"/>
    <w:rsid w:val="00CF0491"/>
    <w:rsid w:val="00CF0704"/>
    <w:rsid w:val="00CF0F58"/>
    <w:rsid w:val="00CF1354"/>
    <w:rsid w:val="00CF1DF5"/>
    <w:rsid w:val="00CF2F8E"/>
    <w:rsid w:val="00CF3B1F"/>
    <w:rsid w:val="00CF3BF6"/>
    <w:rsid w:val="00CF5555"/>
    <w:rsid w:val="00CF625B"/>
    <w:rsid w:val="00CF687E"/>
    <w:rsid w:val="00CF6DBF"/>
    <w:rsid w:val="00CF7103"/>
    <w:rsid w:val="00CF7407"/>
    <w:rsid w:val="00CF7632"/>
    <w:rsid w:val="00CF7801"/>
    <w:rsid w:val="00CF7942"/>
    <w:rsid w:val="00D0032E"/>
    <w:rsid w:val="00D0148E"/>
    <w:rsid w:val="00D01638"/>
    <w:rsid w:val="00D0239B"/>
    <w:rsid w:val="00D02612"/>
    <w:rsid w:val="00D02BD3"/>
    <w:rsid w:val="00D03157"/>
    <w:rsid w:val="00D0315F"/>
    <w:rsid w:val="00D03352"/>
    <w:rsid w:val="00D033F5"/>
    <w:rsid w:val="00D0349B"/>
    <w:rsid w:val="00D03580"/>
    <w:rsid w:val="00D04846"/>
    <w:rsid w:val="00D05046"/>
    <w:rsid w:val="00D05051"/>
    <w:rsid w:val="00D05717"/>
    <w:rsid w:val="00D0726B"/>
    <w:rsid w:val="00D0739A"/>
    <w:rsid w:val="00D10249"/>
    <w:rsid w:val="00D103CF"/>
    <w:rsid w:val="00D115C3"/>
    <w:rsid w:val="00D11897"/>
    <w:rsid w:val="00D128F9"/>
    <w:rsid w:val="00D12B9F"/>
    <w:rsid w:val="00D13135"/>
    <w:rsid w:val="00D13549"/>
    <w:rsid w:val="00D13E4E"/>
    <w:rsid w:val="00D13F04"/>
    <w:rsid w:val="00D143F2"/>
    <w:rsid w:val="00D14492"/>
    <w:rsid w:val="00D14ACA"/>
    <w:rsid w:val="00D1521A"/>
    <w:rsid w:val="00D15B42"/>
    <w:rsid w:val="00D15D67"/>
    <w:rsid w:val="00D164C7"/>
    <w:rsid w:val="00D1725E"/>
    <w:rsid w:val="00D21351"/>
    <w:rsid w:val="00D239A7"/>
    <w:rsid w:val="00D23F47"/>
    <w:rsid w:val="00D2420F"/>
    <w:rsid w:val="00D25233"/>
    <w:rsid w:val="00D2568B"/>
    <w:rsid w:val="00D2616C"/>
    <w:rsid w:val="00D26CF0"/>
    <w:rsid w:val="00D26D74"/>
    <w:rsid w:val="00D271D8"/>
    <w:rsid w:val="00D27EF7"/>
    <w:rsid w:val="00D319B3"/>
    <w:rsid w:val="00D33DF5"/>
    <w:rsid w:val="00D33EA1"/>
    <w:rsid w:val="00D3594B"/>
    <w:rsid w:val="00D367B4"/>
    <w:rsid w:val="00D36A83"/>
    <w:rsid w:val="00D36E71"/>
    <w:rsid w:val="00D37352"/>
    <w:rsid w:val="00D37D87"/>
    <w:rsid w:val="00D37EE4"/>
    <w:rsid w:val="00D40B33"/>
    <w:rsid w:val="00D40EA3"/>
    <w:rsid w:val="00D412FE"/>
    <w:rsid w:val="00D413D4"/>
    <w:rsid w:val="00D4193E"/>
    <w:rsid w:val="00D41CE8"/>
    <w:rsid w:val="00D4318F"/>
    <w:rsid w:val="00D436D8"/>
    <w:rsid w:val="00D438BF"/>
    <w:rsid w:val="00D43F9F"/>
    <w:rsid w:val="00D440F8"/>
    <w:rsid w:val="00D44DEF"/>
    <w:rsid w:val="00D44F77"/>
    <w:rsid w:val="00D45075"/>
    <w:rsid w:val="00D46398"/>
    <w:rsid w:val="00D47355"/>
    <w:rsid w:val="00D478D1"/>
    <w:rsid w:val="00D47DDA"/>
    <w:rsid w:val="00D500A5"/>
    <w:rsid w:val="00D50146"/>
    <w:rsid w:val="00D5096F"/>
    <w:rsid w:val="00D50E47"/>
    <w:rsid w:val="00D53863"/>
    <w:rsid w:val="00D53D07"/>
    <w:rsid w:val="00D53E12"/>
    <w:rsid w:val="00D543FA"/>
    <w:rsid w:val="00D546FF"/>
    <w:rsid w:val="00D54735"/>
    <w:rsid w:val="00D54C18"/>
    <w:rsid w:val="00D55AD5"/>
    <w:rsid w:val="00D55D93"/>
    <w:rsid w:val="00D56C4A"/>
    <w:rsid w:val="00D56D1F"/>
    <w:rsid w:val="00D576CA"/>
    <w:rsid w:val="00D609F3"/>
    <w:rsid w:val="00D60FF6"/>
    <w:rsid w:val="00D61826"/>
    <w:rsid w:val="00D61AF5"/>
    <w:rsid w:val="00D62056"/>
    <w:rsid w:val="00D62B99"/>
    <w:rsid w:val="00D63CE5"/>
    <w:rsid w:val="00D63FF5"/>
    <w:rsid w:val="00D64801"/>
    <w:rsid w:val="00D652B5"/>
    <w:rsid w:val="00D65D2A"/>
    <w:rsid w:val="00D66155"/>
    <w:rsid w:val="00D668B6"/>
    <w:rsid w:val="00D669FE"/>
    <w:rsid w:val="00D66AD1"/>
    <w:rsid w:val="00D67454"/>
    <w:rsid w:val="00D708B0"/>
    <w:rsid w:val="00D708D5"/>
    <w:rsid w:val="00D70D90"/>
    <w:rsid w:val="00D70EB2"/>
    <w:rsid w:val="00D712F7"/>
    <w:rsid w:val="00D71F67"/>
    <w:rsid w:val="00D72FE6"/>
    <w:rsid w:val="00D732FE"/>
    <w:rsid w:val="00D74294"/>
    <w:rsid w:val="00D74F1B"/>
    <w:rsid w:val="00D758EC"/>
    <w:rsid w:val="00D769CE"/>
    <w:rsid w:val="00D77B1D"/>
    <w:rsid w:val="00D8021F"/>
    <w:rsid w:val="00D80383"/>
    <w:rsid w:val="00D80B1E"/>
    <w:rsid w:val="00D811C0"/>
    <w:rsid w:val="00D81594"/>
    <w:rsid w:val="00D823C6"/>
    <w:rsid w:val="00D8268A"/>
    <w:rsid w:val="00D82EF5"/>
    <w:rsid w:val="00D83141"/>
    <w:rsid w:val="00D8327F"/>
    <w:rsid w:val="00D84969"/>
    <w:rsid w:val="00D856DA"/>
    <w:rsid w:val="00D86CA3"/>
    <w:rsid w:val="00D871CE"/>
    <w:rsid w:val="00D9002C"/>
    <w:rsid w:val="00D90161"/>
    <w:rsid w:val="00D90453"/>
    <w:rsid w:val="00D91564"/>
    <w:rsid w:val="00D9189D"/>
    <w:rsid w:val="00D9196D"/>
    <w:rsid w:val="00D92982"/>
    <w:rsid w:val="00D929B3"/>
    <w:rsid w:val="00D94662"/>
    <w:rsid w:val="00D946BB"/>
    <w:rsid w:val="00D95144"/>
    <w:rsid w:val="00D96468"/>
    <w:rsid w:val="00D97022"/>
    <w:rsid w:val="00D97AA7"/>
    <w:rsid w:val="00D97E13"/>
    <w:rsid w:val="00DA07F6"/>
    <w:rsid w:val="00DA0989"/>
    <w:rsid w:val="00DA2AB3"/>
    <w:rsid w:val="00DA2D16"/>
    <w:rsid w:val="00DA305E"/>
    <w:rsid w:val="00DA312C"/>
    <w:rsid w:val="00DA3E83"/>
    <w:rsid w:val="00DA478A"/>
    <w:rsid w:val="00DA5137"/>
    <w:rsid w:val="00DA5417"/>
    <w:rsid w:val="00DA56E8"/>
    <w:rsid w:val="00DA67B4"/>
    <w:rsid w:val="00DA6BB9"/>
    <w:rsid w:val="00DA751B"/>
    <w:rsid w:val="00DB013B"/>
    <w:rsid w:val="00DB0482"/>
    <w:rsid w:val="00DB0A9F"/>
    <w:rsid w:val="00DB10AA"/>
    <w:rsid w:val="00DB1E95"/>
    <w:rsid w:val="00DB2F49"/>
    <w:rsid w:val="00DB377D"/>
    <w:rsid w:val="00DB4B63"/>
    <w:rsid w:val="00DB5D45"/>
    <w:rsid w:val="00DB6517"/>
    <w:rsid w:val="00DC008A"/>
    <w:rsid w:val="00DC0A01"/>
    <w:rsid w:val="00DC0FBA"/>
    <w:rsid w:val="00DC2D36"/>
    <w:rsid w:val="00DC2E88"/>
    <w:rsid w:val="00DC33BC"/>
    <w:rsid w:val="00DC38E7"/>
    <w:rsid w:val="00DC39AC"/>
    <w:rsid w:val="00DC3DCF"/>
    <w:rsid w:val="00DC3E4A"/>
    <w:rsid w:val="00DC4AF4"/>
    <w:rsid w:val="00DC4B58"/>
    <w:rsid w:val="00DC53EF"/>
    <w:rsid w:val="00DC569A"/>
    <w:rsid w:val="00DC5BA4"/>
    <w:rsid w:val="00DC5C64"/>
    <w:rsid w:val="00DC6594"/>
    <w:rsid w:val="00DC7810"/>
    <w:rsid w:val="00DD0116"/>
    <w:rsid w:val="00DD1DD0"/>
    <w:rsid w:val="00DD4BDB"/>
    <w:rsid w:val="00DD5F15"/>
    <w:rsid w:val="00DD70BA"/>
    <w:rsid w:val="00DD75AE"/>
    <w:rsid w:val="00DD7B4A"/>
    <w:rsid w:val="00DD7F3C"/>
    <w:rsid w:val="00DE0C54"/>
    <w:rsid w:val="00DE4425"/>
    <w:rsid w:val="00DE4FC1"/>
    <w:rsid w:val="00DE5395"/>
    <w:rsid w:val="00DE5441"/>
    <w:rsid w:val="00DE5608"/>
    <w:rsid w:val="00DE58D0"/>
    <w:rsid w:val="00DE5B94"/>
    <w:rsid w:val="00DE654F"/>
    <w:rsid w:val="00DE6CB5"/>
    <w:rsid w:val="00DE76AB"/>
    <w:rsid w:val="00DF0696"/>
    <w:rsid w:val="00DF0B6E"/>
    <w:rsid w:val="00DF15E0"/>
    <w:rsid w:val="00DF1C07"/>
    <w:rsid w:val="00DF3208"/>
    <w:rsid w:val="00DF346E"/>
    <w:rsid w:val="00DF36A3"/>
    <w:rsid w:val="00DF37A0"/>
    <w:rsid w:val="00DF3F85"/>
    <w:rsid w:val="00DF4085"/>
    <w:rsid w:val="00DF4839"/>
    <w:rsid w:val="00DF59D1"/>
    <w:rsid w:val="00DF616A"/>
    <w:rsid w:val="00DF7FB4"/>
    <w:rsid w:val="00E0153F"/>
    <w:rsid w:val="00E02297"/>
    <w:rsid w:val="00E031BD"/>
    <w:rsid w:val="00E03B4A"/>
    <w:rsid w:val="00E047C0"/>
    <w:rsid w:val="00E07A90"/>
    <w:rsid w:val="00E1066F"/>
    <w:rsid w:val="00E10CD6"/>
    <w:rsid w:val="00E110E7"/>
    <w:rsid w:val="00E113A7"/>
    <w:rsid w:val="00E1168B"/>
    <w:rsid w:val="00E11B20"/>
    <w:rsid w:val="00E11E2F"/>
    <w:rsid w:val="00E13E98"/>
    <w:rsid w:val="00E14C93"/>
    <w:rsid w:val="00E14F22"/>
    <w:rsid w:val="00E153FE"/>
    <w:rsid w:val="00E15AB8"/>
    <w:rsid w:val="00E15BA5"/>
    <w:rsid w:val="00E15D54"/>
    <w:rsid w:val="00E16CA7"/>
    <w:rsid w:val="00E16FDA"/>
    <w:rsid w:val="00E17168"/>
    <w:rsid w:val="00E17C1F"/>
    <w:rsid w:val="00E17FA2"/>
    <w:rsid w:val="00E20B06"/>
    <w:rsid w:val="00E2132E"/>
    <w:rsid w:val="00E21FEB"/>
    <w:rsid w:val="00E22330"/>
    <w:rsid w:val="00E233AE"/>
    <w:rsid w:val="00E23A35"/>
    <w:rsid w:val="00E24345"/>
    <w:rsid w:val="00E2439D"/>
    <w:rsid w:val="00E27300"/>
    <w:rsid w:val="00E273CE"/>
    <w:rsid w:val="00E30B5A"/>
    <w:rsid w:val="00E30D8B"/>
    <w:rsid w:val="00E3123D"/>
    <w:rsid w:val="00E3135D"/>
    <w:rsid w:val="00E31461"/>
    <w:rsid w:val="00E31D43"/>
    <w:rsid w:val="00E32608"/>
    <w:rsid w:val="00E3291D"/>
    <w:rsid w:val="00E32AE0"/>
    <w:rsid w:val="00E32BBF"/>
    <w:rsid w:val="00E32D66"/>
    <w:rsid w:val="00E32E0A"/>
    <w:rsid w:val="00E3317F"/>
    <w:rsid w:val="00E3384E"/>
    <w:rsid w:val="00E34188"/>
    <w:rsid w:val="00E34B6E"/>
    <w:rsid w:val="00E353AE"/>
    <w:rsid w:val="00E35559"/>
    <w:rsid w:val="00E3555A"/>
    <w:rsid w:val="00E370AA"/>
    <w:rsid w:val="00E3723A"/>
    <w:rsid w:val="00E37860"/>
    <w:rsid w:val="00E37F0D"/>
    <w:rsid w:val="00E410B4"/>
    <w:rsid w:val="00E42D29"/>
    <w:rsid w:val="00E42EBA"/>
    <w:rsid w:val="00E4303A"/>
    <w:rsid w:val="00E431E7"/>
    <w:rsid w:val="00E43397"/>
    <w:rsid w:val="00E436D5"/>
    <w:rsid w:val="00E43E50"/>
    <w:rsid w:val="00E44384"/>
    <w:rsid w:val="00E446F1"/>
    <w:rsid w:val="00E44D5F"/>
    <w:rsid w:val="00E46886"/>
    <w:rsid w:val="00E47A14"/>
    <w:rsid w:val="00E47AEF"/>
    <w:rsid w:val="00E512FF"/>
    <w:rsid w:val="00E51AC1"/>
    <w:rsid w:val="00E51E04"/>
    <w:rsid w:val="00E51F22"/>
    <w:rsid w:val="00E53486"/>
    <w:rsid w:val="00E536B1"/>
    <w:rsid w:val="00E53B75"/>
    <w:rsid w:val="00E53DB0"/>
    <w:rsid w:val="00E5429E"/>
    <w:rsid w:val="00E54E3B"/>
    <w:rsid w:val="00E572ED"/>
    <w:rsid w:val="00E57565"/>
    <w:rsid w:val="00E605AA"/>
    <w:rsid w:val="00E60716"/>
    <w:rsid w:val="00E61363"/>
    <w:rsid w:val="00E63838"/>
    <w:rsid w:val="00E63CFE"/>
    <w:rsid w:val="00E64054"/>
    <w:rsid w:val="00E64101"/>
    <w:rsid w:val="00E64302"/>
    <w:rsid w:val="00E64434"/>
    <w:rsid w:val="00E644C2"/>
    <w:rsid w:val="00E64DAF"/>
    <w:rsid w:val="00E64E03"/>
    <w:rsid w:val="00E6568C"/>
    <w:rsid w:val="00E6678F"/>
    <w:rsid w:val="00E67AD9"/>
    <w:rsid w:val="00E67C51"/>
    <w:rsid w:val="00E67E76"/>
    <w:rsid w:val="00E728BB"/>
    <w:rsid w:val="00E72ACB"/>
    <w:rsid w:val="00E72BD2"/>
    <w:rsid w:val="00E72EFC"/>
    <w:rsid w:val="00E73187"/>
    <w:rsid w:val="00E758EC"/>
    <w:rsid w:val="00E75A6F"/>
    <w:rsid w:val="00E803E3"/>
    <w:rsid w:val="00E8043B"/>
    <w:rsid w:val="00E815CC"/>
    <w:rsid w:val="00E8234C"/>
    <w:rsid w:val="00E829E7"/>
    <w:rsid w:val="00E8336A"/>
    <w:rsid w:val="00E83AA9"/>
    <w:rsid w:val="00E84921"/>
    <w:rsid w:val="00E84931"/>
    <w:rsid w:val="00E8493F"/>
    <w:rsid w:val="00E85928"/>
    <w:rsid w:val="00E8597F"/>
    <w:rsid w:val="00E85E79"/>
    <w:rsid w:val="00E86607"/>
    <w:rsid w:val="00E87429"/>
    <w:rsid w:val="00E87822"/>
    <w:rsid w:val="00E878C9"/>
    <w:rsid w:val="00E87B72"/>
    <w:rsid w:val="00E90395"/>
    <w:rsid w:val="00E90769"/>
    <w:rsid w:val="00E90E49"/>
    <w:rsid w:val="00E90E50"/>
    <w:rsid w:val="00E913B6"/>
    <w:rsid w:val="00E917F9"/>
    <w:rsid w:val="00E91AF4"/>
    <w:rsid w:val="00E921E1"/>
    <w:rsid w:val="00E9224F"/>
    <w:rsid w:val="00E927C5"/>
    <w:rsid w:val="00E9291C"/>
    <w:rsid w:val="00E92A78"/>
    <w:rsid w:val="00E92C50"/>
    <w:rsid w:val="00E9320D"/>
    <w:rsid w:val="00E93B01"/>
    <w:rsid w:val="00E93FFE"/>
    <w:rsid w:val="00E94F8A"/>
    <w:rsid w:val="00E96B56"/>
    <w:rsid w:val="00E9725A"/>
    <w:rsid w:val="00E973DB"/>
    <w:rsid w:val="00E97A53"/>
    <w:rsid w:val="00EA07AD"/>
    <w:rsid w:val="00EA0A9F"/>
    <w:rsid w:val="00EA1F89"/>
    <w:rsid w:val="00EA24ED"/>
    <w:rsid w:val="00EA2663"/>
    <w:rsid w:val="00EA27C6"/>
    <w:rsid w:val="00EA3095"/>
    <w:rsid w:val="00EA4791"/>
    <w:rsid w:val="00EA4A50"/>
    <w:rsid w:val="00EA5D55"/>
    <w:rsid w:val="00EA639A"/>
    <w:rsid w:val="00EA66A8"/>
    <w:rsid w:val="00EA6BEC"/>
    <w:rsid w:val="00EA76EF"/>
    <w:rsid w:val="00EA7A41"/>
    <w:rsid w:val="00EB077B"/>
    <w:rsid w:val="00EB0859"/>
    <w:rsid w:val="00EB1A03"/>
    <w:rsid w:val="00EB4277"/>
    <w:rsid w:val="00EB4D5F"/>
    <w:rsid w:val="00EB4EA2"/>
    <w:rsid w:val="00EB5225"/>
    <w:rsid w:val="00EB55E0"/>
    <w:rsid w:val="00EB5CE7"/>
    <w:rsid w:val="00EB61E3"/>
    <w:rsid w:val="00EB6EEE"/>
    <w:rsid w:val="00EB7261"/>
    <w:rsid w:val="00EB7836"/>
    <w:rsid w:val="00EC033F"/>
    <w:rsid w:val="00EC0EA6"/>
    <w:rsid w:val="00EC1000"/>
    <w:rsid w:val="00EC24D5"/>
    <w:rsid w:val="00EC2503"/>
    <w:rsid w:val="00EC27C6"/>
    <w:rsid w:val="00EC34E7"/>
    <w:rsid w:val="00EC4016"/>
    <w:rsid w:val="00EC4207"/>
    <w:rsid w:val="00EC457C"/>
    <w:rsid w:val="00EC5653"/>
    <w:rsid w:val="00EC6A56"/>
    <w:rsid w:val="00EC71CE"/>
    <w:rsid w:val="00EC7C2A"/>
    <w:rsid w:val="00ED00C8"/>
    <w:rsid w:val="00ED0C02"/>
    <w:rsid w:val="00ED1006"/>
    <w:rsid w:val="00ED2BC8"/>
    <w:rsid w:val="00ED38F8"/>
    <w:rsid w:val="00ED3AFF"/>
    <w:rsid w:val="00ED3C84"/>
    <w:rsid w:val="00ED4228"/>
    <w:rsid w:val="00ED61B9"/>
    <w:rsid w:val="00ED67A5"/>
    <w:rsid w:val="00ED7400"/>
    <w:rsid w:val="00EE04B8"/>
    <w:rsid w:val="00EE0EBF"/>
    <w:rsid w:val="00EE1025"/>
    <w:rsid w:val="00EE1241"/>
    <w:rsid w:val="00EE1DEA"/>
    <w:rsid w:val="00EE21D8"/>
    <w:rsid w:val="00EE2EDA"/>
    <w:rsid w:val="00EE39B6"/>
    <w:rsid w:val="00EE425E"/>
    <w:rsid w:val="00EE47BE"/>
    <w:rsid w:val="00EE4A4A"/>
    <w:rsid w:val="00EE6B43"/>
    <w:rsid w:val="00EE7F09"/>
    <w:rsid w:val="00EF0467"/>
    <w:rsid w:val="00EF0C80"/>
    <w:rsid w:val="00EF126B"/>
    <w:rsid w:val="00EF18FE"/>
    <w:rsid w:val="00EF24FC"/>
    <w:rsid w:val="00EF2FFD"/>
    <w:rsid w:val="00EF324A"/>
    <w:rsid w:val="00EF3EF0"/>
    <w:rsid w:val="00EF512A"/>
    <w:rsid w:val="00EF5787"/>
    <w:rsid w:val="00EF592C"/>
    <w:rsid w:val="00EF5CAA"/>
    <w:rsid w:val="00EF5D45"/>
    <w:rsid w:val="00EF60D0"/>
    <w:rsid w:val="00EF68D8"/>
    <w:rsid w:val="00EF753B"/>
    <w:rsid w:val="00EF7C39"/>
    <w:rsid w:val="00EF7F34"/>
    <w:rsid w:val="00F0016E"/>
    <w:rsid w:val="00F01283"/>
    <w:rsid w:val="00F03234"/>
    <w:rsid w:val="00F03E42"/>
    <w:rsid w:val="00F04A06"/>
    <w:rsid w:val="00F05143"/>
    <w:rsid w:val="00F0528D"/>
    <w:rsid w:val="00F06297"/>
    <w:rsid w:val="00F06C67"/>
    <w:rsid w:val="00F06DFD"/>
    <w:rsid w:val="00F071D1"/>
    <w:rsid w:val="00F07533"/>
    <w:rsid w:val="00F10629"/>
    <w:rsid w:val="00F1143F"/>
    <w:rsid w:val="00F12712"/>
    <w:rsid w:val="00F13D84"/>
    <w:rsid w:val="00F15FA5"/>
    <w:rsid w:val="00F16370"/>
    <w:rsid w:val="00F17001"/>
    <w:rsid w:val="00F1757B"/>
    <w:rsid w:val="00F178E3"/>
    <w:rsid w:val="00F17996"/>
    <w:rsid w:val="00F208FC"/>
    <w:rsid w:val="00F209B7"/>
    <w:rsid w:val="00F21115"/>
    <w:rsid w:val="00F219DC"/>
    <w:rsid w:val="00F21BC1"/>
    <w:rsid w:val="00F21EA7"/>
    <w:rsid w:val="00F22684"/>
    <w:rsid w:val="00F23142"/>
    <w:rsid w:val="00F2376F"/>
    <w:rsid w:val="00F23BF1"/>
    <w:rsid w:val="00F243D8"/>
    <w:rsid w:val="00F248F4"/>
    <w:rsid w:val="00F25F7C"/>
    <w:rsid w:val="00F26660"/>
    <w:rsid w:val="00F2684C"/>
    <w:rsid w:val="00F2770B"/>
    <w:rsid w:val="00F27FA4"/>
    <w:rsid w:val="00F30828"/>
    <w:rsid w:val="00F309EB"/>
    <w:rsid w:val="00F30D5F"/>
    <w:rsid w:val="00F313D6"/>
    <w:rsid w:val="00F3237F"/>
    <w:rsid w:val="00F33ED4"/>
    <w:rsid w:val="00F35BC0"/>
    <w:rsid w:val="00F36546"/>
    <w:rsid w:val="00F37258"/>
    <w:rsid w:val="00F3781A"/>
    <w:rsid w:val="00F40519"/>
    <w:rsid w:val="00F40F0C"/>
    <w:rsid w:val="00F412A0"/>
    <w:rsid w:val="00F41DE3"/>
    <w:rsid w:val="00F42563"/>
    <w:rsid w:val="00F4275F"/>
    <w:rsid w:val="00F42980"/>
    <w:rsid w:val="00F44A7E"/>
    <w:rsid w:val="00F44B85"/>
    <w:rsid w:val="00F44BFA"/>
    <w:rsid w:val="00F45201"/>
    <w:rsid w:val="00F46576"/>
    <w:rsid w:val="00F473B6"/>
    <w:rsid w:val="00F4766C"/>
    <w:rsid w:val="00F47BDE"/>
    <w:rsid w:val="00F47F54"/>
    <w:rsid w:val="00F503DB"/>
    <w:rsid w:val="00F5060E"/>
    <w:rsid w:val="00F507D1"/>
    <w:rsid w:val="00F50BCA"/>
    <w:rsid w:val="00F516EA"/>
    <w:rsid w:val="00F519CE"/>
    <w:rsid w:val="00F51ADA"/>
    <w:rsid w:val="00F52357"/>
    <w:rsid w:val="00F53CA2"/>
    <w:rsid w:val="00F53EE8"/>
    <w:rsid w:val="00F557AB"/>
    <w:rsid w:val="00F56DCC"/>
    <w:rsid w:val="00F60203"/>
    <w:rsid w:val="00F602C7"/>
    <w:rsid w:val="00F607C5"/>
    <w:rsid w:val="00F60DEA"/>
    <w:rsid w:val="00F61D56"/>
    <w:rsid w:val="00F6302A"/>
    <w:rsid w:val="00F63950"/>
    <w:rsid w:val="00F640D2"/>
    <w:rsid w:val="00F64C2B"/>
    <w:rsid w:val="00F651BE"/>
    <w:rsid w:val="00F66086"/>
    <w:rsid w:val="00F66161"/>
    <w:rsid w:val="00F67135"/>
    <w:rsid w:val="00F672AB"/>
    <w:rsid w:val="00F67DBF"/>
    <w:rsid w:val="00F67F53"/>
    <w:rsid w:val="00F67FE2"/>
    <w:rsid w:val="00F703BE"/>
    <w:rsid w:val="00F70D6A"/>
    <w:rsid w:val="00F71528"/>
    <w:rsid w:val="00F71D83"/>
    <w:rsid w:val="00F71F69"/>
    <w:rsid w:val="00F72B72"/>
    <w:rsid w:val="00F72C52"/>
    <w:rsid w:val="00F72DB8"/>
    <w:rsid w:val="00F7319E"/>
    <w:rsid w:val="00F746B5"/>
    <w:rsid w:val="00F74BB9"/>
    <w:rsid w:val="00F75582"/>
    <w:rsid w:val="00F75CC4"/>
    <w:rsid w:val="00F7658B"/>
    <w:rsid w:val="00F76D8F"/>
    <w:rsid w:val="00F76EFA"/>
    <w:rsid w:val="00F804BE"/>
    <w:rsid w:val="00F80B1E"/>
    <w:rsid w:val="00F817CE"/>
    <w:rsid w:val="00F822D6"/>
    <w:rsid w:val="00F83192"/>
    <w:rsid w:val="00F83C6B"/>
    <w:rsid w:val="00F843D5"/>
    <w:rsid w:val="00F8456C"/>
    <w:rsid w:val="00F859D8"/>
    <w:rsid w:val="00F85D38"/>
    <w:rsid w:val="00F85F53"/>
    <w:rsid w:val="00F866F8"/>
    <w:rsid w:val="00F868F5"/>
    <w:rsid w:val="00F86A08"/>
    <w:rsid w:val="00F86ACF"/>
    <w:rsid w:val="00F870D8"/>
    <w:rsid w:val="00F9056A"/>
    <w:rsid w:val="00F90F8D"/>
    <w:rsid w:val="00F926C6"/>
    <w:rsid w:val="00F92782"/>
    <w:rsid w:val="00F9382C"/>
    <w:rsid w:val="00F938F1"/>
    <w:rsid w:val="00F93AA9"/>
    <w:rsid w:val="00F94604"/>
    <w:rsid w:val="00F954FB"/>
    <w:rsid w:val="00F95861"/>
    <w:rsid w:val="00F96985"/>
    <w:rsid w:val="00F969B0"/>
    <w:rsid w:val="00F97838"/>
    <w:rsid w:val="00FA0027"/>
    <w:rsid w:val="00FA005C"/>
    <w:rsid w:val="00FA0A9D"/>
    <w:rsid w:val="00FA0C6A"/>
    <w:rsid w:val="00FA0EAC"/>
    <w:rsid w:val="00FA14B7"/>
    <w:rsid w:val="00FA1A19"/>
    <w:rsid w:val="00FA1B75"/>
    <w:rsid w:val="00FA1B82"/>
    <w:rsid w:val="00FA2348"/>
    <w:rsid w:val="00FA23C1"/>
    <w:rsid w:val="00FA2BB3"/>
    <w:rsid w:val="00FA3080"/>
    <w:rsid w:val="00FA5A56"/>
    <w:rsid w:val="00FA5EAE"/>
    <w:rsid w:val="00FA73A9"/>
    <w:rsid w:val="00FB026A"/>
    <w:rsid w:val="00FB0B5A"/>
    <w:rsid w:val="00FB0EC6"/>
    <w:rsid w:val="00FB16E8"/>
    <w:rsid w:val="00FB21D6"/>
    <w:rsid w:val="00FB32B1"/>
    <w:rsid w:val="00FB4492"/>
    <w:rsid w:val="00FB4512"/>
    <w:rsid w:val="00FB4C80"/>
    <w:rsid w:val="00FB5BD6"/>
    <w:rsid w:val="00FB5CBE"/>
    <w:rsid w:val="00FB671D"/>
    <w:rsid w:val="00FB6A6A"/>
    <w:rsid w:val="00FB74F2"/>
    <w:rsid w:val="00FB76E6"/>
    <w:rsid w:val="00FB78D9"/>
    <w:rsid w:val="00FB791E"/>
    <w:rsid w:val="00FC1780"/>
    <w:rsid w:val="00FC1BF0"/>
    <w:rsid w:val="00FC206D"/>
    <w:rsid w:val="00FC27CC"/>
    <w:rsid w:val="00FC2A7D"/>
    <w:rsid w:val="00FC7429"/>
    <w:rsid w:val="00FC7598"/>
    <w:rsid w:val="00FC7C8F"/>
    <w:rsid w:val="00FD062D"/>
    <w:rsid w:val="00FD07F6"/>
    <w:rsid w:val="00FD1EC8"/>
    <w:rsid w:val="00FD20F3"/>
    <w:rsid w:val="00FD2305"/>
    <w:rsid w:val="00FD3D13"/>
    <w:rsid w:val="00FD47ED"/>
    <w:rsid w:val="00FD4888"/>
    <w:rsid w:val="00FD4F1F"/>
    <w:rsid w:val="00FD54BE"/>
    <w:rsid w:val="00FD54D4"/>
    <w:rsid w:val="00FD5E31"/>
    <w:rsid w:val="00FD6338"/>
    <w:rsid w:val="00FD69F0"/>
    <w:rsid w:val="00FD6C50"/>
    <w:rsid w:val="00FD74DB"/>
    <w:rsid w:val="00FD7660"/>
    <w:rsid w:val="00FE0655"/>
    <w:rsid w:val="00FE113C"/>
    <w:rsid w:val="00FE14AB"/>
    <w:rsid w:val="00FE17C3"/>
    <w:rsid w:val="00FE2365"/>
    <w:rsid w:val="00FE2B77"/>
    <w:rsid w:val="00FE37D7"/>
    <w:rsid w:val="00FE44B9"/>
    <w:rsid w:val="00FE450C"/>
    <w:rsid w:val="00FE4C7B"/>
    <w:rsid w:val="00FE51D6"/>
    <w:rsid w:val="00FE69E2"/>
    <w:rsid w:val="00FE7336"/>
    <w:rsid w:val="00FE753F"/>
    <w:rsid w:val="00FE787C"/>
    <w:rsid w:val="00FF09B0"/>
    <w:rsid w:val="00FF12E9"/>
    <w:rsid w:val="00FF1875"/>
    <w:rsid w:val="00FF1D1B"/>
    <w:rsid w:val="00FF3478"/>
    <w:rsid w:val="00FF3D0C"/>
    <w:rsid w:val="00FF45A5"/>
    <w:rsid w:val="00FF53D1"/>
    <w:rsid w:val="00FF5C91"/>
    <w:rsid w:val="00FF6416"/>
    <w:rsid w:val="00FF645D"/>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45434EB"/>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바탕" w:hAnsi="CG Times (W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uiPriority="35"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HTML Code" w:uiPriority="99"/>
    <w:lsdException w:name="HTML Keyboard" w:semiHidden="1" w:unhideWhenUsed="1"/>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rsid w:val="00721B32"/>
    <w:pPr>
      <w:spacing w:after="160" w:line="259" w:lineRule="auto"/>
    </w:pPr>
    <w:rPr>
      <w:rFonts w:ascii="Arial" w:eastAsiaTheme="minorHAnsi" w:hAnsi="Arial" w:cstheme="minorBidi"/>
      <w:szCs w:val="22"/>
      <w:lang w:val="en-US" w:eastAsia="en-US"/>
    </w:rPr>
  </w:style>
  <w:style w:type="paragraph" w:styleId="1">
    <w:name w:val="heading 1"/>
    <w:next w:val="a1"/>
    <w:link w:val="1Char"/>
    <w:qFormat/>
    <w:rsid w:val="008D00A5"/>
    <w:pPr>
      <w:keepNext/>
      <w:keepLines/>
      <w:numPr>
        <w:numId w:val="13"/>
      </w:numPr>
      <w:pBdr>
        <w:top w:val="single" w:sz="12" w:space="3" w:color="auto"/>
      </w:pBdr>
      <w:overflowPunct w:val="0"/>
      <w:autoSpaceDE w:val="0"/>
      <w:autoSpaceDN w:val="0"/>
      <w:adjustRightInd w:val="0"/>
      <w:spacing w:before="240" w:after="180"/>
      <w:textAlignment w:val="baseline"/>
      <w:outlineLvl w:val="0"/>
    </w:pPr>
    <w:rPr>
      <w:rFonts w:ascii="Arial" w:hAnsi="Arial"/>
      <w:sz w:val="36"/>
      <w:lang w:eastAsia="ja-JP"/>
    </w:rPr>
  </w:style>
  <w:style w:type="paragraph" w:styleId="20">
    <w:name w:val="heading 2"/>
    <w:basedOn w:val="1"/>
    <w:next w:val="a1"/>
    <w:link w:val="2Char"/>
    <w:autoRedefine/>
    <w:qFormat/>
    <w:rsid w:val="00516C50"/>
    <w:pPr>
      <w:numPr>
        <w:ilvl w:val="1"/>
      </w:numPr>
      <w:pBdr>
        <w:top w:val="none" w:sz="0" w:space="0" w:color="auto"/>
      </w:pBdr>
      <w:spacing w:before="180"/>
      <w:ind w:left="578" w:hanging="578"/>
      <w:outlineLvl w:val="1"/>
    </w:pPr>
    <w:rPr>
      <w:sz w:val="32"/>
    </w:rPr>
  </w:style>
  <w:style w:type="paragraph" w:styleId="31">
    <w:name w:val="heading 3"/>
    <w:basedOn w:val="20"/>
    <w:next w:val="a1"/>
    <w:link w:val="3Char"/>
    <w:qFormat/>
    <w:rsid w:val="008D00A5"/>
    <w:pPr>
      <w:numPr>
        <w:ilvl w:val="2"/>
      </w:numPr>
      <w:spacing w:before="120"/>
      <w:outlineLvl w:val="2"/>
    </w:pPr>
    <w:rPr>
      <w:sz w:val="28"/>
    </w:rPr>
  </w:style>
  <w:style w:type="paragraph" w:styleId="40">
    <w:name w:val="heading 4"/>
    <w:basedOn w:val="31"/>
    <w:next w:val="a1"/>
    <w:link w:val="4Char"/>
    <w:qFormat/>
    <w:rsid w:val="008D00A5"/>
    <w:pPr>
      <w:numPr>
        <w:ilvl w:val="3"/>
      </w:numPr>
      <w:outlineLvl w:val="3"/>
    </w:pPr>
    <w:rPr>
      <w:sz w:val="24"/>
    </w:rPr>
  </w:style>
  <w:style w:type="paragraph" w:styleId="5">
    <w:name w:val="heading 5"/>
    <w:basedOn w:val="40"/>
    <w:next w:val="a1"/>
    <w:link w:val="5Char"/>
    <w:qFormat/>
    <w:rsid w:val="008D00A5"/>
    <w:pPr>
      <w:numPr>
        <w:ilvl w:val="4"/>
      </w:numPr>
      <w:outlineLvl w:val="4"/>
    </w:pPr>
    <w:rPr>
      <w:sz w:val="22"/>
    </w:rPr>
  </w:style>
  <w:style w:type="paragraph" w:styleId="6">
    <w:name w:val="heading 6"/>
    <w:basedOn w:val="H6"/>
    <w:next w:val="a1"/>
    <w:link w:val="6Char"/>
    <w:qFormat/>
    <w:rsid w:val="008D00A5"/>
    <w:pPr>
      <w:numPr>
        <w:ilvl w:val="5"/>
      </w:numPr>
      <w:outlineLvl w:val="5"/>
    </w:pPr>
  </w:style>
  <w:style w:type="paragraph" w:styleId="7">
    <w:name w:val="heading 7"/>
    <w:basedOn w:val="H6"/>
    <w:next w:val="a1"/>
    <w:link w:val="7Char"/>
    <w:qFormat/>
    <w:rsid w:val="008D00A5"/>
    <w:pPr>
      <w:numPr>
        <w:ilvl w:val="6"/>
      </w:numPr>
      <w:outlineLvl w:val="6"/>
    </w:pPr>
  </w:style>
  <w:style w:type="paragraph" w:styleId="8">
    <w:name w:val="heading 8"/>
    <w:basedOn w:val="1"/>
    <w:next w:val="a1"/>
    <w:link w:val="8Char"/>
    <w:qFormat/>
    <w:rsid w:val="008D00A5"/>
    <w:pPr>
      <w:numPr>
        <w:ilvl w:val="7"/>
      </w:numPr>
      <w:outlineLvl w:val="7"/>
    </w:pPr>
  </w:style>
  <w:style w:type="paragraph" w:styleId="9">
    <w:name w:val="heading 9"/>
    <w:basedOn w:val="8"/>
    <w:next w:val="a1"/>
    <w:link w:val="9Char"/>
    <w:qFormat/>
    <w:rsid w:val="008D00A5"/>
    <w:pPr>
      <w:numPr>
        <w:ilvl w:val="8"/>
      </w:num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80">
    <w:name w:val="toc 8"/>
    <w:basedOn w:val="10"/>
    <w:uiPriority w:val="39"/>
    <w:rsid w:val="008D00A5"/>
    <w:pPr>
      <w:spacing w:before="180"/>
      <w:ind w:left="2693" w:hanging="2693"/>
    </w:pPr>
    <w:rPr>
      <w:b/>
    </w:rPr>
  </w:style>
  <w:style w:type="paragraph" w:styleId="10">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a1"/>
    <w:next w:val="a5"/>
    <w:rsid w:val="009E35DB"/>
    <w:pPr>
      <w:keepNext/>
      <w:keepLines/>
      <w:spacing w:before="180"/>
      <w:jc w:val="center"/>
    </w:pPr>
  </w:style>
  <w:style w:type="paragraph" w:styleId="a5">
    <w:name w:val="caption"/>
    <w:basedOn w:val="a1"/>
    <w:next w:val="a1"/>
    <w:uiPriority w:val="35"/>
    <w:qFormat/>
    <w:rsid w:val="008D00A5"/>
    <w:pPr>
      <w:spacing w:before="120" w:after="120"/>
    </w:pPr>
    <w:rPr>
      <w:b/>
      <w:lang w:eastAsia="en-GB"/>
    </w:rPr>
  </w:style>
  <w:style w:type="paragraph" w:styleId="51">
    <w:name w:val="toc 5"/>
    <w:basedOn w:val="41"/>
    <w:uiPriority w:val="39"/>
    <w:rsid w:val="008D00A5"/>
    <w:pPr>
      <w:ind w:left="1701" w:hanging="1701"/>
    </w:pPr>
  </w:style>
  <w:style w:type="paragraph" w:styleId="41">
    <w:name w:val="toc 4"/>
    <w:basedOn w:val="32"/>
    <w:uiPriority w:val="39"/>
    <w:rsid w:val="008D00A5"/>
    <w:pPr>
      <w:ind w:left="1418" w:hanging="1418"/>
    </w:pPr>
  </w:style>
  <w:style w:type="paragraph" w:styleId="32">
    <w:name w:val="toc 3"/>
    <w:basedOn w:val="22"/>
    <w:uiPriority w:val="39"/>
    <w:rsid w:val="008D00A5"/>
    <w:pPr>
      <w:ind w:left="1134" w:hanging="1134"/>
    </w:pPr>
  </w:style>
  <w:style w:type="paragraph" w:styleId="22">
    <w:name w:val="toc 2"/>
    <w:basedOn w:val="10"/>
    <w:uiPriority w:val="39"/>
    <w:rsid w:val="008D00A5"/>
    <w:pPr>
      <w:keepNext w:val="0"/>
      <w:spacing w:before="0"/>
      <w:ind w:left="851" w:hanging="851"/>
    </w:pPr>
    <w:rPr>
      <w:sz w:val="20"/>
    </w:rPr>
  </w:style>
  <w:style w:type="paragraph" w:styleId="23">
    <w:name w:val="index 2"/>
    <w:basedOn w:val="11"/>
    <w:rsid w:val="008D00A5"/>
    <w:pPr>
      <w:ind w:left="284"/>
    </w:pPr>
  </w:style>
  <w:style w:type="paragraph" w:styleId="11">
    <w:name w:val="index 1"/>
    <w:basedOn w:val="a1"/>
    <w:rsid w:val="008D00A5"/>
    <w:pPr>
      <w:keepLines/>
      <w:spacing w:after="0"/>
    </w:pPr>
  </w:style>
  <w:style w:type="paragraph" w:styleId="a6">
    <w:name w:val="Document Map"/>
    <w:basedOn w:val="a1"/>
    <w:link w:val="Char"/>
    <w:rsid w:val="008D00A5"/>
    <w:pPr>
      <w:shd w:val="clear" w:color="auto" w:fill="000080"/>
    </w:pPr>
    <w:rPr>
      <w:rFonts w:ascii="Tahoma" w:hAnsi="Tahoma" w:cs="Tahoma"/>
    </w:rPr>
  </w:style>
  <w:style w:type="paragraph" w:styleId="21">
    <w:name w:val="List Number 2"/>
    <w:basedOn w:val="a"/>
    <w:rsid w:val="003A70A4"/>
    <w:pPr>
      <w:numPr>
        <w:numId w:val="12"/>
      </w:numPr>
    </w:pPr>
  </w:style>
  <w:style w:type="paragraph" w:styleId="a">
    <w:name w:val="List Number"/>
    <w:basedOn w:val="a7"/>
    <w:rsid w:val="003A70A4"/>
    <w:pPr>
      <w:numPr>
        <w:numId w:val="11"/>
      </w:numPr>
    </w:pPr>
    <w:rPr>
      <w:lang w:eastAsia="ja-JP"/>
    </w:rPr>
  </w:style>
  <w:style w:type="paragraph" w:styleId="a7">
    <w:name w:val="List"/>
    <w:basedOn w:val="a8"/>
    <w:rsid w:val="008D00A5"/>
    <w:pPr>
      <w:ind w:left="568" w:hanging="284"/>
    </w:pPr>
  </w:style>
  <w:style w:type="paragraph" w:styleId="a9">
    <w:name w:val="header"/>
    <w:link w:val="Char0"/>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aa">
    <w:name w:val="footnote reference"/>
    <w:rsid w:val="008D00A5"/>
    <w:rPr>
      <w:b/>
      <w:position w:val="6"/>
      <w:sz w:val="16"/>
    </w:rPr>
  </w:style>
  <w:style w:type="paragraph" w:styleId="ab">
    <w:name w:val="footnote text"/>
    <w:basedOn w:val="a1"/>
    <w:link w:val="Char1"/>
    <w:rsid w:val="008D00A5"/>
    <w:pPr>
      <w:keepLines/>
      <w:spacing w:after="0"/>
      <w:ind w:left="454" w:hanging="454"/>
    </w:pPr>
    <w:rPr>
      <w:sz w:val="16"/>
    </w:rPr>
  </w:style>
  <w:style w:type="paragraph" w:customStyle="1" w:styleId="3GPPHeader">
    <w:name w:val="3GPP_Header"/>
    <w:basedOn w:val="a8"/>
    <w:rsid w:val="009E35DB"/>
    <w:pPr>
      <w:tabs>
        <w:tab w:val="left" w:pos="1701"/>
        <w:tab w:val="right" w:pos="9639"/>
      </w:tabs>
      <w:spacing w:after="240"/>
    </w:pPr>
    <w:rPr>
      <w:b/>
      <w:sz w:val="24"/>
    </w:rPr>
  </w:style>
  <w:style w:type="paragraph" w:styleId="90">
    <w:name w:val="toc 9"/>
    <w:basedOn w:val="80"/>
    <w:uiPriority w:val="39"/>
    <w:rsid w:val="008D00A5"/>
    <w:pPr>
      <w:ind w:left="1418" w:hanging="1418"/>
    </w:pPr>
  </w:style>
  <w:style w:type="paragraph" w:styleId="60">
    <w:name w:val="toc 6"/>
    <w:basedOn w:val="51"/>
    <w:next w:val="a1"/>
    <w:uiPriority w:val="39"/>
    <w:rsid w:val="008D00A5"/>
    <w:pPr>
      <w:ind w:left="1985" w:hanging="1985"/>
    </w:pPr>
  </w:style>
  <w:style w:type="paragraph" w:styleId="70">
    <w:name w:val="toc 7"/>
    <w:basedOn w:val="60"/>
    <w:next w:val="a1"/>
    <w:uiPriority w:val="39"/>
    <w:rsid w:val="008D00A5"/>
    <w:pPr>
      <w:ind w:left="2268" w:hanging="2268"/>
    </w:pPr>
  </w:style>
  <w:style w:type="paragraph" w:styleId="2">
    <w:name w:val="List Bullet 2"/>
    <w:basedOn w:val="a0"/>
    <w:rsid w:val="008D00A5"/>
    <w:pPr>
      <w:numPr>
        <w:numId w:val="7"/>
      </w:numPr>
    </w:pPr>
  </w:style>
  <w:style w:type="paragraph" w:styleId="a0">
    <w:name w:val="List Bullet"/>
    <w:basedOn w:val="a7"/>
    <w:rsid w:val="003A70A4"/>
    <w:pPr>
      <w:numPr>
        <w:numId w:val="6"/>
      </w:numPr>
    </w:pPr>
    <w:rPr>
      <w:lang w:eastAsia="ja-JP"/>
    </w:rPr>
  </w:style>
  <w:style w:type="paragraph" w:styleId="30">
    <w:name w:val="List Bullet 3"/>
    <w:basedOn w:val="2"/>
    <w:rsid w:val="008D00A5"/>
    <w:pPr>
      <w:numPr>
        <w:numId w:val="8"/>
      </w:numPr>
    </w:pPr>
  </w:style>
  <w:style w:type="paragraph" w:customStyle="1" w:styleId="EQ">
    <w:name w:val="EQ"/>
    <w:basedOn w:val="a1"/>
    <w:next w:val="a1"/>
    <w:rsid w:val="008D00A5"/>
    <w:pPr>
      <w:keepLines/>
      <w:tabs>
        <w:tab w:val="center" w:pos="4536"/>
        <w:tab w:val="right" w:pos="9072"/>
      </w:tabs>
    </w:pPr>
    <w:rPr>
      <w:noProof/>
    </w:rPr>
  </w:style>
  <w:style w:type="paragraph" w:styleId="24">
    <w:name w:val="List 2"/>
    <w:basedOn w:val="a7"/>
    <w:rsid w:val="003A70A4"/>
    <w:pPr>
      <w:ind w:left="851"/>
    </w:pPr>
    <w:rPr>
      <w:lang w:eastAsia="ja-JP"/>
    </w:rPr>
  </w:style>
  <w:style w:type="paragraph" w:styleId="33">
    <w:name w:val="List 3"/>
    <w:basedOn w:val="24"/>
    <w:rsid w:val="008D00A5"/>
    <w:pPr>
      <w:ind w:left="1135"/>
    </w:pPr>
  </w:style>
  <w:style w:type="paragraph" w:styleId="42">
    <w:name w:val="List 4"/>
    <w:basedOn w:val="33"/>
    <w:rsid w:val="008D00A5"/>
    <w:pPr>
      <w:ind w:left="1418"/>
    </w:pPr>
  </w:style>
  <w:style w:type="paragraph" w:styleId="52">
    <w:name w:val="List 5"/>
    <w:basedOn w:val="42"/>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4">
    <w:name w:val="List Bullet 4"/>
    <w:basedOn w:val="30"/>
    <w:rsid w:val="008D00A5"/>
    <w:pPr>
      <w:numPr>
        <w:numId w:val="9"/>
      </w:numPr>
    </w:pPr>
  </w:style>
  <w:style w:type="paragraph" w:styleId="50">
    <w:name w:val="List Bullet 5"/>
    <w:basedOn w:val="4"/>
    <w:rsid w:val="008D00A5"/>
    <w:pPr>
      <w:numPr>
        <w:numId w:val="10"/>
      </w:numPr>
    </w:pPr>
  </w:style>
  <w:style w:type="paragraph" w:styleId="ac">
    <w:name w:val="footer"/>
    <w:basedOn w:val="a9"/>
    <w:link w:val="Char2"/>
    <w:rsid w:val="008D00A5"/>
    <w:pPr>
      <w:jc w:val="center"/>
    </w:pPr>
    <w:rPr>
      <w:i/>
    </w:rPr>
  </w:style>
  <w:style w:type="paragraph" w:customStyle="1" w:styleId="Reference">
    <w:name w:val="Reference"/>
    <w:basedOn w:val="a8"/>
    <w:rsid w:val="009E35DB"/>
    <w:pPr>
      <w:numPr>
        <w:numId w:val="1"/>
      </w:numPr>
    </w:pPr>
  </w:style>
  <w:style w:type="paragraph" w:styleId="ad">
    <w:name w:val="Balloon Text"/>
    <w:basedOn w:val="a1"/>
    <w:link w:val="Char10"/>
    <w:rsid w:val="008D00A5"/>
    <w:pPr>
      <w:spacing w:after="0"/>
    </w:pPr>
    <w:rPr>
      <w:rFonts w:ascii="Segoe UI" w:hAnsi="Segoe UI" w:cs="Segoe UI"/>
      <w:sz w:val="18"/>
      <w:szCs w:val="18"/>
    </w:rPr>
  </w:style>
  <w:style w:type="character" w:styleId="ae">
    <w:name w:val="page number"/>
    <w:basedOn w:val="a2"/>
    <w:rsid w:val="008D00A5"/>
  </w:style>
  <w:style w:type="paragraph" w:styleId="a8">
    <w:name w:val="Body Text"/>
    <w:basedOn w:val="a1"/>
    <w:link w:val="Char3"/>
    <w:rsid w:val="008D00A5"/>
    <w:pPr>
      <w:spacing w:after="120"/>
      <w:jc w:val="both"/>
    </w:pPr>
    <w:rPr>
      <w:lang w:eastAsia="zh-CN"/>
    </w:rPr>
  </w:style>
  <w:style w:type="character" w:styleId="af">
    <w:name w:val="Hyperlink"/>
    <w:uiPriority w:val="99"/>
    <w:rsid w:val="008D00A5"/>
    <w:rPr>
      <w:color w:val="0000FF"/>
      <w:u w:val="single"/>
    </w:rPr>
  </w:style>
  <w:style w:type="character" w:styleId="af0">
    <w:name w:val="FollowedHyperlink"/>
    <w:unhideWhenUsed/>
    <w:rsid w:val="008D00A5"/>
    <w:rPr>
      <w:color w:val="800080"/>
      <w:u w:val="single"/>
    </w:rPr>
  </w:style>
  <w:style w:type="character" w:styleId="af1">
    <w:name w:val="annotation reference"/>
    <w:uiPriority w:val="99"/>
    <w:qFormat/>
    <w:rsid w:val="008D00A5"/>
    <w:rPr>
      <w:sz w:val="16"/>
      <w:szCs w:val="16"/>
    </w:rPr>
  </w:style>
  <w:style w:type="paragraph" w:styleId="af2">
    <w:name w:val="annotation text"/>
    <w:basedOn w:val="a1"/>
    <w:link w:val="Char4"/>
    <w:uiPriority w:val="99"/>
    <w:qFormat/>
    <w:rsid w:val="008D00A5"/>
  </w:style>
  <w:style w:type="paragraph" w:styleId="af3">
    <w:name w:val="annotation subject"/>
    <w:basedOn w:val="af2"/>
    <w:next w:val="af2"/>
    <w:link w:val="Char5"/>
    <w:rsid w:val="008D00A5"/>
    <w:rPr>
      <w:b/>
      <w:bCs/>
    </w:rPr>
  </w:style>
  <w:style w:type="character" w:customStyle="1" w:styleId="1Char">
    <w:name w:val="제목 1 Char"/>
    <w:link w:val="1"/>
    <w:rsid w:val="008D00A5"/>
    <w:rPr>
      <w:rFonts w:ascii="Arial" w:hAnsi="Arial"/>
      <w:sz w:val="36"/>
      <w:lang w:eastAsia="ja-JP"/>
    </w:rPr>
  </w:style>
  <w:style w:type="paragraph" w:customStyle="1" w:styleId="B1">
    <w:name w:val="B1"/>
    <w:basedOn w:val="a7"/>
    <w:link w:val="B1Char1"/>
    <w:rsid w:val="00230D18"/>
    <w:rPr>
      <w:rFonts w:ascii="Times New Roman" w:hAnsi="Times New Roman"/>
    </w:rPr>
  </w:style>
  <w:style w:type="paragraph" w:customStyle="1" w:styleId="B2">
    <w:name w:val="B2"/>
    <w:basedOn w:val="24"/>
    <w:link w:val="B2Char"/>
    <w:rsid w:val="00230D18"/>
    <w:rPr>
      <w:rFonts w:ascii="Times New Roman" w:hAnsi="Times New Roman"/>
    </w:rPr>
  </w:style>
  <w:style w:type="paragraph" w:customStyle="1" w:styleId="B3">
    <w:name w:val="B3"/>
    <w:basedOn w:val="33"/>
    <w:link w:val="B3Char2"/>
    <w:rsid w:val="00230D18"/>
    <w:rPr>
      <w:rFonts w:ascii="Times New Roman" w:hAnsi="Times New Roman"/>
    </w:rPr>
  </w:style>
  <w:style w:type="paragraph" w:customStyle="1" w:styleId="B4">
    <w:name w:val="B4"/>
    <w:basedOn w:val="42"/>
    <w:link w:val="B4Char"/>
    <w:rsid w:val="00230D18"/>
    <w:rPr>
      <w:rFonts w:ascii="Times New Roman" w:hAnsi="Times New Roman"/>
    </w:rPr>
  </w:style>
  <w:style w:type="paragraph" w:customStyle="1" w:styleId="Proposal">
    <w:name w:val="Proposal"/>
    <w:basedOn w:val="a8"/>
    <w:qFormat/>
    <w:rsid w:val="00633BA1"/>
    <w:pPr>
      <w:numPr>
        <w:numId w:val="2"/>
      </w:numPr>
      <w:tabs>
        <w:tab w:val="left" w:pos="1701"/>
      </w:tabs>
    </w:pPr>
    <w:rPr>
      <w:b/>
      <w:bCs/>
    </w:rPr>
  </w:style>
  <w:style w:type="character" w:customStyle="1" w:styleId="Char3">
    <w:name w:val="본문 Char"/>
    <w:link w:val="a8"/>
    <w:rsid w:val="008D00A5"/>
    <w:rPr>
      <w:rFonts w:ascii="Arial" w:hAnsi="Arial"/>
      <w:lang w:eastAsia="zh-CN"/>
    </w:rPr>
  </w:style>
  <w:style w:type="paragraph" w:customStyle="1" w:styleId="B5">
    <w:name w:val="B5"/>
    <w:basedOn w:val="52"/>
    <w:link w:val="B5Char"/>
    <w:rsid w:val="00230D18"/>
    <w:rPr>
      <w:rFonts w:ascii="Times New Roman" w:hAnsi="Times New Roman"/>
    </w:rPr>
  </w:style>
  <w:style w:type="paragraph" w:customStyle="1" w:styleId="EX">
    <w:name w:val="EX"/>
    <w:basedOn w:val="a1"/>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a1"/>
    <w:link w:val="TALCar"/>
    <w:rsid w:val="008D00A5"/>
    <w:pPr>
      <w:keepNext/>
      <w:keepLines/>
      <w:spacing w:after="0"/>
    </w:pPr>
    <w:rPr>
      <w:sz w:val="18"/>
      <w:lang w:val="x-none" w:eastAsia="x-none"/>
    </w:rPr>
  </w:style>
  <w:style w:type="paragraph" w:customStyle="1" w:styleId="TAC">
    <w:name w:val="TAC"/>
    <w:basedOn w:val="TAL"/>
    <w:rsid w:val="008D00A5"/>
    <w:pPr>
      <w:jc w:val="center"/>
    </w:pPr>
  </w:style>
  <w:style w:type="paragraph" w:customStyle="1" w:styleId="TAH">
    <w:name w:val="TAH"/>
    <w:basedOn w:val="TAC"/>
    <w:link w:val="TAHCar"/>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a1"/>
    <w:link w:val="THChar"/>
    <w:rsid w:val="008D00A5"/>
    <w:pPr>
      <w:keepNext/>
      <w:keepLines/>
      <w:spacing w:before="60"/>
      <w:jc w:val="center"/>
    </w:pPr>
    <w:rPr>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1"/>
    <w:next w:val="a1"/>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a1"/>
    <w:rsid w:val="008D00A5"/>
    <w:pPr>
      <w:spacing w:after="0"/>
    </w:pPr>
  </w:style>
  <w:style w:type="paragraph" w:customStyle="1" w:styleId="Observation">
    <w:name w:val="Observation"/>
    <w:basedOn w:val="Proposal"/>
    <w:qFormat/>
    <w:rsid w:val="008D00A5"/>
    <w:pPr>
      <w:numPr>
        <w:numId w:val="4"/>
      </w:numPr>
      <w:ind w:left="1701" w:hanging="1701"/>
    </w:pPr>
    <w:rPr>
      <w:lang w:eastAsia="ja-JP"/>
    </w:rPr>
  </w:style>
  <w:style w:type="paragraph" w:styleId="af4">
    <w:name w:val="table of figures"/>
    <w:basedOn w:val="a8"/>
    <w:next w:val="a1"/>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Char10">
    <w:name w:val="풍선 도움말 텍스트 Char1"/>
    <w:link w:val="ad"/>
    <w:rsid w:val="008D00A5"/>
    <w:rPr>
      <w:rFonts w:ascii="Segoe UI" w:hAnsi="Segoe UI" w:cs="Segoe UI"/>
      <w:sz w:val="18"/>
      <w:szCs w:val="18"/>
      <w:lang w:eastAsia="ja-JP"/>
    </w:rPr>
  </w:style>
  <w:style w:type="character" w:customStyle="1" w:styleId="Char4">
    <w:name w:val="메모 텍스트 Char"/>
    <w:link w:val="af2"/>
    <w:uiPriority w:val="99"/>
    <w:qFormat/>
    <w:rsid w:val="008D00A5"/>
    <w:rPr>
      <w:rFonts w:ascii="Times New Roman" w:hAnsi="Times New Roman"/>
      <w:lang w:eastAsia="ja-JP"/>
    </w:rPr>
  </w:style>
  <w:style w:type="character" w:customStyle="1" w:styleId="Char5">
    <w:name w:val="메모 주제 Char"/>
    <w:link w:val="af3"/>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a1"/>
    <w:link w:val="Doc-text2Char"/>
    <w:qFormat/>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Char">
    <w:name w:val="문서 구조 Char"/>
    <w:link w:val="a6"/>
    <w:rsid w:val="008D00A5"/>
    <w:rPr>
      <w:rFonts w:ascii="Tahoma" w:hAnsi="Tahoma" w:cs="Tahoma"/>
      <w:shd w:val="clear" w:color="auto" w:fill="000080"/>
      <w:lang w:eastAsia="ja-JP"/>
    </w:rPr>
  </w:style>
  <w:style w:type="paragraph" w:customStyle="1" w:styleId="NO">
    <w:name w:val="NO"/>
    <w:basedOn w:val="a1"/>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a1"/>
    <w:next w:val="a1"/>
    <w:rsid w:val="008D00A5"/>
    <w:pPr>
      <w:numPr>
        <w:numId w:val="5"/>
      </w:numPr>
      <w:spacing w:before="40" w:after="0"/>
    </w:pPr>
    <w:rPr>
      <w:rFonts w:eastAsia="MS Mincho"/>
      <w:b/>
      <w:szCs w:val="24"/>
      <w:lang w:eastAsia="en-GB"/>
    </w:rPr>
  </w:style>
  <w:style w:type="character" w:styleId="af5">
    <w:name w:val="Emphasis"/>
    <w:qFormat/>
    <w:rsid w:val="008D00A5"/>
    <w:rPr>
      <w:i/>
      <w:iCs/>
    </w:rPr>
  </w:style>
  <w:style w:type="paragraph" w:customStyle="1" w:styleId="FigureTitle">
    <w:name w:val="Figure_Title"/>
    <w:basedOn w:val="a1"/>
    <w:next w:val="a1"/>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Char0">
    <w:name w:val="머리글 Char"/>
    <w:link w:val="a9"/>
    <w:rsid w:val="008D00A5"/>
    <w:rPr>
      <w:rFonts w:ascii="Arial" w:hAnsi="Arial"/>
      <w:b/>
      <w:noProof/>
      <w:sz w:val="18"/>
      <w:lang w:eastAsia="ja-JP"/>
    </w:rPr>
  </w:style>
  <w:style w:type="character" w:customStyle="1" w:styleId="Char2">
    <w:name w:val="바닥글 Char"/>
    <w:link w:val="ac"/>
    <w:rsid w:val="008D00A5"/>
    <w:rPr>
      <w:rFonts w:ascii="Arial" w:hAnsi="Arial"/>
      <w:b/>
      <w:i/>
      <w:noProof/>
      <w:sz w:val="18"/>
      <w:lang w:eastAsia="ja-JP"/>
    </w:rPr>
  </w:style>
  <w:style w:type="character" w:customStyle="1" w:styleId="Char1">
    <w:name w:val="각주 텍스트 Char"/>
    <w:link w:val="ab"/>
    <w:rsid w:val="008D00A5"/>
    <w:rPr>
      <w:rFonts w:ascii="Times New Roman" w:hAnsi="Times New Roman"/>
      <w:sz w:val="16"/>
      <w:lang w:eastAsia="ja-JP"/>
    </w:rPr>
  </w:style>
  <w:style w:type="paragraph" w:customStyle="1" w:styleId="Guidance">
    <w:name w:val="Guidance"/>
    <w:basedOn w:val="a1"/>
    <w:rsid w:val="008D00A5"/>
    <w:rPr>
      <w:i/>
      <w:color w:val="0000FF"/>
    </w:rPr>
  </w:style>
  <w:style w:type="character" w:customStyle="1" w:styleId="2Char">
    <w:name w:val="제목 2 Char"/>
    <w:link w:val="20"/>
    <w:rsid w:val="00516C50"/>
    <w:rPr>
      <w:rFonts w:ascii="Arial" w:hAnsi="Arial"/>
      <w:sz w:val="32"/>
      <w:lang w:eastAsia="ja-JP"/>
    </w:rPr>
  </w:style>
  <w:style w:type="character" w:customStyle="1" w:styleId="3Char">
    <w:name w:val="제목 3 Char"/>
    <w:link w:val="31"/>
    <w:rsid w:val="008D00A5"/>
    <w:rPr>
      <w:rFonts w:ascii="Arial" w:hAnsi="Arial"/>
      <w:sz w:val="28"/>
      <w:lang w:eastAsia="ja-JP"/>
    </w:rPr>
  </w:style>
  <w:style w:type="character" w:customStyle="1" w:styleId="4Char">
    <w:name w:val="제목 4 Char"/>
    <w:link w:val="40"/>
    <w:rsid w:val="008D00A5"/>
    <w:rPr>
      <w:rFonts w:ascii="Arial" w:hAnsi="Arial"/>
      <w:sz w:val="24"/>
      <w:lang w:eastAsia="ja-JP"/>
    </w:rPr>
  </w:style>
  <w:style w:type="character" w:customStyle="1" w:styleId="5Char">
    <w:name w:val="제목 5 Char"/>
    <w:link w:val="5"/>
    <w:rsid w:val="008D00A5"/>
    <w:rPr>
      <w:rFonts w:ascii="Arial" w:hAnsi="Arial"/>
      <w:sz w:val="22"/>
      <w:lang w:eastAsia="ja-JP"/>
    </w:rPr>
  </w:style>
  <w:style w:type="paragraph" w:customStyle="1" w:styleId="H6">
    <w:name w:val="H6"/>
    <w:basedOn w:val="5"/>
    <w:next w:val="a1"/>
    <w:rsid w:val="008D00A5"/>
    <w:pPr>
      <w:ind w:left="1985" w:hanging="1985"/>
      <w:outlineLvl w:val="9"/>
    </w:pPr>
    <w:rPr>
      <w:sz w:val="20"/>
    </w:rPr>
  </w:style>
  <w:style w:type="character" w:customStyle="1" w:styleId="6Char">
    <w:name w:val="제목 6 Char"/>
    <w:link w:val="6"/>
    <w:rsid w:val="008D00A5"/>
    <w:rPr>
      <w:rFonts w:ascii="Arial" w:hAnsi="Arial"/>
      <w:lang w:eastAsia="ja-JP"/>
    </w:rPr>
  </w:style>
  <w:style w:type="character" w:customStyle="1" w:styleId="7Char">
    <w:name w:val="제목 7 Char"/>
    <w:link w:val="7"/>
    <w:rsid w:val="008D00A5"/>
    <w:rPr>
      <w:rFonts w:ascii="Arial" w:hAnsi="Arial"/>
      <w:lang w:eastAsia="ja-JP"/>
    </w:rPr>
  </w:style>
  <w:style w:type="character" w:customStyle="1" w:styleId="8Char">
    <w:name w:val="제목 8 Char"/>
    <w:link w:val="8"/>
    <w:rsid w:val="008D00A5"/>
    <w:rPr>
      <w:rFonts w:ascii="Arial" w:hAnsi="Arial"/>
      <w:sz w:val="36"/>
      <w:lang w:eastAsia="ja-JP"/>
    </w:rPr>
  </w:style>
  <w:style w:type="character" w:customStyle="1" w:styleId="9Char">
    <w:name w:val="제목 9 Char"/>
    <w:link w:val="9"/>
    <w:rsid w:val="008D00A5"/>
    <w:rPr>
      <w:rFonts w:ascii="Arial" w:hAnsi="Arial"/>
      <w:sz w:val="36"/>
      <w:lang w:eastAsia="ja-JP"/>
    </w:rPr>
  </w:style>
  <w:style w:type="character" w:styleId="HTML">
    <w:name w:val="HTML Code"/>
    <w:uiPriority w:val="99"/>
    <w:unhideWhenUsed/>
    <w:rsid w:val="008D00A5"/>
    <w:rPr>
      <w:rFonts w:ascii="Courier New" w:eastAsia="Times New Roman" w:hAnsi="Courier New" w:cs="Courier New"/>
      <w:sz w:val="20"/>
      <w:szCs w:val="20"/>
    </w:rPr>
  </w:style>
  <w:style w:type="paragraph" w:styleId="af6">
    <w:name w:val="index heading"/>
    <w:basedOn w:val="a1"/>
    <w:next w:val="a1"/>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af7">
    <w:name w:val="List Paragraph"/>
    <w:aliases w:val="- Bullets,?? ??,?????,????,Lista1,列出段落1,中等深浅网格 1 - 着色 21,列出段落,列表段落,リスト段落,¥¡¡¡¡ì¬º¥¹¥È¶ÎÂä,ÁÐ³ö¶ÎÂä,列表段落1,—ño’i—Ž,¥ê¥¹¥È¶ÎÂä,1st level - Bullet List Paragraph,Lettre d'introduction,Paragrafo elenco,Normal bullet 2,Bullet list,목록단락,列"/>
    <w:basedOn w:val="a1"/>
    <w:link w:val="Char6"/>
    <w:uiPriority w:val="34"/>
    <w:qFormat/>
    <w:rsid w:val="008D00A5"/>
    <w:pPr>
      <w:spacing w:after="0"/>
      <w:ind w:left="720"/>
    </w:pPr>
    <w:rPr>
      <w:rFonts w:ascii="Calibri" w:eastAsia="Calibri" w:hAnsi="Calibri"/>
      <w:sz w:val="22"/>
      <w:lang w:val="x-none"/>
    </w:rPr>
  </w:style>
  <w:style w:type="character" w:customStyle="1" w:styleId="Char6">
    <w:name w:val="목록 단락 Char"/>
    <w:aliases w:val="- Bullets Char,?? ?? Char,????? Char,???? Char,Lista1 Char,列出段落1 Char,中等深浅网格 1 - 着色 21 Char,列出段落 Char,列表段落 Char,リスト段落 Char,¥¡¡¡¡ì¬º¥¹¥È¶ÎÂä Char,ÁÐ³ö¶ÎÂä Char,列表段落1 Char,—ño’i—Ž Char,¥ê¥¹¥È¶ÎÂä Char,1st level - Bullet List Paragraph Char"/>
    <w:link w:val="af7"/>
    <w:uiPriority w:val="34"/>
    <w:qFormat/>
    <w:locked/>
    <w:rsid w:val="008D00A5"/>
    <w:rPr>
      <w:rFonts w:ascii="Calibri" w:eastAsia="Calibri" w:hAnsi="Calibri"/>
      <w:sz w:val="22"/>
      <w:szCs w:val="22"/>
      <w:lang w:val="x-none" w:eastAsia="en-US"/>
    </w:rPr>
  </w:style>
  <w:style w:type="paragraph" w:customStyle="1" w:styleId="NF">
    <w:name w:val="NF"/>
    <w:basedOn w:val="NO"/>
    <w:rsid w:val="008D00A5"/>
    <w:pPr>
      <w:keepNext/>
      <w:spacing w:after="0"/>
    </w:pPr>
    <w:rPr>
      <w:sz w:val="18"/>
    </w:rPr>
  </w:style>
  <w:style w:type="paragraph" w:customStyle="1" w:styleId="NW">
    <w:name w:val="NW"/>
    <w:basedOn w:val="NO"/>
    <w:rsid w:val="008D00A5"/>
    <w:pPr>
      <w:spacing w:after="0"/>
    </w:pPr>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hAnsi="Courier New"/>
      <w:noProof/>
      <w:sz w:val="16"/>
      <w:lang w:eastAsia="sv-SE"/>
    </w:rPr>
  </w:style>
  <w:style w:type="character" w:customStyle="1" w:styleId="PLChar">
    <w:name w:val="PL Char"/>
    <w:link w:val="PL"/>
    <w:qFormat/>
    <w:rsid w:val="00181FF8"/>
    <w:rPr>
      <w:rFonts w:ascii="Courier New" w:eastAsia="바탕" w:hAnsi="Courier New"/>
      <w:noProof/>
      <w:sz w:val="16"/>
      <w:shd w:val="clear" w:color="auto" w:fill="E6E6E6"/>
      <w:lang w:eastAsia="sv-SE"/>
    </w:rPr>
  </w:style>
  <w:style w:type="paragraph" w:styleId="af8">
    <w:name w:val="Plain Text"/>
    <w:basedOn w:val="a1"/>
    <w:link w:val="Char7"/>
    <w:rsid w:val="008D00A5"/>
    <w:rPr>
      <w:rFonts w:ascii="Courier New" w:hAnsi="Courier New"/>
      <w:lang w:val="nb-NO"/>
    </w:rPr>
  </w:style>
  <w:style w:type="character" w:customStyle="1" w:styleId="Char7">
    <w:name w:val="글자만 Char"/>
    <w:link w:val="af8"/>
    <w:rsid w:val="008D00A5"/>
    <w:rPr>
      <w:rFonts w:ascii="Courier New" w:hAnsi="Courier New"/>
      <w:lang w:val="nb-NO" w:eastAsia="ja-JP"/>
    </w:rPr>
  </w:style>
  <w:style w:type="character" w:styleId="af9">
    <w:name w:val="Strong"/>
    <w:uiPriority w:val="22"/>
    <w:qFormat/>
    <w:rsid w:val="008D00A5"/>
    <w:rPr>
      <w:b/>
      <w:bCs/>
    </w:rPr>
  </w:style>
  <w:style w:type="table" w:styleId="afa">
    <w:name w:val="Table Grid"/>
    <w:basedOn w:val="a3"/>
    <w:uiPriority w:val="39"/>
    <w:qFormat/>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a1"/>
    <w:link w:val="TALCharCharChar"/>
    <w:rsid w:val="008D00A5"/>
    <w:pPr>
      <w:keepNext/>
      <w:keepLines/>
      <w:spacing w:after="0"/>
    </w:pPr>
    <w:rPr>
      <w:rFonts w:eastAsia="맑은 고딕"/>
      <w:sz w:val="18"/>
      <w:lang w:val="x-none" w:eastAsia="x-none"/>
    </w:rPr>
  </w:style>
  <w:style w:type="character" w:customStyle="1" w:styleId="TALCharCharChar">
    <w:name w:val="TAL Char Char Char"/>
    <w:link w:val="TALCharChar"/>
    <w:rsid w:val="008D00A5"/>
    <w:rPr>
      <w:rFonts w:ascii="Arial" w:eastAsia="맑은 고딕"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afb">
    <w:name w:val="List Continue"/>
    <w:basedOn w:val="a1"/>
    <w:rsid w:val="003A70A4"/>
    <w:pPr>
      <w:spacing w:after="120"/>
      <w:ind w:left="283"/>
      <w:contextualSpacing/>
    </w:pPr>
  </w:style>
  <w:style w:type="paragraph" w:styleId="25">
    <w:name w:val="List Continue 2"/>
    <w:basedOn w:val="a1"/>
    <w:rsid w:val="003A70A4"/>
    <w:pPr>
      <w:spacing w:after="120"/>
      <w:ind w:left="566"/>
      <w:contextualSpacing/>
    </w:pPr>
  </w:style>
  <w:style w:type="paragraph" w:styleId="3">
    <w:name w:val="List Number 3"/>
    <w:basedOn w:val="21"/>
    <w:rsid w:val="003A70A4"/>
    <w:pPr>
      <w:numPr>
        <w:numId w:val="3"/>
      </w:numPr>
      <w:contextualSpacing/>
    </w:pPr>
  </w:style>
  <w:style w:type="character" w:styleId="afc">
    <w:name w:val="Intense Emphasis"/>
    <w:basedOn w:val="a2"/>
    <w:uiPriority w:val="21"/>
    <w:qFormat/>
    <w:rsid w:val="00721B32"/>
    <w:rPr>
      <w:i/>
      <w:iCs/>
      <w:color w:val="4472C4" w:themeColor="accent1"/>
    </w:rPr>
  </w:style>
  <w:style w:type="character" w:customStyle="1" w:styleId="apple-converted-space">
    <w:name w:val="apple-converted-space"/>
    <w:qFormat/>
    <w:rsid w:val="002E52F3"/>
  </w:style>
  <w:style w:type="paragraph" w:styleId="afd">
    <w:name w:val="Revision"/>
    <w:hidden/>
    <w:uiPriority w:val="99"/>
    <w:semiHidden/>
    <w:rsid w:val="0065211A"/>
    <w:rPr>
      <w:rFonts w:ascii="Arial" w:eastAsiaTheme="minorHAnsi" w:hAnsi="Arial" w:cstheme="minorBidi"/>
      <w:szCs w:val="22"/>
      <w:lang w:val="en-US" w:eastAsia="en-US"/>
    </w:rPr>
  </w:style>
  <w:style w:type="paragraph" w:customStyle="1" w:styleId="xmsonormal">
    <w:name w:val="xmsonormal"/>
    <w:basedOn w:val="a1"/>
    <w:uiPriority w:val="99"/>
    <w:rsid w:val="00F557AB"/>
    <w:pPr>
      <w:spacing w:before="100" w:beforeAutospacing="1" w:after="100" w:afterAutospacing="1" w:line="240" w:lineRule="auto"/>
    </w:pPr>
    <w:rPr>
      <w:rFonts w:ascii="Calibri" w:hAnsi="Calibri" w:cs="Calibri"/>
      <w:sz w:val="22"/>
      <w:lang w:val="sv-SE" w:eastAsia="sv-SE"/>
    </w:rPr>
  </w:style>
  <w:style w:type="table" w:styleId="5-1">
    <w:name w:val="Grid Table 5 Dark Accent 1"/>
    <w:basedOn w:val="a3"/>
    <w:uiPriority w:val="50"/>
    <w:rsid w:val="00FD6C50"/>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character" w:customStyle="1" w:styleId="UnresolvedMention1">
    <w:name w:val="Unresolved Mention1"/>
    <w:basedOn w:val="a2"/>
    <w:uiPriority w:val="99"/>
    <w:unhideWhenUsed/>
    <w:rsid w:val="003F071B"/>
    <w:rPr>
      <w:color w:val="605E5C"/>
      <w:shd w:val="clear" w:color="auto" w:fill="E1DFDD"/>
    </w:rPr>
  </w:style>
  <w:style w:type="character" w:customStyle="1" w:styleId="Mention1">
    <w:name w:val="Mention1"/>
    <w:basedOn w:val="a2"/>
    <w:uiPriority w:val="99"/>
    <w:unhideWhenUsed/>
    <w:rsid w:val="003F071B"/>
    <w:rPr>
      <w:color w:val="2B579A"/>
      <w:shd w:val="clear" w:color="auto" w:fill="E1DFDD"/>
    </w:rPr>
  </w:style>
  <w:style w:type="character" w:customStyle="1" w:styleId="Char8">
    <w:name w:val="풍선 도움말 텍스트 Char"/>
    <w:basedOn w:val="a2"/>
    <w:uiPriority w:val="34"/>
    <w:qFormat/>
    <w:rsid w:val="009D2B61"/>
    <w:rPr>
      <w:rFonts w:eastAsiaTheme="minorEastAsia"/>
      <w:color w:val="595959" w:themeColor="text1" w:themeTint="A6"/>
      <w:spacing w:val="15"/>
      <w:lang w:val="en-GB"/>
    </w:rPr>
  </w:style>
  <w:style w:type="character" w:customStyle="1" w:styleId="12">
    <w:name w:val="书籍标题1"/>
    <w:basedOn w:val="a2"/>
    <w:uiPriority w:val="33"/>
    <w:qFormat/>
    <w:rsid w:val="009D2B61"/>
    <w:rPr>
      <w:b/>
      <w:bCs/>
      <w:i/>
      <w:iCs/>
      <w:spacing w:val="5"/>
    </w:rPr>
  </w:style>
  <w:style w:type="paragraph" w:customStyle="1" w:styleId="TdocHeader2">
    <w:name w:val="Tdoc_Header_2"/>
    <w:basedOn w:val="a1"/>
    <w:uiPriority w:val="99"/>
    <w:rsid w:val="003E6979"/>
    <w:pPr>
      <w:widowControl w:val="0"/>
      <w:tabs>
        <w:tab w:val="left" w:pos="1701"/>
        <w:tab w:val="right" w:pos="9072"/>
        <w:tab w:val="right" w:pos="10206"/>
      </w:tabs>
      <w:spacing w:after="0" w:line="240" w:lineRule="auto"/>
      <w:jc w:val="both"/>
    </w:pPr>
    <w:rPr>
      <w:rFonts w:eastAsia="Times New Roman" w:cs="Times New Roman"/>
      <w:b/>
      <w:sz w:val="18"/>
      <w:szCs w:val="20"/>
    </w:rPr>
  </w:style>
  <w:style w:type="numbering" w:customStyle="1" w:styleId="CurrentList1">
    <w:name w:val="Current List1"/>
    <w:uiPriority w:val="99"/>
    <w:rsid w:val="00CB692C"/>
    <w:pPr>
      <w:numPr>
        <w:numId w:val="20"/>
      </w:numPr>
    </w:pPr>
  </w:style>
  <w:style w:type="numbering" w:customStyle="1" w:styleId="CurrentList2">
    <w:name w:val="Current List2"/>
    <w:uiPriority w:val="99"/>
    <w:rsid w:val="00CB692C"/>
    <w:pPr>
      <w:numPr>
        <w:numId w:val="21"/>
      </w:numPr>
    </w:pPr>
  </w:style>
  <w:style w:type="numbering" w:customStyle="1" w:styleId="CurrentList3">
    <w:name w:val="Current List3"/>
    <w:uiPriority w:val="99"/>
    <w:rsid w:val="00CB692C"/>
    <w:pPr>
      <w:numPr>
        <w:numId w:val="22"/>
      </w:numPr>
    </w:pPr>
  </w:style>
  <w:style w:type="numbering" w:customStyle="1" w:styleId="CurrentList4">
    <w:name w:val="Current List4"/>
    <w:uiPriority w:val="99"/>
    <w:rsid w:val="007B7943"/>
    <w:pPr>
      <w:numPr>
        <w:numId w:val="28"/>
      </w:numPr>
    </w:pPr>
  </w:style>
  <w:style w:type="numbering" w:customStyle="1" w:styleId="CurrentList5">
    <w:name w:val="Current List5"/>
    <w:uiPriority w:val="99"/>
    <w:rsid w:val="007B7943"/>
    <w:pPr>
      <w:numPr>
        <w:numId w:val="30"/>
      </w:numPr>
    </w:pPr>
  </w:style>
  <w:style w:type="numbering" w:customStyle="1" w:styleId="CurrentList6">
    <w:name w:val="Current List6"/>
    <w:uiPriority w:val="99"/>
    <w:rsid w:val="00F248F4"/>
    <w:pPr>
      <w:numPr>
        <w:numId w:val="31"/>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6485236">
      <w:bodyDiv w:val="1"/>
      <w:marLeft w:val="0"/>
      <w:marRight w:val="0"/>
      <w:marTop w:val="0"/>
      <w:marBottom w:val="0"/>
      <w:divBdr>
        <w:top w:val="none" w:sz="0" w:space="0" w:color="auto"/>
        <w:left w:val="none" w:sz="0" w:space="0" w:color="auto"/>
        <w:bottom w:val="none" w:sz="0" w:space="0" w:color="auto"/>
        <w:right w:val="none" w:sz="0" w:space="0" w:color="auto"/>
      </w:divBdr>
    </w:div>
    <w:div w:id="107703127">
      <w:bodyDiv w:val="1"/>
      <w:marLeft w:val="0"/>
      <w:marRight w:val="0"/>
      <w:marTop w:val="0"/>
      <w:marBottom w:val="0"/>
      <w:divBdr>
        <w:top w:val="none" w:sz="0" w:space="0" w:color="auto"/>
        <w:left w:val="none" w:sz="0" w:space="0" w:color="auto"/>
        <w:bottom w:val="none" w:sz="0" w:space="0" w:color="auto"/>
        <w:right w:val="none" w:sz="0" w:space="0" w:color="auto"/>
      </w:divBdr>
    </w:div>
    <w:div w:id="113452649">
      <w:bodyDiv w:val="1"/>
      <w:marLeft w:val="0"/>
      <w:marRight w:val="0"/>
      <w:marTop w:val="0"/>
      <w:marBottom w:val="0"/>
      <w:divBdr>
        <w:top w:val="none" w:sz="0" w:space="0" w:color="auto"/>
        <w:left w:val="none" w:sz="0" w:space="0" w:color="auto"/>
        <w:bottom w:val="none" w:sz="0" w:space="0" w:color="auto"/>
        <w:right w:val="none" w:sz="0" w:space="0" w:color="auto"/>
      </w:divBdr>
    </w:div>
    <w:div w:id="134840167">
      <w:bodyDiv w:val="1"/>
      <w:marLeft w:val="0"/>
      <w:marRight w:val="0"/>
      <w:marTop w:val="0"/>
      <w:marBottom w:val="0"/>
      <w:divBdr>
        <w:top w:val="none" w:sz="0" w:space="0" w:color="auto"/>
        <w:left w:val="none" w:sz="0" w:space="0" w:color="auto"/>
        <w:bottom w:val="none" w:sz="0" w:space="0" w:color="auto"/>
        <w:right w:val="none" w:sz="0" w:space="0" w:color="auto"/>
      </w:divBdr>
    </w:div>
    <w:div w:id="328289253">
      <w:bodyDiv w:val="1"/>
      <w:marLeft w:val="0"/>
      <w:marRight w:val="0"/>
      <w:marTop w:val="0"/>
      <w:marBottom w:val="0"/>
      <w:divBdr>
        <w:top w:val="none" w:sz="0" w:space="0" w:color="auto"/>
        <w:left w:val="none" w:sz="0" w:space="0" w:color="auto"/>
        <w:bottom w:val="none" w:sz="0" w:space="0" w:color="auto"/>
        <w:right w:val="none" w:sz="0" w:space="0" w:color="auto"/>
      </w:divBdr>
    </w:div>
    <w:div w:id="346518795">
      <w:bodyDiv w:val="1"/>
      <w:marLeft w:val="0"/>
      <w:marRight w:val="0"/>
      <w:marTop w:val="0"/>
      <w:marBottom w:val="0"/>
      <w:divBdr>
        <w:top w:val="none" w:sz="0" w:space="0" w:color="auto"/>
        <w:left w:val="none" w:sz="0" w:space="0" w:color="auto"/>
        <w:bottom w:val="none" w:sz="0" w:space="0" w:color="auto"/>
        <w:right w:val="none" w:sz="0" w:space="0" w:color="auto"/>
      </w:divBdr>
    </w:div>
    <w:div w:id="364211151">
      <w:bodyDiv w:val="1"/>
      <w:marLeft w:val="0"/>
      <w:marRight w:val="0"/>
      <w:marTop w:val="0"/>
      <w:marBottom w:val="0"/>
      <w:divBdr>
        <w:top w:val="none" w:sz="0" w:space="0" w:color="auto"/>
        <w:left w:val="none" w:sz="0" w:space="0" w:color="auto"/>
        <w:bottom w:val="none" w:sz="0" w:space="0" w:color="auto"/>
        <w:right w:val="none" w:sz="0" w:space="0" w:color="auto"/>
      </w:divBdr>
    </w:div>
    <w:div w:id="417555216">
      <w:bodyDiv w:val="1"/>
      <w:marLeft w:val="0"/>
      <w:marRight w:val="0"/>
      <w:marTop w:val="0"/>
      <w:marBottom w:val="0"/>
      <w:divBdr>
        <w:top w:val="none" w:sz="0" w:space="0" w:color="auto"/>
        <w:left w:val="none" w:sz="0" w:space="0" w:color="auto"/>
        <w:bottom w:val="none" w:sz="0" w:space="0" w:color="auto"/>
        <w:right w:val="none" w:sz="0" w:space="0" w:color="auto"/>
      </w:divBdr>
    </w:div>
    <w:div w:id="482744154">
      <w:bodyDiv w:val="1"/>
      <w:marLeft w:val="0"/>
      <w:marRight w:val="0"/>
      <w:marTop w:val="0"/>
      <w:marBottom w:val="0"/>
      <w:divBdr>
        <w:top w:val="none" w:sz="0" w:space="0" w:color="auto"/>
        <w:left w:val="none" w:sz="0" w:space="0" w:color="auto"/>
        <w:bottom w:val="none" w:sz="0" w:space="0" w:color="auto"/>
        <w:right w:val="none" w:sz="0" w:space="0" w:color="auto"/>
      </w:divBdr>
    </w:div>
    <w:div w:id="497160307">
      <w:bodyDiv w:val="1"/>
      <w:marLeft w:val="0"/>
      <w:marRight w:val="0"/>
      <w:marTop w:val="0"/>
      <w:marBottom w:val="0"/>
      <w:divBdr>
        <w:top w:val="none" w:sz="0" w:space="0" w:color="auto"/>
        <w:left w:val="none" w:sz="0" w:space="0" w:color="auto"/>
        <w:bottom w:val="none" w:sz="0" w:space="0" w:color="auto"/>
        <w:right w:val="none" w:sz="0" w:space="0" w:color="auto"/>
      </w:divBdr>
      <w:divsChild>
        <w:div w:id="1683126358">
          <w:marLeft w:val="0"/>
          <w:marRight w:val="0"/>
          <w:marTop w:val="0"/>
          <w:marBottom w:val="0"/>
          <w:divBdr>
            <w:top w:val="none" w:sz="0" w:space="0" w:color="auto"/>
            <w:left w:val="none" w:sz="0" w:space="0" w:color="auto"/>
            <w:bottom w:val="none" w:sz="0" w:space="0" w:color="auto"/>
            <w:right w:val="none" w:sz="0" w:space="0" w:color="auto"/>
          </w:divBdr>
          <w:divsChild>
            <w:div w:id="544803963">
              <w:marLeft w:val="0"/>
              <w:marRight w:val="0"/>
              <w:marTop w:val="0"/>
              <w:marBottom w:val="0"/>
              <w:divBdr>
                <w:top w:val="none" w:sz="0" w:space="0" w:color="auto"/>
                <w:left w:val="none" w:sz="0" w:space="0" w:color="auto"/>
                <w:bottom w:val="none" w:sz="0" w:space="0" w:color="auto"/>
                <w:right w:val="none" w:sz="0" w:space="0" w:color="auto"/>
              </w:divBdr>
              <w:divsChild>
                <w:div w:id="1582643825">
                  <w:marLeft w:val="0"/>
                  <w:marRight w:val="0"/>
                  <w:marTop w:val="0"/>
                  <w:marBottom w:val="0"/>
                  <w:divBdr>
                    <w:top w:val="none" w:sz="0" w:space="0" w:color="auto"/>
                    <w:left w:val="none" w:sz="0" w:space="0" w:color="auto"/>
                    <w:bottom w:val="none" w:sz="0" w:space="0" w:color="auto"/>
                    <w:right w:val="none" w:sz="0" w:space="0" w:color="auto"/>
                  </w:divBdr>
                  <w:divsChild>
                    <w:div w:id="19315432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77130173">
      <w:bodyDiv w:val="1"/>
      <w:marLeft w:val="0"/>
      <w:marRight w:val="0"/>
      <w:marTop w:val="0"/>
      <w:marBottom w:val="0"/>
      <w:divBdr>
        <w:top w:val="none" w:sz="0" w:space="0" w:color="auto"/>
        <w:left w:val="none" w:sz="0" w:space="0" w:color="auto"/>
        <w:bottom w:val="none" w:sz="0" w:space="0" w:color="auto"/>
        <w:right w:val="none" w:sz="0" w:space="0" w:color="auto"/>
      </w:divBdr>
    </w:div>
    <w:div w:id="636647002">
      <w:bodyDiv w:val="1"/>
      <w:marLeft w:val="0"/>
      <w:marRight w:val="0"/>
      <w:marTop w:val="0"/>
      <w:marBottom w:val="0"/>
      <w:divBdr>
        <w:top w:val="none" w:sz="0" w:space="0" w:color="auto"/>
        <w:left w:val="none" w:sz="0" w:space="0" w:color="auto"/>
        <w:bottom w:val="none" w:sz="0" w:space="0" w:color="auto"/>
        <w:right w:val="none" w:sz="0" w:space="0" w:color="auto"/>
      </w:divBdr>
    </w:div>
    <w:div w:id="683021154">
      <w:bodyDiv w:val="1"/>
      <w:marLeft w:val="0"/>
      <w:marRight w:val="0"/>
      <w:marTop w:val="0"/>
      <w:marBottom w:val="0"/>
      <w:divBdr>
        <w:top w:val="none" w:sz="0" w:space="0" w:color="auto"/>
        <w:left w:val="none" w:sz="0" w:space="0" w:color="auto"/>
        <w:bottom w:val="none" w:sz="0" w:space="0" w:color="auto"/>
        <w:right w:val="none" w:sz="0" w:space="0" w:color="auto"/>
      </w:divBdr>
    </w:div>
    <w:div w:id="696196705">
      <w:bodyDiv w:val="1"/>
      <w:marLeft w:val="0"/>
      <w:marRight w:val="0"/>
      <w:marTop w:val="0"/>
      <w:marBottom w:val="0"/>
      <w:divBdr>
        <w:top w:val="none" w:sz="0" w:space="0" w:color="auto"/>
        <w:left w:val="none" w:sz="0" w:space="0" w:color="auto"/>
        <w:bottom w:val="none" w:sz="0" w:space="0" w:color="auto"/>
        <w:right w:val="none" w:sz="0" w:space="0" w:color="auto"/>
      </w:divBdr>
    </w:div>
    <w:div w:id="1005933483">
      <w:bodyDiv w:val="1"/>
      <w:marLeft w:val="0"/>
      <w:marRight w:val="0"/>
      <w:marTop w:val="0"/>
      <w:marBottom w:val="0"/>
      <w:divBdr>
        <w:top w:val="none" w:sz="0" w:space="0" w:color="auto"/>
        <w:left w:val="none" w:sz="0" w:space="0" w:color="auto"/>
        <w:bottom w:val="none" w:sz="0" w:space="0" w:color="auto"/>
        <w:right w:val="none" w:sz="0" w:space="0" w:color="auto"/>
      </w:divBdr>
    </w:div>
    <w:div w:id="1085690595">
      <w:bodyDiv w:val="1"/>
      <w:marLeft w:val="0"/>
      <w:marRight w:val="0"/>
      <w:marTop w:val="0"/>
      <w:marBottom w:val="0"/>
      <w:divBdr>
        <w:top w:val="none" w:sz="0" w:space="0" w:color="auto"/>
        <w:left w:val="none" w:sz="0" w:space="0" w:color="auto"/>
        <w:bottom w:val="none" w:sz="0" w:space="0" w:color="auto"/>
        <w:right w:val="none" w:sz="0" w:space="0" w:color="auto"/>
      </w:divBdr>
    </w:div>
    <w:div w:id="1120419870">
      <w:bodyDiv w:val="1"/>
      <w:marLeft w:val="0"/>
      <w:marRight w:val="0"/>
      <w:marTop w:val="0"/>
      <w:marBottom w:val="0"/>
      <w:divBdr>
        <w:top w:val="none" w:sz="0" w:space="0" w:color="auto"/>
        <w:left w:val="none" w:sz="0" w:space="0" w:color="auto"/>
        <w:bottom w:val="none" w:sz="0" w:space="0" w:color="auto"/>
        <w:right w:val="none" w:sz="0" w:space="0" w:color="auto"/>
      </w:divBdr>
    </w:div>
    <w:div w:id="1134526310">
      <w:bodyDiv w:val="1"/>
      <w:marLeft w:val="0"/>
      <w:marRight w:val="0"/>
      <w:marTop w:val="0"/>
      <w:marBottom w:val="0"/>
      <w:divBdr>
        <w:top w:val="none" w:sz="0" w:space="0" w:color="auto"/>
        <w:left w:val="none" w:sz="0" w:space="0" w:color="auto"/>
        <w:bottom w:val="none" w:sz="0" w:space="0" w:color="auto"/>
        <w:right w:val="none" w:sz="0" w:space="0" w:color="auto"/>
      </w:divBdr>
    </w:div>
    <w:div w:id="1166093501">
      <w:bodyDiv w:val="1"/>
      <w:marLeft w:val="0"/>
      <w:marRight w:val="0"/>
      <w:marTop w:val="0"/>
      <w:marBottom w:val="0"/>
      <w:divBdr>
        <w:top w:val="none" w:sz="0" w:space="0" w:color="auto"/>
        <w:left w:val="none" w:sz="0" w:space="0" w:color="auto"/>
        <w:bottom w:val="none" w:sz="0" w:space="0" w:color="auto"/>
        <w:right w:val="none" w:sz="0" w:space="0" w:color="auto"/>
      </w:divBdr>
    </w:div>
    <w:div w:id="1189950016">
      <w:bodyDiv w:val="1"/>
      <w:marLeft w:val="0"/>
      <w:marRight w:val="0"/>
      <w:marTop w:val="0"/>
      <w:marBottom w:val="0"/>
      <w:divBdr>
        <w:top w:val="none" w:sz="0" w:space="0" w:color="auto"/>
        <w:left w:val="none" w:sz="0" w:space="0" w:color="auto"/>
        <w:bottom w:val="none" w:sz="0" w:space="0" w:color="auto"/>
        <w:right w:val="none" w:sz="0" w:space="0" w:color="auto"/>
      </w:divBdr>
    </w:div>
    <w:div w:id="1240096730">
      <w:bodyDiv w:val="1"/>
      <w:marLeft w:val="0"/>
      <w:marRight w:val="0"/>
      <w:marTop w:val="0"/>
      <w:marBottom w:val="0"/>
      <w:divBdr>
        <w:top w:val="none" w:sz="0" w:space="0" w:color="auto"/>
        <w:left w:val="none" w:sz="0" w:space="0" w:color="auto"/>
        <w:bottom w:val="none" w:sz="0" w:space="0" w:color="auto"/>
        <w:right w:val="none" w:sz="0" w:space="0" w:color="auto"/>
      </w:divBdr>
    </w:div>
    <w:div w:id="1303730752">
      <w:bodyDiv w:val="1"/>
      <w:marLeft w:val="0"/>
      <w:marRight w:val="0"/>
      <w:marTop w:val="0"/>
      <w:marBottom w:val="0"/>
      <w:divBdr>
        <w:top w:val="none" w:sz="0" w:space="0" w:color="auto"/>
        <w:left w:val="none" w:sz="0" w:space="0" w:color="auto"/>
        <w:bottom w:val="none" w:sz="0" w:space="0" w:color="auto"/>
        <w:right w:val="none" w:sz="0" w:space="0" w:color="auto"/>
      </w:divBdr>
      <w:divsChild>
        <w:div w:id="1632439125">
          <w:marLeft w:val="0"/>
          <w:marRight w:val="0"/>
          <w:marTop w:val="0"/>
          <w:marBottom w:val="0"/>
          <w:divBdr>
            <w:top w:val="none" w:sz="0" w:space="0" w:color="auto"/>
            <w:left w:val="none" w:sz="0" w:space="0" w:color="auto"/>
            <w:bottom w:val="none" w:sz="0" w:space="0" w:color="auto"/>
            <w:right w:val="none" w:sz="0" w:space="0" w:color="auto"/>
          </w:divBdr>
          <w:divsChild>
            <w:div w:id="941494279">
              <w:marLeft w:val="0"/>
              <w:marRight w:val="0"/>
              <w:marTop w:val="0"/>
              <w:marBottom w:val="0"/>
              <w:divBdr>
                <w:top w:val="none" w:sz="0" w:space="0" w:color="auto"/>
                <w:left w:val="none" w:sz="0" w:space="0" w:color="auto"/>
                <w:bottom w:val="none" w:sz="0" w:space="0" w:color="auto"/>
                <w:right w:val="none" w:sz="0" w:space="0" w:color="auto"/>
              </w:divBdr>
              <w:divsChild>
                <w:div w:id="1994529682">
                  <w:marLeft w:val="0"/>
                  <w:marRight w:val="0"/>
                  <w:marTop w:val="0"/>
                  <w:marBottom w:val="0"/>
                  <w:divBdr>
                    <w:top w:val="none" w:sz="0" w:space="0" w:color="auto"/>
                    <w:left w:val="none" w:sz="0" w:space="0" w:color="auto"/>
                    <w:bottom w:val="none" w:sz="0" w:space="0" w:color="auto"/>
                    <w:right w:val="none" w:sz="0" w:space="0" w:color="auto"/>
                  </w:divBdr>
                  <w:divsChild>
                    <w:div w:id="95566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22779586">
      <w:bodyDiv w:val="1"/>
      <w:marLeft w:val="0"/>
      <w:marRight w:val="0"/>
      <w:marTop w:val="0"/>
      <w:marBottom w:val="0"/>
      <w:divBdr>
        <w:top w:val="none" w:sz="0" w:space="0" w:color="auto"/>
        <w:left w:val="none" w:sz="0" w:space="0" w:color="auto"/>
        <w:bottom w:val="none" w:sz="0" w:space="0" w:color="auto"/>
        <w:right w:val="none" w:sz="0" w:space="0" w:color="auto"/>
      </w:divBdr>
    </w:div>
    <w:div w:id="1381241944">
      <w:bodyDiv w:val="1"/>
      <w:marLeft w:val="0"/>
      <w:marRight w:val="0"/>
      <w:marTop w:val="0"/>
      <w:marBottom w:val="0"/>
      <w:divBdr>
        <w:top w:val="none" w:sz="0" w:space="0" w:color="auto"/>
        <w:left w:val="none" w:sz="0" w:space="0" w:color="auto"/>
        <w:bottom w:val="none" w:sz="0" w:space="0" w:color="auto"/>
        <w:right w:val="none" w:sz="0" w:space="0" w:color="auto"/>
      </w:divBdr>
      <w:divsChild>
        <w:div w:id="2061855600">
          <w:marLeft w:val="0"/>
          <w:marRight w:val="0"/>
          <w:marTop w:val="0"/>
          <w:marBottom w:val="0"/>
          <w:divBdr>
            <w:top w:val="none" w:sz="0" w:space="0" w:color="auto"/>
            <w:left w:val="none" w:sz="0" w:space="0" w:color="auto"/>
            <w:bottom w:val="none" w:sz="0" w:space="0" w:color="auto"/>
            <w:right w:val="none" w:sz="0" w:space="0" w:color="auto"/>
          </w:divBdr>
          <w:divsChild>
            <w:div w:id="1062413641">
              <w:marLeft w:val="0"/>
              <w:marRight w:val="0"/>
              <w:marTop w:val="0"/>
              <w:marBottom w:val="0"/>
              <w:divBdr>
                <w:top w:val="none" w:sz="0" w:space="0" w:color="auto"/>
                <w:left w:val="none" w:sz="0" w:space="0" w:color="auto"/>
                <w:bottom w:val="none" w:sz="0" w:space="0" w:color="auto"/>
                <w:right w:val="none" w:sz="0" w:space="0" w:color="auto"/>
              </w:divBdr>
              <w:divsChild>
                <w:div w:id="417748803">
                  <w:marLeft w:val="0"/>
                  <w:marRight w:val="0"/>
                  <w:marTop w:val="0"/>
                  <w:marBottom w:val="0"/>
                  <w:divBdr>
                    <w:top w:val="none" w:sz="0" w:space="0" w:color="auto"/>
                    <w:left w:val="none" w:sz="0" w:space="0" w:color="auto"/>
                    <w:bottom w:val="none" w:sz="0" w:space="0" w:color="auto"/>
                    <w:right w:val="none" w:sz="0" w:space="0" w:color="auto"/>
                  </w:divBdr>
                  <w:divsChild>
                    <w:div w:id="339621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38522712">
      <w:bodyDiv w:val="1"/>
      <w:marLeft w:val="0"/>
      <w:marRight w:val="0"/>
      <w:marTop w:val="0"/>
      <w:marBottom w:val="0"/>
      <w:divBdr>
        <w:top w:val="none" w:sz="0" w:space="0" w:color="auto"/>
        <w:left w:val="none" w:sz="0" w:space="0" w:color="auto"/>
        <w:bottom w:val="none" w:sz="0" w:space="0" w:color="auto"/>
        <w:right w:val="none" w:sz="0" w:space="0" w:color="auto"/>
      </w:divBdr>
    </w:div>
    <w:div w:id="1665624113">
      <w:bodyDiv w:val="1"/>
      <w:marLeft w:val="0"/>
      <w:marRight w:val="0"/>
      <w:marTop w:val="0"/>
      <w:marBottom w:val="0"/>
      <w:divBdr>
        <w:top w:val="none" w:sz="0" w:space="0" w:color="auto"/>
        <w:left w:val="none" w:sz="0" w:space="0" w:color="auto"/>
        <w:bottom w:val="none" w:sz="0" w:space="0" w:color="auto"/>
        <w:right w:val="none" w:sz="0" w:space="0" w:color="auto"/>
      </w:divBdr>
    </w:div>
    <w:div w:id="1765610888">
      <w:bodyDiv w:val="1"/>
      <w:marLeft w:val="0"/>
      <w:marRight w:val="0"/>
      <w:marTop w:val="0"/>
      <w:marBottom w:val="0"/>
      <w:divBdr>
        <w:top w:val="none" w:sz="0" w:space="0" w:color="auto"/>
        <w:left w:val="none" w:sz="0" w:space="0" w:color="auto"/>
        <w:bottom w:val="none" w:sz="0" w:space="0" w:color="auto"/>
        <w:right w:val="none" w:sz="0" w:space="0" w:color="auto"/>
      </w:divBdr>
    </w:div>
    <w:div w:id="1962345007">
      <w:bodyDiv w:val="1"/>
      <w:marLeft w:val="0"/>
      <w:marRight w:val="0"/>
      <w:marTop w:val="0"/>
      <w:marBottom w:val="0"/>
      <w:divBdr>
        <w:top w:val="none" w:sz="0" w:space="0" w:color="auto"/>
        <w:left w:val="none" w:sz="0" w:space="0" w:color="auto"/>
        <w:bottom w:val="none" w:sz="0" w:space="0" w:color="auto"/>
        <w:right w:val="none" w:sz="0" w:space="0" w:color="auto"/>
      </w:divBdr>
      <w:divsChild>
        <w:div w:id="1744990109">
          <w:marLeft w:val="0"/>
          <w:marRight w:val="0"/>
          <w:marTop w:val="0"/>
          <w:marBottom w:val="0"/>
          <w:divBdr>
            <w:top w:val="none" w:sz="0" w:space="0" w:color="auto"/>
            <w:left w:val="none" w:sz="0" w:space="0" w:color="auto"/>
            <w:bottom w:val="none" w:sz="0" w:space="0" w:color="auto"/>
            <w:right w:val="none" w:sz="0" w:space="0" w:color="auto"/>
          </w:divBdr>
          <w:divsChild>
            <w:div w:id="65232228">
              <w:marLeft w:val="0"/>
              <w:marRight w:val="0"/>
              <w:marTop w:val="0"/>
              <w:marBottom w:val="0"/>
              <w:divBdr>
                <w:top w:val="none" w:sz="0" w:space="0" w:color="auto"/>
                <w:left w:val="none" w:sz="0" w:space="0" w:color="auto"/>
                <w:bottom w:val="none" w:sz="0" w:space="0" w:color="auto"/>
                <w:right w:val="none" w:sz="0" w:space="0" w:color="auto"/>
              </w:divBdr>
              <w:divsChild>
                <w:div w:id="722798059">
                  <w:marLeft w:val="0"/>
                  <w:marRight w:val="0"/>
                  <w:marTop w:val="0"/>
                  <w:marBottom w:val="0"/>
                  <w:divBdr>
                    <w:top w:val="none" w:sz="0" w:space="0" w:color="auto"/>
                    <w:left w:val="none" w:sz="0" w:space="0" w:color="auto"/>
                    <w:bottom w:val="none" w:sz="0" w:space="0" w:color="auto"/>
                    <w:right w:val="none" w:sz="0" w:space="0" w:color="auto"/>
                  </w:divBdr>
                  <w:divsChild>
                    <w:div w:id="17770214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91059543">
      <w:bodyDiv w:val="1"/>
      <w:marLeft w:val="0"/>
      <w:marRight w:val="0"/>
      <w:marTop w:val="0"/>
      <w:marBottom w:val="0"/>
      <w:divBdr>
        <w:top w:val="none" w:sz="0" w:space="0" w:color="auto"/>
        <w:left w:val="none" w:sz="0" w:space="0" w:color="auto"/>
        <w:bottom w:val="none" w:sz="0" w:space="0" w:color="auto"/>
        <w:right w:val="none" w:sz="0" w:space="0" w:color="auto"/>
      </w:divBdr>
    </w:div>
    <w:div w:id="2043237750">
      <w:bodyDiv w:val="1"/>
      <w:marLeft w:val="0"/>
      <w:marRight w:val="0"/>
      <w:marTop w:val="0"/>
      <w:marBottom w:val="0"/>
      <w:divBdr>
        <w:top w:val="none" w:sz="0" w:space="0" w:color="auto"/>
        <w:left w:val="none" w:sz="0" w:space="0" w:color="auto"/>
        <w:bottom w:val="none" w:sz="0" w:space="0" w:color="auto"/>
        <w:right w:val="none" w:sz="0" w:space="0" w:color="auto"/>
      </w:divBdr>
    </w:div>
    <w:div w:id="20742345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jpe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Cha</b:Tag>
    <b:SourceType>Book</b:SourceType>
    <b:Guid>{E684F3A9-2FA9-436B-A219-6864EBE3F9B1}</b:Guid>
    <b:Title>“Chairman’s Notes”, 3GPP TSG RAN WG1 Meeting #106-e, August 2021.</b:Title>
    <b:RefOrder>1</b:RefOrder>
  </b:Source>
</b:Sources>
</file>

<file path=customXml/itemProps1.xml><?xml version="1.0" encoding="utf-8"?>
<ds:datastoreItem xmlns:ds="http://schemas.openxmlformats.org/officeDocument/2006/customXml" ds:itemID="{1FE9F975-8EC8-450E-9D81-8E40FD9573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15</Pages>
  <Words>6583</Words>
  <Characters>37526</Characters>
  <Application>Microsoft Office Word</Application>
  <DocSecurity>0</DocSecurity>
  <Lines>312</Lines>
  <Paragraphs>88</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Manager/>
  <Company/>
  <LinksUpToDate>false</LinksUpToDate>
  <CharactersWithSpaces>44021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2022-04-29T05:23:00Z</dcterms:created>
  <dcterms:modified xsi:type="dcterms:W3CDTF">2022-04-29T17:11:00Z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