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1F822" w14:textId="732235A6" w:rsidR="009D2B87" w:rsidRPr="0052548E" w:rsidRDefault="009D2B87" w:rsidP="009D2B87">
      <w:pPr>
        <w:tabs>
          <w:tab w:val="center" w:pos="4536"/>
          <w:tab w:val="right" w:pos="7938"/>
          <w:tab w:val="right" w:pos="9639"/>
        </w:tabs>
        <w:spacing w:after="0"/>
        <w:ind w:right="2"/>
        <w:rPr>
          <w:rFonts w:ascii="Arial" w:hAnsi="Arial" w:cs="Arial"/>
          <w:b/>
          <w:bCs/>
          <w:sz w:val="28"/>
        </w:rPr>
      </w:pPr>
      <w:bookmarkStart w:id="0" w:name="historyclause"/>
      <w:bookmarkStart w:id="1" w:name="_Toc383764588"/>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47CD8">
        <w:rPr>
          <w:rFonts w:ascii="Arial" w:hAnsi="Arial" w:cs="Arial"/>
          <w:b/>
          <w:bCs/>
          <w:sz w:val="28"/>
        </w:rPr>
        <w:t>R1-220</w:t>
      </w:r>
      <w:r>
        <w:rPr>
          <w:rFonts w:ascii="Arial" w:hAnsi="Arial" w:cs="Arial"/>
          <w:b/>
          <w:bCs/>
          <w:sz w:val="28"/>
        </w:rPr>
        <w:t>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companies are invited to further check the necessary update(s) to the RRC parameters, taking into account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absolutely essential.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1E271E"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regarded as a search space set configuration with entries and values analogous to those of a </w:t>
      </w:r>
      <w:r w:rsidRPr="00EF0D49">
        <w:rPr>
          <w:rFonts w:ascii="Times New Roman" w:hAnsi="Times New Roman" w:cs="Times New Roman"/>
          <w:i/>
          <w:iCs/>
          <w:lang w:val="en-GB" w:eastAsia="en-US"/>
        </w:rPr>
        <w:t>SearchSpace</w:t>
      </w:r>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lastRenderedPageBreak/>
              <w:t>peiSearchSpace</w:t>
            </w:r>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1) Can be configured to one of up to 4 common SS sets configured by commonSearchSpaceList with SearchSpaceId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[SearchSpaceId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‘peiSearchSpace’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highlight w:val="cyan"/>
                <w:lang w:eastAsia="zh-TW"/>
              </w:rPr>
              <w:t>searchSpaceId: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nrofCandidates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 }</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Reuse the value ranges in IE SearchSpace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r w:rsidRPr="00EF0D49">
        <w:rPr>
          <w:rFonts w:ascii="Times New Roman" w:hAnsi="Times New Roman" w:cs="Times New Roman"/>
          <w:i/>
          <w:iCs/>
          <w:lang w:val="en-GB" w:eastAsia="en-US"/>
        </w:rPr>
        <w:t>peiSearchSpace</w:t>
      </w:r>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r w:rsidRPr="00322D5D">
              <w:rPr>
                <w:b/>
                <w:i/>
                <w:szCs w:val="22"/>
                <w:lang w:eastAsia="sv-SE"/>
              </w:rPr>
              <w:t>pei-SearchSpace</w:t>
            </w:r>
          </w:p>
          <w:p w14:paraId="054E3535" w14:textId="3EDC9300" w:rsidR="00EF0D49" w:rsidRPr="00CE77A5" w:rsidRDefault="00EF0D49" w:rsidP="00A15472">
            <w:pPr>
              <w:pStyle w:val="TAL"/>
              <w:rPr>
                <w:rFonts w:eastAsia="等线"/>
                <w:szCs w:val="22"/>
                <w:lang w:eastAsia="zh-CN"/>
              </w:rPr>
            </w:pPr>
            <w:r w:rsidRPr="00EF0D49">
              <w:rPr>
                <w:rFonts w:eastAsia="等线"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等线" w:hint="eastAsia"/>
                <w:szCs w:val="22"/>
                <w:lang w:eastAsia="zh-CN"/>
              </w:rPr>
              <w:t>It c</w:t>
            </w:r>
            <w:r w:rsidRPr="00D97B98">
              <w:rPr>
                <w:rFonts w:eastAsia="等线"/>
                <w:szCs w:val="22"/>
                <w:lang w:eastAsia="zh-CN"/>
              </w:rPr>
              <w:t xml:space="preserve">an be configured to one of up to 4 common SS sets configured by </w:t>
            </w:r>
            <w:r w:rsidRPr="00F56D0B">
              <w:rPr>
                <w:rFonts w:eastAsia="等线"/>
                <w:i/>
                <w:szCs w:val="22"/>
                <w:lang w:eastAsia="zh-CN"/>
              </w:rPr>
              <w:t>commonSearchSpaceList</w:t>
            </w:r>
            <w:r w:rsidRPr="00D97B98">
              <w:rPr>
                <w:rFonts w:eastAsia="等线"/>
                <w:szCs w:val="22"/>
                <w:lang w:eastAsia="zh-CN"/>
              </w:rPr>
              <w:t xml:space="preserve"> with </w:t>
            </w:r>
            <w:r w:rsidRPr="00F56D0B">
              <w:rPr>
                <w:rFonts w:eastAsia="等线"/>
                <w:i/>
                <w:szCs w:val="22"/>
                <w:lang w:eastAsia="zh-CN"/>
              </w:rPr>
              <w:t>SearchSpaceId</w:t>
            </w:r>
            <w:r w:rsidRPr="00D97B98">
              <w:rPr>
                <w:rFonts w:eastAsia="等线"/>
                <w:szCs w:val="22"/>
                <w:lang w:eastAsia="zh-CN"/>
              </w:rPr>
              <w:t xml:space="preserve"> &gt; 0</w:t>
            </w:r>
            <w:r>
              <w:rPr>
                <w:rFonts w:eastAsia="等线" w:hint="eastAsia"/>
                <w:szCs w:val="22"/>
                <w:lang w:eastAsia="zh-CN"/>
              </w:rPr>
              <w:t xml:space="preserve">. </w:t>
            </w:r>
            <w:r w:rsidRPr="00D97B98">
              <w:rPr>
                <w:rFonts w:eastAsia="等线"/>
                <w:szCs w:val="22"/>
                <w:lang w:eastAsia="zh-CN"/>
              </w:rPr>
              <w:t>The CCE aggregation levels and maximum number of PDCCH candidates per CCE aggregation level follows Table 10.1-1 of TS38.213</w:t>
            </w:r>
            <w:r>
              <w:rPr>
                <w:rFonts w:eastAsia="等线" w:hint="eastAsia"/>
                <w:szCs w:val="22"/>
                <w:lang w:eastAsia="zh-CN"/>
              </w:rPr>
              <w:t xml:space="preserve"> </w:t>
            </w:r>
            <w:r w:rsidRPr="00D27132">
              <w:rPr>
                <w:lang w:eastAsia="sv-SE"/>
              </w:rPr>
              <w:t>[13]</w:t>
            </w:r>
            <w:r w:rsidRPr="00D97B98">
              <w:rPr>
                <w:rFonts w:eastAsia="等线"/>
                <w:szCs w:val="22"/>
                <w:lang w:eastAsia="zh-CN"/>
              </w:rPr>
              <w:t>.</w:t>
            </w:r>
            <w:r>
              <w:rPr>
                <w:rFonts w:eastAsia="等线" w:hint="eastAsia"/>
                <w:szCs w:val="22"/>
                <w:lang w:eastAsia="zh-CN"/>
              </w:rPr>
              <w:t xml:space="preserve"> </w:t>
            </w:r>
            <w:r w:rsidRPr="00690B2E">
              <w:rPr>
                <w:rFonts w:eastAsia="等线"/>
                <w:szCs w:val="22"/>
                <w:lang w:eastAsia="zh-CN"/>
              </w:rPr>
              <w:t>[SearchSpaceId = 0 can be configured for the case of CORESET multiplexing pattern 2 or 3]</w:t>
            </w:r>
            <w:r>
              <w:rPr>
                <w:rFonts w:eastAsia="等线"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r w:rsidRPr="00EF0D49">
        <w:rPr>
          <w:rFonts w:ascii="Times New Roman" w:hAnsi="Times New Roman" w:cs="Times New Roman"/>
          <w:i/>
          <w:iCs/>
          <w:highlight w:val="yellow"/>
          <w:lang w:val="en-GB" w:eastAsia="en-US"/>
        </w:rPr>
        <w:t>peiSearchSpace</w:t>
      </w:r>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宋体" w:hAnsi="Times New Roman" w:cs="Times New Roman"/>
                <w:color w:val="000000"/>
                <w:sz w:val="20"/>
                <w:szCs w:val="20"/>
                <w:lang w:val="en-GB" w:eastAsia="en-GB"/>
              </w:rPr>
            </w:pPr>
            <w:r w:rsidRPr="00EF0D49">
              <w:rPr>
                <w:rFonts w:ascii="Times New Roman" w:eastAsia="宋体" w:hAnsi="Times New Roman" w:cs="Times New Roman"/>
                <w:color w:val="000000"/>
                <w:sz w:val="20"/>
                <w:szCs w:val="20"/>
                <w:lang w:val="en-GB" w:eastAsia="en-GB"/>
              </w:rPr>
              <w:t>Support configuration of a dedicated search space (‘peiSearchSpace’)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宋体"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r w:rsidRPr="00EF0D49">
              <w:rPr>
                <w:rFonts w:ascii="Times New Roman" w:eastAsia="Microsoft YaHei UI" w:hAnsi="Times New Roman" w:cs="Times New Roman"/>
                <w:i/>
                <w:iCs/>
                <w:color w:val="000000"/>
                <w:kern w:val="2"/>
                <w:sz w:val="20"/>
                <w:szCs w:val="20"/>
                <w:lang w:eastAsia="ja-JP"/>
              </w:rPr>
              <w:t>pagingSearchSpace</w:t>
            </w:r>
            <w:r w:rsidRPr="00EF0D49">
              <w:rPr>
                <w:rFonts w:ascii="Times New Roman" w:eastAsia="Microsoft YaHei UI" w:hAnsi="Times New Roman" w:cs="Times New Roman"/>
                <w:color w:val="000000"/>
                <w:kern w:val="2"/>
                <w:sz w:val="20"/>
                <w:szCs w:val="20"/>
                <w:lang w:eastAsia="ja-JP"/>
              </w:rPr>
              <w:t> and </w:t>
            </w:r>
            <w:r w:rsidRPr="00EF0D49">
              <w:rPr>
                <w:rFonts w:ascii="Times New Roman" w:eastAsia="Microsoft YaHei UI" w:hAnsi="Times New Roman" w:cs="Times New Roman"/>
                <w:i/>
                <w:iCs/>
                <w:color w:val="000000"/>
                <w:kern w:val="2"/>
                <w:sz w:val="20"/>
                <w:szCs w:val="20"/>
                <w:lang w:eastAsia="ja-JP"/>
              </w:rPr>
              <w:t>searchSpaceSetZero</w:t>
            </w:r>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宋体" w:hAnsi="Times New Roman" w:cs="Times New Roman"/>
                <w:color w:val="000000"/>
                <w:sz w:val="20"/>
                <w:szCs w:val="20"/>
                <w:highlight w:val="green"/>
              </w:rPr>
            </w:pPr>
            <w:r w:rsidRPr="00EF0D49">
              <w:rPr>
                <w:rFonts w:ascii="Times New Roman" w:eastAsia="宋体"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宋体" w:hAnsi="Times New Roman" w:cs="Times New Roman"/>
                <w:color w:val="000000"/>
                <w:sz w:val="20"/>
                <w:szCs w:val="20"/>
              </w:rPr>
            </w:pPr>
            <w:r w:rsidRPr="00EF0D49">
              <w:rPr>
                <w:rFonts w:ascii="Times New Roman" w:eastAsia="宋体"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宋体" w:hAnsi="Times New Roman" w:cs="Times New Roman"/>
                <w:color w:val="000000"/>
                <w:sz w:val="20"/>
                <w:szCs w:val="20"/>
                <w:highlight w:val="green"/>
              </w:rPr>
            </w:pPr>
            <w:r w:rsidRPr="00EF0D49">
              <w:rPr>
                <w:rFonts w:ascii="Times New Roman" w:eastAsia="宋体"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宋体" w:hAnsi="Times New Roman" w:cs="Times New Roman"/>
                <w:color w:val="000000"/>
                <w:sz w:val="20"/>
                <w:szCs w:val="20"/>
                <w:lang w:val="en-GB"/>
              </w:rPr>
            </w:pPr>
            <w:r w:rsidRPr="00EF0D49">
              <w:rPr>
                <w:rFonts w:ascii="Times New Roman" w:eastAsia="宋体" w:hAnsi="Times New Roman" w:cs="Times New Roman"/>
                <w:i/>
                <w:iCs/>
                <w:color w:val="000000"/>
                <w:sz w:val="20"/>
                <w:szCs w:val="20"/>
                <w:lang w:val="en-GB"/>
              </w:rPr>
              <w:t>‘peiSearchSpace’</w:t>
            </w:r>
            <w:r w:rsidRPr="00EF0D49">
              <w:rPr>
                <w:rFonts w:ascii="Times New Roman" w:eastAsia="宋体" w:hAnsi="Times New Roman" w:cs="Times New Roman"/>
                <w:color w:val="000000"/>
                <w:sz w:val="20"/>
                <w:szCs w:val="20"/>
                <w:lang w:val="en-GB"/>
              </w:rPr>
              <w:t> can be configured to one of up to 4 common SS sets configured by commonSearchSpaceList with </w:t>
            </w:r>
            <w:r w:rsidRPr="00EF0D49">
              <w:rPr>
                <w:rFonts w:ascii="Times New Roman" w:eastAsia="宋体" w:hAnsi="Times New Roman" w:cs="Times New Roman"/>
                <w:i/>
                <w:iCs/>
                <w:color w:val="000000"/>
                <w:sz w:val="20"/>
                <w:szCs w:val="20"/>
                <w:lang w:val="en-GB"/>
              </w:rPr>
              <w:t>SearchSpaceId </w:t>
            </w:r>
            <w:r w:rsidRPr="00EF0D49">
              <w:rPr>
                <w:rFonts w:ascii="Times New Roman" w:eastAsia="宋体"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r w:rsidRPr="00A649B0">
              <w:rPr>
                <w:rFonts w:eastAsia="Microsoft YaHei UI"/>
                <w:i/>
                <w:iCs/>
                <w:color w:val="000000"/>
              </w:rPr>
              <w:t>SearchSpaceId = 0</w:t>
            </w:r>
            <w:r w:rsidRPr="00A649B0">
              <w:rPr>
                <w:rFonts w:eastAsia="Microsoft YaHei UI"/>
                <w:color w:val="000000"/>
              </w:rPr>
              <w:t> can be configured for</w:t>
            </w:r>
            <w:r w:rsidRPr="00A649B0">
              <w:rPr>
                <w:rFonts w:eastAsia="Microsoft YaHei UI"/>
                <w:i/>
                <w:iCs/>
                <w:color w:val="000000"/>
              </w:rPr>
              <w:t>peiSearchSpace</w:t>
            </w:r>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Companies’ views on whether peiSearchSpace is a SearchSpace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r w:rsidRPr="00CA6B59">
              <w:rPr>
                <w:bCs/>
                <w:i/>
                <w:iCs/>
              </w:rPr>
              <w:t>ssb-PositionsInBurst</w:t>
            </w:r>
            <w:r w:rsidRPr="00CA6B59">
              <w:rPr>
                <w:bCs/>
              </w:rPr>
              <w:t xml:space="preserve"> in</w:t>
            </w:r>
            <w:r w:rsidRPr="00CA6B59">
              <w:rPr>
                <w:bCs/>
                <w:i/>
                <w:iCs/>
              </w:rPr>
              <w:t xml:space="preserve"> SIB1</w:t>
            </w:r>
            <w:r w:rsidRPr="00CA6B59">
              <w:rPr>
                <w:bCs/>
              </w:rPr>
              <w:t xml:space="preserve"> and X is the </w:t>
            </w:r>
            <w:r w:rsidRPr="00CA6B59">
              <w:rPr>
                <w:bCs/>
                <w:i/>
                <w:iCs/>
              </w:rPr>
              <w:t>nrofPDCCH-MonitoringOccasionPerSSB-</w:t>
            </w:r>
            <w:r w:rsidRPr="00CA6B59">
              <w:rPr>
                <w:bCs/>
                <w:i/>
                <w:iCs/>
                <w:color w:val="FF0000"/>
              </w:rPr>
              <w:t>InPO</w:t>
            </w:r>
            <w:r w:rsidRPr="00CA6B59">
              <w:rPr>
                <w:bCs/>
                <w:lang w:eastAsia="ko-KR"/>
              </w:rPr>
              <w:t xml:space="preserve"> if configured or is equal to 1 otherwise. The</w:t>
            </w:r>
            <w:r w:rsidRPr="00CA6B59">
              <w:rPr>
                <w:bCs/>
              </w:rPr>
              <w:t xml:space="preserve"> [x*S+K]</w:t>
            </w:r>
            <w:r w:rsidRPr="00CA6B59">
              <w:rPr>
                <w:bCs/>
                <w:vertAlign w:val="superscript"/>
              </w:rPr>
              <w:t>th</w:t>
            </w:r>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x=0,1,…,X-1,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等线"/>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宋体"/>
                <w:i/>
                <w:iCs/>
                <w:color w:val="000000"/>
                <w:sz w:val="20"/>
                <w:szCs w:val="20"/>
              </w:rPr>
              <w:t>‘peiSearchSpace’</w:t>
            </w:r>
            <w:r w:rsidR="00790E9C" w:rsidRPr="00EF0D49">
              <w:rPr>
                <w:rFonts w:eastAsia="宋体"/>
                <w:color w:val="000000"/>
                <w:sz w:val="20"/>
                <w:szCs w:val="20"/>
              </w:rPr>
              <w:t> can be configured to one of up to 4 common SS sets configured by commonSearchSpaceList with </w:t>
            </w:r>
            <w:r w:rsidR="00790E9C" w:rsidRPr="00EF0D49">
              <w:rPr>
                <w:rFonts w:eastAsia="宋体"/>
                <w:i/>
                <w:iCs/>
                <w:color w:val="000000"/>
                <w:sz w:val="20"/>
                <w:szCs w:val="20"/>
              </w:rPr>
              <w:t>SearchSpaceId </w:t>
            </w:r>
            <w:r w:rsidR="00790E9C" w:rsidRPr="00EF0D49">
              <w:rPr>
                <w:rFonts w:eastAsia="宋体"/>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040A0E4F" w:rsidR="00EF0D49" w:rsidRPr="00EF0D49" w:rsidRDefault="001E271E" w:rsidP="00EF0D49">
            <w:pPr>
              <w:jc w:val="center"/>
              <w:rPr>
                <w:rFonts w:eastAsia="Times New Roman"/>
                <w:sz w:val="20"/>
                <w:szCs w:val="20"/>
                <w:lang w:eastAsia="en-GB"/>
              </w:rPr>
            </w:pPr>
            <w:r>
              <w:rPr>
                <w:rFonts w:eastAsia="Times New Roman" w:hint="eastAsia"/>
                <w:sz w:val="20"/>
                <w:szCs w:val="20"/>
                <w:lang w:eastAsia="en-GB"/>
              </w:rPr>
              <w:t>H</w:t>
            </w:r>
            <w:r>
              <w:rPr>
                <w:rFonts w:eastAsia="Times New Roman"/>
                <w:sz w:val="20"/>
                <w:szCs w:val="20"/>
                <w:lang w:eastAsia="en-GB"/>
              </w:rPr>
              <w:t>uawei, HiSilicon</w:t>
            </w:r>
          </w:p>
        </w:tc>
        <w:tc>
          <w:tcPr>
            <w:tcW w:w="8902" w:type="dxa"/>
          </w:tcPr>
          <w:p w14:paraId="42EFE893" w14:textId="39D74F7E" w:rsidR="00EF0D49" w:rsidRPr="00EF0D49" w:rsidRDefault="001E271E" w:rsidP="001E271E">
            <w:pPr>
              <w:rPr>
                <w:rFonts w:eastAsia="Times New Roman"/>
                <w:sz w:val="20"/>
                <w:szCs w:val="20"/>
                <w:lang w:eastAsia="en-GB"/>
              </w:rPr>
            </w:pPr>
            <w:r>
              <w:rPr>
                <w:rFonts w:eastAsia="Times New Roman"/>
                <w:sz w:val="20"/>
                <w:szCs w:val="20"/>
                <w:lang w:eastAsia="en-GB"/>
              </w:rPr>
              <w:t xml:space="preserve">According to the first agreement made in </w:t>
            </w:r>
            <w:r w:rsidRPr="001E271E">
              <w:rPr>
                <w:rFonts w:eastAsia="Times New Roman"/>
                <w:sz w:val="20"/>
                <w:szCs w:val="20"/>
                <w:lang w:eastAsia="en-GB"/>
              </w:rPr>
              <w:t>RAN1 #106-bis</w:t>
            </w:r>
            <w:r>
              <w:rPr>
                <w:rFonts w:eastAsia="Times New Roman"/>
                <w:sz w:val="20"/>
                <w:szCs w:val="20"/>
                <w:lang w:eastAsia="en-GB"/>
              </w:rPr>
              <w:t xml:space="preserve">, our understanding is </w:t>
            </w:r>
            <w:r w:rsidRPr="00EF0D49">
              <w:rPr>
                <w:rFonts w:eastAsia="宋体"/>
                <w:color w:val="000000"/>
                <w:sz w:val="20"/>
                <w:szCs w:val="20"/>
                <w:lang w:eastAsia="en-GB"/>
              </w:rPr>
              <w:t xml:space="preserve">a dedicated search space (‘peiSearchSpace’) </w:t>
            </w:r>
            <w:r>
              <w:rPr>
                <w:rFonts w:eastAsia="宋体"/>
                <w:color w:val="000000"/>
                <w:sz w:val="20"/>
                <w:szCs w:val="20"/>
                <w:lang w:eastAsia="en-GB"/>
              </w:rPr>
              <w:t xml:space="preserve">configuration </w:t>
            </w:r>
            <w:r w:rsidRPr="00EF0D49">
              <w:rPr>
                <w:rFonts w:eastAsia="宋体"/>
                <w:color w:val="000000"/>
                <w:sz w:val="20"/>
                <w:szCs w:val="20"/>
                <w:lang w:eastAsia="en-GB"/>
              </w:rPr>
              <w:t>for PEI</w:t>
            </w:r>
            <w:r>
              <w:rPr>
                <w:rFonts w:eastAsia="宋体"/>
                <w:color w:val="000000"/>
                <w:sz w:val="20"/>
                <w:szCs w:val="20"/>
                <w:lang w:eastAsia="en-GB"/>
              </w:rPr>
              <w:t xml:space="preserve"> is supported. If RAN2 or the group prefer to use ID to cite to a CSS, a way can be to increase one more CSS supported in the </w:t>
            </w:r>
            <w:r w:rsidRPr="001E271E">
              <w:rPr>
                <w:i/>
              </w:rPr>
              <w:t>commonSearchSpaceList</w:t>
            </w:r>
            <w:r>
              <w:t>.</w:t>
            </w:r>
          </w:p>
        </w:tc>
      </w:tr>
      <w:tr w:rsidR="00EF0D49" w:rsidRPr="00EF0D49" w14:paraId="3933382C" w14:textId="77777777" w:rsidTr="00A15472">
        <w:tc>
          <w:tcPr>
            <w:tcW w:w="1555" w:type="dxa"/>
          </w:tcPr>
          <w:p w14:paraId="67D2EC72" w14:textId="77777777" w:rsidR="00EF0D49" w:rsidRPr="00EF0D49" w:rsidRDefault="00EF0D49" w:rsidP="00EF0D49">
            <w:pPr>
              <w:jc w:val="center"/>
              <w:rPr>
                <w:rFonts w:eastAsia="Times New Roman"/>
                <w:sz w:val="20"/>
                <w:szCs w:val="20"/>
                <w:lang w:eastAsia="en-GB"/>
              </w:rPr>
            </w:pPr>
          </w:p>
        </w:tc>
        <w:tc>
          <w:tcPr>
            <w:tcW w:w="8902" w:type="dxa"/>
          </w:tcPr>
          <w:p w14:paraId="21C5B811" w14:textId="77777777" w:rsidR="00EF0D49" w:rsidRPr="00EF0D49" w:rsidRDefault="00EF0D49" w:rsidP="00EF0D49">
            <w:pPr>
              <w:rPr>
                <w:rFonts w:eastAsia="Times New Roman"/>
                <w:sz w:val="20"/>
                <w:szCs w:val="20"/>
                <w:lang w:eastAsia="en-GB"/>
              </w:rPr>
            </w:pP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bookmarkStart w:id="3" w:name="_GoBack"/>
            <w:bookmarkEnd w:id="3"/>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宋体"/>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1E271E"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4"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4"/>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宋体"/>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5"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5"/>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78"/>
      <w:r w:rsidRPr="00EF0D49">
        <w:rPr>
          <w:szCs w:val="20"/>
        </w:rPr>
        <w:t>R2-2203058</w:t>
      </w:r>
      <w:r>
        <w:rPr>
          <w:szCs w:val="20"/>
        </w:rPr>
        <w:t>, “</w:t>
      </w:r>
      <w:r w:rsidRPr="00EF0D49">
        <w:rPr>
          <w:szCs w:val="20"/>
        </w:rPr>
        <w:t>38331_CR2924_(Rel17) Introduction of ePowSav in TS 38.331</w:t>
      </w:r>
      <w:r>
        <w:rPr>
          <w:szCs w:val="20"/>
        </w:rPr>
        <w:t>”, RAN2#117-e</w:t>
      </w:r>
      <w:bookmarkEnd w:id="6"/>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7"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7"/>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85EC" w14:textId="77777777" w:rsidR="00266D64" w:rsidRDefault="00266D64"/>
  </w:endnote>
  <w:endnote w:type="continuationSeparator" w:id="0">
    <w:p w14:paraId="503A8164" w14:textId="77777777" w:rsidR="00266D64" w:rsidRDefault="00266D64">
      <w:r>
        <w:continuationSeparator/>
      </w:r>
    </w:p>
  </w:endnote>
  <w:endnote w:type="continuationNotice" w:id="1">
    <w:p w14:paraId="023A8027" w14:textId="77777777" w:rsidR="00266D64" w:rsidRDefault="00266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8F67" w14:textId="77777777" w:rsidR="00266D64" w:rsidRDefault="00266D64"/>
  </w:footnote>
  <w:footnote w:type="continuationSeparator" w:id="0">
    <w:p w14:paraId="775A7329" w14:textId="77777777" w:rsidR="00266D64" w:rsidRDefault="00266D64">
      <w:r>
        <w:continuationSeparator/>
      </w:r>
    </w:p>
  </w:footnote>
  <w:footnote w:type="continuationNotice" w:id="1">
    <w:p w14:paraId="1234CF6B" w14:textId="77777777" w:rsidR="00266D64" w:rsidRDefault="00266D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61191"/>
    <w:rsid w:val="00182C59"/>
    <w:rsid w:val="001C16F4"/>
    <w:rsid w:val="001E00A7"/>
    <w:rsid w:val="001E271E"/>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F5C21"/>
    <w:rsid w:val="00517CB7"/>
    <w:rsid w:val="00523B34"/>
    <w:rsid w:val="00532BB7"/>
    <w:rsid w:val="00542109"/>
    <w:rsid w:val="00561675"/>
    <w:rsid w:val="005A1E3D"/>
    <w:rsid w:val="006221D1"/>
    <w:rsid w:val="00622281"/>
    <w:rsid w:val="00632DEB"/>
    <w:rsid w:val="00650BBA"/>
    <w:rsid w:val="00651222"/>
    <w:rsid w:val="0067735C"/>
    <w:rsid w:val="0069664B"/>
    <w:rsid w:val="006E4DB0"/>
    <w:rsid w:val="0072191E"/>
    <w:rsid w:val="007238A8"/>
    <w:rsid w:val="0073210C"/>
    <w:rsid w:val="00734FED"/>
    <w:rsid w:val="00753AD5"/>
    <w:rsid w:val="00767AB1"/>
    <w:rsid w:val="007852D8"/>
    <w:rsid w:val="00790E9C"/>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61BC"/>
    <w:rsid w:val="00CE0CEE"/>
    <w:rsid w:val="00D0282C"/>
    <w:rsid w:val="00D4384B"/>
    <w:rsid w:val="00DA4E57"/>
    <w:rsid w:val="00DB7729"/>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customStyle="1" w:styleId="UnresolvedMention">
    <w:name w:val="Unresolved Mention"/>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D3C55-B078-40DC-B3F4-E39EF797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Xiaolei TIE 220214</cp:lastModifiedBy>
  <cp:revision>2</cp:revision>
  <dcterms:created xsi:type="dcterms:W3CDTF">2022-02-22T12:39:00Z</dcterms:created>
  <dcterms:modified xsi:type="dcterms:W3CDTF">2022-02-22T12:39:00Z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1645518009</vt:lpwstr>
  </property>
</Properties>
</file>