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r>
              <w:rPr>
                <w:rFonts w:eastAsia="SimSun" w:hint="eastAsia"/>
                <w:lang w:val="en-US" w:eastAsia="zh-CN"/>
              </w:rPr>
              <w:t>Youjun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w:t>
            </w:r>
            <w:proofErr w:type="gramStart"/>
            <w:r>
              <w:rPr>
                <w:rFonts w:ascii="Times" w:eastAsiaTheme="minorEastAsia" w:hAnsi="Times"/>
                <w:sz w:val="21"/>
                <w:szCs w:val="21"/>
                <w:lang w:val="en-US" w:eastAsia="zh-CN"/>
              </w:rPr>
              <w:t>is  mandated</w:t>
            </w:r>
            <w:proofErr w:type="gramEnd"/>
            <w:r>
              <w:rPr>
                <w:rFonts w:ascii="Times" w:eastAsiaTheme="minorEastAsia" w:hAnsi="Times"/>
                <w:sz w:val="21"/>
                <w:szCs w:val="21"/>
                <w:lang w:val="en-US" w:eastAsia="zh-CN"/>
              </w:rPr>
              <w:t xml:space="preserve">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 xml:space="preserve">Based on above </w:t>
            </w:r>
            <w:proofErr w:type="gramStart"/>
            <w:r>
              <w:rPr>
                <w:rFonts w:eastAsia="SimSun" w:hint="eastAsia"/>
                <w:lang w:val="en-US" w:eastAsia="zh-CN"/>
              </w:rPr>
              <w:t>( similar</w:t>
            </w:r>
            <w:proofErr w:type="gramEnd"/>
            <w:r>
              <w:rPr>
                <w:rFonts w:eastAsia="SimSun" w:hint="eastAsia"/>
                <w:lang w:val="en-US" w:eastAsia="zh-CN"/>
              </w:rPr>
              <w:t xml:space="preserve">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lastRenderedPageBreak/>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lastRenderedPageBreak/>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58.45pt" o:ole="">
                  <v:imagedata r:id="rId21" o:title=""/>
                </v:shape>
                <o:OLEObject Type="Embed" ProgID="Visio.Drawing.15" ShapeID="_x0000_i1025" DrawAspect="Content" ObjectID="_1707210434"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 xml:space="preserve">Thanks for constructive discussion. We now understand the issue is </w:t>
            </w:r>
            <w:r>
              <w:rPr>
                <w:rFonts w:eastAsia="Malgun Gothic"/>
                <w:lang w:val="en-US" w:eastAsia="ko-KR"/>
              </w:rPr>
              <w:t xml:space="preserve">when </w:t>
            </w:r>
            <w:r>
              <w:rPr>
                <w:rFonts w:eastAsia="Malgun Gothic"/>
                <w:lang w:val="en-US" w:eastAsia="ko-KR"/>
              </w:rPr>
              <w:t>the CORESET#0 BWP and separate initial DL BWP overlap and the overlap includes the CD-SSB. The statement in the current standard states the CD-SSB is not present. Can th</w:t>
            </w:r>
            <w:r>
              <w:rPr>
                <w:rFonts w:eastAsia="Malgun Gothic"/>
                <w:lang w:val="en-US" w:eastAsia="ko-KR"/>
              </w:rPr>
              <w:t>e TP below</w:t>
            </w:r>
            <w:r>
              <w:rPr>
                <w:rFonts w:eastAsia="Malgun Gothic"/>
                <w:lang w:val="en-US" w:eastAsia="ko-KR"/>
              </w:rPr>
              <w:t xml:space="preserve">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bl>
    <w:p w14:paraId="376335EB" w14:textId="77777777" w:rsidR="008A72DB" w:rsidRDefault="008A72DB">
      <w:pPr>
        <w:tabs>
          <w:tab w:val="left" w:pos="772"/>
        </w:tabs>
        <w:spacing w:after="100" w:afterAutospacing="1"/>
        <w:rPr>
          <w:rStyle w:val="ListLabel115"/>
          <w:lang w:val="en-US"/>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lastRenderedPageBreak/>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lastRenderedPageBreak/>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lastRenderedPageBreak/>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w:t>
            </w:r>
            <w:r>
              <w:rPr>
                <w:rFonts w:eastAsia="Yu Mincho"/>
                <w:lang w:val="en-US" w:eastAsia="ja-JP"/>
              </w:rPr>
              <w:lastRenderedPageBreak/>
              <w:t xml:space="preserve">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lastRenderedPageBreak/>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w:t>
            </w:r>
            <w:r>
              <w:rPr>
                <w:lang w:val="en-US" w:eastAsia="ko-KR"/>
              </w:rPr>
              <w:lastRenderedPageBreak/>
              <w:t xml:space="preserve">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lastRenderedPageBreak/>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lastRenderedPageBreak/>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lastRenderedPageBreak/>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lastRenderedPageBreak/>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lastRenderedPageBreak/>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 xml:space="preserve">We share similar view with CATT. For connected mode, paging reception is similar as normal PDCCH/PDSCH reception, so when UE supporting FG 6-1a, it will not expect NCD-SSB regardless paging is configured or </w:t>
            </w:r>
            <w:proofErr w:type="gramStart"/>
            <w:r>
              <w:rPr>
                <w:rFonts w:ascii="Times" w:eastAsiaTheme="minorEastAsia" w:hAnsi="Times"/>
                <w:sz w:val="21"/>
                <w:szCs w:val="21"/>
                <w:lang w:val="en-US" w:eastAsia="zh-CN"/>
              </w:rPr>
              <w:t>not..</w:t>
            </w:r>
            <w:proofErr w:type="gramEnd"/>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For the interpretation (2) from CATT, it is same understanding with Samsung, which is </w:t>
            </w:r>
            <w:proofErr w:type="gramStart"/>
            <w:r>
              <w:rPr>
                <w:rFonts w:ascii="Times" w:eastAsiaTheme="minorEastAsia" w:hAnsi="Times" w:hint="eastAsia"/>
                <w:sz w:val="21"/>
                <w:szCs w:val="21"/>
                <w:lang w:val="en-US" w:eastAsia="zh-CN"/>
              </w:rPr>
              <w:t>actually based</w:t>
            </w:r>
            <w:proofErr w:type="gramEnd"/>
            <w:r>
              <w:rPr>
                <w:rFonts w:ascii="Times" w:eastAsiaTheme="minorEastAsia" w:hAnsi="Times" w:hint="eastAsia"/>
                <w:sz w:val="21"/>
                <w:szCs w:val="21"/>
                <w:lang w:val="en-US" w:eastAsia="zh-CN"/>
              </w:rPr>
              <w:t xml:space="preserve">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lastRenderedPageBreak/>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xml:space="preserve">, </w:t>
            </w:r>
            <w:proofErr w:type="spellStart"/>
            <w:r>
              <w:rPr>
                <w:rFonts w:eastAsia="MS Mincho"/>
                <w:sz w:val="21"/>
                <w:szCs w:val="21"/>
                <w:lang w:eastAsia="en-GB"/>
              </w:rPr>
              <w:t>ssb-PositionsInBurst</w:t>
            </w:r>
            <w:proofErr w:type="spellEnd"/>
            <w:r>
              <w:rPr>
                <w:rFonts w:eastAsia="MS Mincho"/>
                <w:sz w:val="21"/>
                <w:szCs w:val="21"/>
                <w:lang w:eastAsia="en-GB"/>
              </w:rPr>
              <w:t xml:space="preserve">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lastRenderedPageBreak/>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Huawei, HiSilicon</w:t>
            </w:r>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lastRenderedPageBreak/>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lastRenderedPageBreak/>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eastAsia="en-GB"/>
              </w:rPr>
            </w:pPr>
            <w:r>
              <w:rPr>
                <w:rFonts w:ascii="Arial" w:hAnsi="Arial" w:cs="Arial"/>
                <w:i/>
                <w:lang w:eastAsia="en-GB"/>
              </w:rPr>
              <w:t>A RedCap UE that supports FG 6-1a but NOT support CSI-RS based L3 measurement operates in the BWP</w:t>
            </w:r>
          </w:p>
          <w:p w14:paraId="70BDD6E2"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 xml:space="preserve">the UE can support RLM, BFD, CBD and L1 RSRP measurement based on CSI-RS </w:t>
            </w:r>
            <w:r>
              <w:rPr>
                <w:rFonts w:ascii="Arial" w:eastAsiaTheme="minorEastAsia" w:hAnsi="Arial" w:cs="Arial" w:hint="eastAsia"/>
                <w:i/>
                <w:lang w:eastAsia="zh-CN"/>
              </w:rPr>
              <w:t xml:space="preserve">if UE reports the corresponding </w:t>
            </w:r>
            <w:r>
              <w:rPr>
                <w:rFonts w:ascii="Arial" w:eastAsiaTheme="minorEastAsia" w:hAnsi="Arial" w:cs="Arial"/>
                <w:i/>
                <w:lang w:eastAsia="zh-CN"/>
              </w:rPr>
              <w:t>capabilities</w:t>
            </w:r>
            <w:r>
              <w:rPr>
                <w:rFonts w:ascii="Arial" w:eastAsiaTheme="minorEastAsia" w:hAnsi="Arial" w:cs="Arial" w:hint="eastAsia"/>
                <w:i/>
                <w:lang w:eastAsia="zh-CN"/>
              </w:rPr>
              <w:t>.</w:t>
            </w:r>
          </w:p>
          <w:p w14:paraId="3DE9890C"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the UE can support SSB based L3 measurement, but cannot support CSI-RS based L3 measurement.</w:t>
            </w:r>
          </w:p>
          <w:p w14:paraId="433B6F65" w14:textId="77777777" w:rsidR="008A72DB" w:rsidRDefault="008A72DB">
            <w:pPr>
              <w:rPr>
                <w:rFonts w:eastAsiaTheme="minorEastAsia"/>
                <w:lang w:val="sv-SE"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lastRenderedPageBreak/>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lastRenderedPageBreak/>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lastRenderedPageBreak/>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A72DB" w14:paraId="05CA783E" w14:textId="77777777">
        <w:tc>
          <w:tcPr>
            <w:tcW w:w="1372" w:type="dxa"/>
          </w:tcPr>
          <w:p w14:paraId="6B447305" w14:textId="77777777" w:rsidR="008A72DB" w:rsidRDefault="008A72DB">
            <w:pPr>
              <w:rPr>
                <w:rFonts w:eastAsiaTheme="minorEastAsia"/>
                <w:lang w:val="en-US" w:eastAsia="zh-CN"/>
              </w:rPr>
            </w:pPr>
          </w:p>
        </w:tc>
        <w:tc>
          <w:tcPr>
            <w:tcW w:w="8262" w:type="dxa"/>
            <w:gridSpan w:val="2"/>
          </w:tcPr>
          <w:p w14:paraId="3BFD76FC" w14:textId="77777777" w:rsidR="008A72DB" w:rsidRDefault="008A72DB">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lastRenderedPageBreak/>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w:t>
            </w:r>
            <w:r>
              <w:rPr>
                <w:lang w:val="en-US" w:eastAsia="ko-KR"/>
              </w:rPr>
              <w:lastRenderedPageBreak/>
              <w:t xml:space="preserve">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lastRenderedPageBreak/>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1F3D9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1F3D9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lastRenderedPageBreak/>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w:t>
            </w:r>
            <w:r>
              <w:rPr>
                <w:rFonts w:eastAsiaTheme="minorEastAsia"/>
                <w:lang w:val="en-US" w:eastAsia="zh-CN"/>
              </w:rPr>
              <w:lastRenderedPageBreak/>
              <w:t xml:space="preserve">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902F396"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8.15pt;height:150.1pt" o:ole="">
                  <v:imagedata r:id="rId31" o:title=""/>
                  <o:lock v:ext="edit" aspectratio="f"/>
                </v:shape>
                <o:OLEObject Type="Embed" ProgID="Visio.Drawing.15" ShapeID="_x0000_i1026" DrawAspect="Content" ObjectID="_1707210435"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hint="eastAsia"/>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hint="eastAsia"/>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lastRenderedPageBreak/>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lastRenderedPageBreak/>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1F3D99">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1F3D99">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1F3D99">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1F3D99">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1F3D99">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1F3D99">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1F3D99">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1F3D99">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1F3D99">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1F3D99">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1F3D99">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1F3D99">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1F3D99">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proofErr w:type="spellStart"/>
            <w:r>
              <w:rPr>
                <w:lang w:val="en-US" w:eastAsia="sv-SE"/>
              </w:rPr>
              <w:t>Spreadtrum</w:t>
            </w:r>
            <w:proofErr w:type="spellEnd"/>
            <w:r>
              <w:rPr>
                <w:lang w:val="en-US" w:eastAsia="sv-SE"/>
              </w:rPr>
              <w:t xml:space="preserve">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1F3D99">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1F3D99">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1F3D99">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1F3D99">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1F3D99">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1F3D99">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1F3D99">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1F3D99">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1F3D99">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lastRenderedPageBreak/>
              <w:t>[23]</w:t>
            </w:r>
          </w:p>
        </w:tc>
        <w:tc>
          <w:tcPr>
            <w:tcW w:w="1456" w:type="dxa"/>
            <w:tcMar>
              <w:top w:w="0" w:type="dxa"/>
              <w:left w:w="70" w:type="dxa"/>
              <w:bottom w:w="0" w:type="dxa"/>
              <w:right w:w="70" w:type="dxa"/>
            </w:tcMar>
          </w:tcPr>
          <w:p w14:paraId="2A7188FF" w14:textId="77777777" w:rsidR="008A72DB" w:rsidRDefault="001F3D99">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1F3D99">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1F3D99">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1F3D99">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1F3D99">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1F3D99">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1F3D99">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1F3D99">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1F3D99">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1F3D99">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1F3D99">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1F3D99">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1F3D99">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1F3D99">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1F3D99">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1F3D99">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1F3D99">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1F3D99">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1F3D99">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 xml:space="preserve">RAN4, </w:t>
            </w:r>
            <w:proofErr w:type="gramStart"/>
            <w:r>
              <w:rPr>
                <w:lang w:val="en-US" w:eastAsia="zh-CN"/>
              </w:rPr>
              <w:t>Vivo</w:t>
            </w:r>
            <w:proofErr w:type="gramEnd"/>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1F3D99">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1F3D99">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A2B7" w14:textId="77777777" w:rsidR="001F3D99" w:rsidRDefault="001F3D99" w:rsidP="00374BCB">
      <w:pPr>
        <w:spacing w:after="0" w:line="240" w:lineRule="auto"/>
      </w:pPr>
      <w:r>
        <w:separator/>
      </w:r>
    </w:p>
  </w:endnote>
  <w:endnote w:type="continuationSeparator" w:id="0">
    <w:p w14:paraId="49AB01DF" w14:textId="77777777" w:rsidR="001F3D99" w:rsidRDefault="001F3D99"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5D3C" w14:textId="77777777" w:rsidR="001F3D99" w:rsidRDefault="001F3D99" w:rsidP="00374BCB">
      <w:pPr>
        <w:spacing w:after="0" w:line="240" w:lineRule="auto"/>
      </w:pPr>
      <w:r>
        <w:separator/>
      </w:r>
    </w:p>
  </w:footnote>
  <w:footnote w:type="continuationSeparator" w:id="0">
    <w:p w14:paraId="70BB2D2B" w14:textId="77777777" w:rsidR="001F3D99" w:rsidRDefault="001F3D99"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2"/>
  </w:num>
  <w:num w:numId="9">
    <w:abstractNumId w:val="28"/>
  </w:num>
  <w:num w:numId="10">
    <w:abstractNumId w:val="19"/>
  </w:num>
  <w:num w:numId="11">
    <w:abstractNumId w:val="13"/>
  </w:num>
  <w:num w:numId="12">
    <w:abstractNumId w:val="37"/>
  </w:num>
  <w:num w:numId="13">
    <w:abstractNumId w:val="9"/>
  </w:num>
  <w:num w:numId="14">
    <w:abstractNumId w:val="26"/>
  </w:num>
  <w:num w:numId="15">
    <w:abstractNumId w:val="27"/>
  </w:num>
  <w:num w:numId="16">
    <w:abstractNumId w:val="39"/>
  </w:num>
  <w:num w:numId="17">
    <w:abstractNumId w:val="15"/>
  </w:num>
  <w:num w:numId="18">
    <w:abstractNumId w:val="46"/>
  </w:num>
  <w:num w:numId="19">
    <w:abstractNumId w:val="22"/>
  </w:num>
  <w:num w:numId="20">
    <w:abstractNumId w:val="10"/>
  </w:num>
  <w:num w:numId="21">
    <w:abstractNumId w:val="41"/>
  </w:num>
  <w:num w:numId="22">
    <w:abstractNumId w:val="43"/>
  </w:num>
  <w:num w:numId="23">
    <w:abstractNumId w:val="11"/>
  </w:num>
  <w:num w:numId="24">
    <w:abstractNumId w:val="31"/>
  </w:num>
  <w:num w:numId="25">
    <w:abstractNumId w:val="40"/>
  </w:num>
  <w:num w:numId="26">
    <w:abstractNumId w:val="3"/>
  </w:num>
  <w:num w:numId="27">
    <w:abstractNumId w:val="30"/>
  </w:num>
  <w:num w:numId="28">
    <w:abstractNumId w:val="36"/>
  </w:num>
  <w:num w:numId="29">
    <w:abstractNumId w:val="4"/>
  </w:num>
  <w:num w:numId="30">
    <w:abstractNumId w:val="8"/>
  </w:num>
  <w:num w:numId="31">
    <w:abstractNumId w:val="6"/>
  </w:num>
  <w:num w:numId="32">
    <w:abstractNumId w:val="18"/>
  </w:num>
  <w:num w:numId="33">
    <w:abstractNumId w:val="44"/>
  </w:num>
  <w:num w:numId="34">
    <w:abstractNumId w:val="29"/>
  </w:num>
  <w:num w:numId="35">
    <w:abstractNumId w:val="38"/>
  </w:num>
  <w:num w:numId="36">
    <w:abstractNumId w:val="7"/>
  </w:num>
  <w:num w:numId="37">
    <w:abstractNumId w:val="5"/>
  </w:num>
  <w:num w:numId="38">
    <w:abstractNumId w:val="23"/>
  </w:num>
  <w:num w:numId="39">
    <w:abstractNumId w:val="35"/>
  </w:num>
  <w:num w:numId="40">
    <w:abstractNumId w:val="17"/>
  </w:num>
  <w:num w:numId="41">
    <w:abstractNumId w:val="21"/>
  </w:num>
  <w:num w:numId="42">
    <w:abstractNumId w:val="33"/>
  </w:num>
  <w:num w:numId="43">
    <w:abstractNumId w:val="34"/>
  </w:num>
  <w:num w:numId="44">
    <w:abstractNumId w:val="45"/>
  </w:num>
  <w:num w:numId="45">
    <w:abstractNumId w:val="14"/>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3D99"/>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520"/>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E28E9"/>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29651</Words>
  <Characters>169011</Characters>
  <Application>Microsoft Office Word</Application>
  <DocSecurity>0</DocSecurity>
  <Lines>1408</Lines>
  <Paragraphs>396</Paragraphs>
  <ScaleCrop>false</ScaleCrop>
  <Company>Panasonic Corporation</Company>
  <LinksUpToDate>false</LinksUpToDate>
  <CharactersWithSpaces>198266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cp:lastModifiedBy>
  <cp:revision>3</cp:revision>
  <dcterms:created xsi:type="dcterms:W3CDTF">2022-02-24T18:14:00Z</dcterms:created>
  <dcterms:modified xsi:type="dcterms:W3CDTF">2022-02-24T18:21:00Z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