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lang w:eastAsia="en-US"/>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lastRenderedPageBreak/>
              <w:t>vivo2</w:t>
            </w:r>
          </w:p>
        </w:tc>
        <w:tc>
          <w:tcPr>
            <w:tcW w:w="7837" w:type="dxa"/>
          </w:tcPr>
          <w:p w14:paraId="64A5906D" w14:textId="77777777" w:rsidR="004340EF" w:rsidRDefault="004340EF" w:rsidP="004340EF">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76295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lastRenderedPageBreak/>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lastRenderedPageBreak/>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proofErr w:type="spellStart"/>
      <w:r>
        <w:t>Transsion</w:t>
      </w:r>
      <w:proofErr w:type="spellEnd"/>
      <w:r>
        <w:t>,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lastRenderedPageBreak/>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lastRenderedPageBreak/>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lastRenderedPageBreak/>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ListParagraph"/>
              <w:numPr>
                <w:ilvl w:val="0"/>
                <w:numId w:val="22"/>
              </w:numPr>
              <w:rPr>
                <w:rFonts w:eastAsia="SimSun"/>
              </w:rPr>
            </w:pPr>
            <w:r>
              <w:rPr>
                <w:rFonts w:eastAsia="SimSun"/>
              </w:rPr>
              <w:t xml:space="preserve">FFS: Further adjustment on ED threshold based on the sensing beam and the </w:t>
            </w:r>
            <w:r>
              <w:rPr>
                <w:rFonts w:eastAsia="SimSun"/>
              </w:rPr>
              <w:lastRenderedPageBreak/>
              <w:t>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lastRenderedPageBreak/>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762951">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w:t>
            </w:r>
            <w:r>
              <w:lastRenderedPageBreak/>
              <w:t xml:space="preserve">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lastRenderedPageBreak/>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lastRenderedPageBreak/>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ListParagraph"/>
              <w:numPr>
                <w:ilvl w:val="1"/>
                <w:numId w:val="24"/>
              </w:numPr>
            </w:pPr>
            <w:r>
              <w:lastRenderedPageBreak/>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lastRenderedPageBreak/>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w:t>
            </w:r>
            <w:r>
              <w:lastRenderedPageBreak/>
              <w:t>d for some UEs.</w:t>
            </w:r>
          </w:p>
        </w:tc>
      </w:tr>
      <w:tr w:rsidR="001E724F" w14:paraId="4D86719D" w14:textId="77777777">
        <w:trPr>
          <w:trHeight w:val="1152"/>
        </w:trPr>
        <w:tc>
          <w:tcPr>
            <w:tcW w:w="1908" w:type="dxa"/>
            <w:noWrap/>
          </w:tcPr>
          <w:p w14:paraId="4D86719B" w14:textId="77777777" w:rsidR="001E724F" w:rsidRDefault="00C3540E">
            <w:proofErr w:type="spellStart"/>
            <w:r>
              <w:lastRenderedPageBreak/>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w:t>
            </w:r>
            <w:r>
              <w:lastRenderedPageBreak/>
              <w:t>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lastRenderedPageBreak/>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xml:space="preserve">-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w:t>
            </w:r>
            <w:r>
              <w:lastRenderedPageBreak/>
              <w:t>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w:t>
            </w:r>
            <w:r>
              <w:lastRenderedPageBreak/>
              <w:t>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lastRenderedPageBreak/>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 xml:space="preserve">Proposal 3: For NR unlicensed bands between 52.6 GHz and 71 GHz with directional LBT based channel access mechanism, if a UE is going to transmit a set of consecutive PUSCH transmissions including both dynamically </w:t>
            </w:r>
            <w:r>
              <w:lastRenderedPageBreak/>
              <w:t>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lastRenderedPageBreak/>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LBT procedure has been dee</w:t>
            </w:r>
            <w:r w:rsidRPr="009141DB">
              <w:rPr>
                <w:i/>
                <w:iCs/>
              </w:rPr>
              <w:lastRenderedPageBreak/>
              <w:t xml:space="preserv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C73B07">
        <w:tc>
          <w:tcPr>
            <w:tcW w:w="1525" w:type="dxa"/>
          </w:tcPr>
          <w:p w14:paraId="7332F411" w14:textId="77777777" w:rsidR="0010364C" w:rsidRDefault="0010364C" w:rsidP="00C73B07">
            <w:r>
              <w:t>Company</w:t>
            </w:r>
          </w:p>
        </w:tc>
        <w:tc>
          <w:tcPr>
            <w:tcW w:w="7837" w:type="dxa"/>
          </w:tcPr>
          <w:p w14:paraId="04CA1316" w14:textId="77777777" w:rsidR="0010364C" w:rsidRDefault="0010364C" w:rsidP="00C73B07">
            <w:r>
              <w:t>View</w:t>
            </w:r>
          </w:p>
        </w:tc>
      </w:tr>
      <w:tr w:rsidR="0010364C" w14:paraId="17D3E3B1" w14:textId="77777777" w:rsidTr="00C73B07">
        <w:tc>
          <w:tcPr>
            <w:tcW w:w="1525" w:type="dxa"/>
          </w:tcPr>
          <w:p w14:paraId="6E1F6AC8" w14:textId="5689388F" w:rsidR="0010364C" w:rsidRDefault="000F6AD4" w:rsidP="00C73B07">
            <w:pPr>
              <w:rPr>
                <w:rFonts w:eastAsiaTheme="minorEastAsia"/>
              </w:rPr>
            </w:pPr>
            <w:r>
              <w:rPr>
                <w:rFonts w:eastAsiaTheme="minorEastAsia"/>
              </w:rPr>
              <w:t>Ericsson</w:t>
            </w:r>
          </w:p>
        </w:tc>
        <w:tc>
          <w:tcPr>
            <w:tcW w:w="7837" w:type="dxa"/>
          </w:tcPr>
          <w:p w14:paraId="46507637" w14:textId="021C67F9" w:rsidR="0010364C" w:rsidRDefault="000F6AD4" w:rsidP="00C73B07">
            <w:pPr>
              <w:rPr>
                <w:rFonts w:eastAsiaTheme="minorEastAsia"/>
              </w:rPr>
            </w:pPr>
            <w:r>
              <w:rPr>
                <w:rFonts w:eastAsiaTheme="minorEastAsia"/>
              </w:rPr>
              <w:t xml:space="preserve">We can support the proposal. </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lastRenderedPageBreak/>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t>InterDigital</w:t>
            </w:r>
            <w:proofErr w:type="spellEnd"/>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2B6" w14:textId="77777777" w:rsidR="001E724F" w:rsidRDefault="00C3540E">
            <w:pPr>
              <w:rPr>
                <w:rFonts w:eastAsiaTheme="minorEastAsia"/>
              </w:rPr>
            </w:pPr>
            <w:r>
              <w:rPr>
                <w:rFonts w:eastAsiaTheme="minorEastAsia"/>
              </w:rPr>
              <w:lastRenderedPageBreak/>
              <w:t>We think the discussion point is not necessary at this time. We think we should</w:t>
            </w:r>
            <w:r>
              <w:rPr>
                <w:rFonts w:eastAsiaTheme="minorEastAsia"/>
              </w:rPr>
              <w:lastRenderedPageBreak/>
              <w:t xml:space="preserve">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lastRenderedPageBreak/>
              <w:t xml:space="preserve">Huawei </w:t>
            </w:r>
            <w:proofErr w:type="spellStart"/>
            <w:r>
              <w:t>HiSilicon</w:t>
            </w:r>
            <w:proofErr w:type="spellEnd"/>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lastRenderedPageBreak/>
              <w:t>Ericsson</w:t>
            </w:r>
          </w:p>
        </w:tc>
        <w:tc>
          <w:tcPr>
            <w:tcW w:w="7454" w:type="dxa"/>
          </w:tcPr>
          <w:p w14:paraId="4D8672F3" w14:textId="77777777" w:rsidR="001E724F" w:rsidRDefault="00C3540E">
            <w:r>
              <w:t xml:space="preserve">Proposal </w:t>
            </w:r>
            <w:proofErr w:type="gramStart"/>
            <w:r>
              <w:t>2  RAN</w:t>
            </w:r>
            <w:proofErr w:type="gramEnd"/>
            <w:r>
              <w:t>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lastRenderedPageBreak/>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MediaTek,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4D86735E" w14:textId="77777777" w:rsidR="001E724F" w:rsidRDefault="00C3540E">
            <w:pPr>
              <w:rPr>
                <w:rFonts w:eastAsia="SimSun"/>
              </w:rPr>
            </w:pPr>
            <w:r>
              <w:rPr>
                <w:rFonts w:eastAsia="SimSun" w:hint="eastAsia"/>
              </w:rPr>
              <w:lastRenderedPageBreak/>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lastRenderedPageBreak/>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w:t>
            </w:r>
            <w:r>
              <w:rPr>
                <w:color w:val="FF0000"/>
              </w:rPr>
              <w:lastRenderedPageBreak/>
              <w:t>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w:t>
            </w:r>
            <w:r>
              <w:lastRenderedPageBreak/>
              <w:t xml:space="preserve">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lastRenderedPageBreak/>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as long as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again we are in principle OK with the proposal, but we agree with other companies that the language is still not accurate, and up to interpretation, and </w:t>
            </w:r>
            <w:r>
              <w:rPr>
                <w:rFonts w:eastAsiaTheme="minorEastAsia"/>
              </w:rPr>
              <w:lastRenderedPageBreak/>
              <w:t>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lastRenderedPageBreak/>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C73B07">
        <w:tc>
          <w:tcPr>
            <w:tcW w:w="1525" w:type="dxa"/>
          </w:tcPr>
          <w:p w14:paraId="050DE841" w14:textId="77777777" w:rsidR="003A61C8" w:rsidRDefault="003A61C8" w:rsidP="00C73B07">
            <w:r>
              <w:t>Company</w:t>
            </w:r>
          </w:p>
        </w:tc>
        <w:tc>
          <w:tcPr>
            <w:tcW w:w="7837" w:type="dxa"/>
          </w:tcPr>
          <w:p w14:paraId="0193C1DC" w14:textId="77777777" w:rsidR="003A61C8" w:rsidRDefault="003A61C8" w:rsidP="00C73B07">
            <w:r>
              <w:t>View</w:t>
            </w:r>
          </w:p>
        </w:tc>
      </w:tr>
      <w:tr w:rsidR="003A61C8" w14:paraId="390255CC" w14:textId="77777777" w:rsidTr="00C73B07">
        <w:tc>
          <w:tcPr>
            <w:tcW w:w="1525" w:type="dxa"/>
          </w:tcPr>
          <w:p w14:paraId="13CE4025" w14:textId="3FF5446D" w:rsidR="003A61C8" w:rsidRDefault="00112A04" w:rsidP="00C73B07">
            <w:pPr>
              <w:rPr>
                <w:rFonts w:eastAsiaTheme="minorEastAsia"/>
              </w:rPr>
            </w:pPr>
            <w:r>
              <w:rPr>
                <w:rFonts w:eastAsiaTheme="minorEastAsia"/>
              </w:rPr>
              <w:t>Ericsson</w:t>
            </w:r>
          </w:p>
        </w:tc>
        <w:tc>
          <w:tcPr>
            <w:tcW w:w="7837" w:type="dxa"/>
          </w:tcPr>
          <w:p w14:paraId="6A7F8446" w14:textId="2FCF7F6D" w:rsidR="003A61C8" w:rsidRDefault="00112A04" w:rsidP="00C73B07">
            <w:pPr>
              <w:rPr>
                <w:rFonts w:eastAsiaTheme="minorEastAsia"/>
              </w:rPr>
            </w:pPr>
            <w:r>
              <w:rPr>
                <w:rFonts w:eastAsiaTheme="minorEastAsia"/>
              </w:rPr>
              <w:t xml:space="preserve">We can support the proposal. </w:t>
            </w:r>
          </w:p>
        </w:tc>
      </w:tr>
    </w:tbl>
    <w:p w14:paraId="03DEFE01" w14:textId="77777777"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86740B" w14:textId="77777777" w:rsidR="001E724F" w:rsidRDefault="00C3540E">
            <w:pPr>
              <w:pStyle w:val="ListParagraph"/>
              <w:numPr>
                <w:ilvl w:val="2"/>
                <w:numId w:val="30"/>
              </w:numPr>
            </w:pPr>
            <w:r>
              <w:t xml:space="preserve">Alt-1B:  the sensing beam gain measured along the direction of peak transmission direction is at least X [FFS] dB of the transmission beam </w:t>
            </w:r>
            <w:r>
              <w:lastRenderedPageBreak/>
              <w:t>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 xml:space="preserve">Option 2: Beam correspondence at gNB side is assumed. Supporting one or more of the following </w:t>
            </w:r>
            <w:proofErr w:type="spellStart"/>
            <w:r>
              <w:t>behaviors</w:t>
            </w:r>
            <w:proofErr w:type="spellEnd"/>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lastRenderedPageBreak/>
              <w:t>FFS: What if beam correspondence is not supported at UE.</w:t>
            </w:r>
          </w:p>
          <w:p w14:paraId="4D86741D" w14:textId="77777777" w:rsidR="001E724F" w:rsidRDefault="00C3540E">
            <w:pPr>
              <w:pStyle w:val="ListParagraph"/>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lastRenderedPageBreak/>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lastRenderedPageBreak/>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 xml:space="preserve">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lastRenderedPageBreak/>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w:t>
            </w:r>
            <w:r>
              <w:rPr>
                <w:rFonts w:eastAsia="SimSun" w:hint="eastAsia"/>
              </w:rPr>
              <w:lastRenderedPageBreak/>
              <w:t>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lastRenderedPageBreak/>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lang w:eastAsia="en-US"/>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w:t>
            </w:r>
            <w:r>
              <w:lastRenderedPageBreak/>
              <w:t>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proofErr w:type="spellStart"/>
            <w:r w:rsidRPr="00D27132">
              <w:t>frequencyBandList</w:t>
            </w:r>
            <w:proofErr w:type="spellEnd"/>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EA77ED">
            <w:pPr>
              <w:rPr>
                <w:rFonts w:eastAsiaTheme="minorEastAsia" w:hint="eastAsia"/>
              </w:rPr>
            </w:pPr>
            <w:r>
              <w:rPr>
                <w:rFonts w:eastAsiaTheme="minorEastAsia"/>
              </w:rPr>
              <w:t>Ericsson 2</w:t>
            </w:r>
          </w:p>
        </w:tc>
        <w:tc>
          <w:tcPr>
            <w:tcW w:w="7837" w:type="dxa"/>
          </w:tcPr>
          <w:p w14:paraId="3A89B4C4" w14:textId="77777777" w:rsidR="003165FA" w:rsidRDefault="003165FA" w:rsidP="00EA77ED">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EA77ED">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266548A2" w14:textId="77777777" w:rsidR="003165FA" w:rsidRDefault="003165FA" w:rsidP="00EA77ED">
            <w:pPr>
              <w:rPr>
                <w:rFonts w:asciiTheme="minorHAnsi" w:hAnsiTheme="minorHAnsi" w:cstheme="minorBidi"/>
              </w:rPr>
            </w:pPr>
          </w:p>
          <w:p w14:paraId="16A0294C" w14:textId="77777777" w:rsidR="003165FA" w:rsidRDefault="003165FA" w:rsidP="00EA77ED">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EA77ED">
            <w:pPr>
              <w:pStyle w:val="discussionpoint"/>
              <w:rPr>
                <w:i/>
                <w:iCs/>
                <w:lang w:val="en-US"/>
              </w:rPr>
            </w:pPr>
            <w:r>
              <w:rPr>
                <w:rFonts w:asciiTheme="minorHAnsi" w:hAnsiTheme="minorHAnsi" w:cstheme="minorBidi"/>
                <w:lang w:val="en-US"/>
              </w:rPr>
              <w:t xml:space="preserve"> </w:t>
            </w:r>
            <w:r>
              <w:rPr>
                <w:rFonts w:hint="eastAsia"/>
                <w:i/>
                <w:iCs/>
                <w:lang w:val="en-US"/>
              </w:rPr>
              <w:t>Proposal 2.6-1a1 (modified by Ericsson)</w:t>
            </w:r>
          </w:p>
          <w:p w14:paraId="2327FCA9" w14:textId="77777777" w:rsidR="003165FA" w:rsidRDefault="003165FA" w:rsidP="00EA77ED">
            <w:pPr>
              <w:rPr>
                <w:rFonts w:ascii="Calibri"/>
                <w:sz w:val="22"/>
                <w:szCs w:val="22"/>
              </w:rPr>
            </w:pPr>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5014AA19" w14:textId="77777777" w:rsidR="003165FA" w:rsidRDefault="003165FA" w:rsidP="00EA77ED">
            <w:pPr>
              <w:rPr>
                <w:rFonts w:eastAsiaTheme="minorEastAsia"/>
              </w:rPr>
            </w:pPr>
          </w:p>
        </w:tc>
      </w:tr>
    </w:tbl>
    <w:p w14:paraId="4D867535" w14:textId="77777777" w:rsidR="001E724F" w:rsidRDefault="001E724F"/>
    <w:p w14:paraId="4D867536" w14:textId="77777777" w:rsidR="001E724F" w:rsidRDefault="001E724F"/>
    <w:p w14:paraId="4D867537" w14:textId="47251173" w:rsidR="001E724F" w:rsidRDefault="00C3540E">
      <w:pPr>
        <w:pStyle w:val="discussionpoint"/>
      </w:pPr>
      <w:r>
        <w:rPr>
          <w:lang w:eastAsia="ko-KR"/>
        </w:rPr>
        <w:t xml:space="preserve">Proposed conclusion </w:t>
      </w:r>
      <w:r>
        <w:t>2.6-</w:t>
      </w:r>
      <w:proofErr w:type="gramStart"/>
      <w:r>
        <w:t xml:space="preserve">2  </w:t>
      </w:r>
      <w:r w:rsidR="0000692B">
        <w:t>(</w:t>
      </w:r>
      <w:proofErr w:type="gramEnd"/>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555" w14:textId="77777777" w:rsidR="001E724F" w:rsidRDefault="00C3540E">
            <w:pPr>
              <w:rPr>
                <w:rFonts w:eastAsia="SimSun"/>
                <w:lang w:eastAsia="ja-JP"/>
              </w:rPr>
            </w:pPr>
            <w:r>
              <w:rPr>
                <w:rFonts w:eastAsia="SimSun" w:hint="eastAsia"/>
              </w:rPr>
              <w:lastRenderedPageBreak/>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w:t>
            </w:r>
            <w:r>
              <w:rPr>
                <w:rFonts w:eastAsiaTheme="minorEastAsia"/>
              </w:rPr>
              <w:lastRenderedPageBreak/>
              <w:t>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lastRenderedPageBreak/>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lastRenderedPageBreak/>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w:t>
            </w:r>
            <w:r>
              <w:rPr>
                <w:rFonts w:eastAsiaTheme="minorEastAsia"/>
              </w:rPr>
              <w:lastRenderedPageBreak/>
              <w:t>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lastRenderedPageBreak/>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lastRenderedPageBreak/>
              <w:t>Agreement:</w:t>
            </w:r>
          </w:p>
          <w:p w14:paraId="4D8675F1"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ListParagraph"/>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ListParagraph"/>
              <w:numPr>
                <w:ilvl w:val="1"/>
                <w:numId w:val="34"/>
              </w:numPr>
            </w:pPr>
            <w:r>
              <w:lastRenderedPageBreak/>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ListParagraph"/>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lastRenderedPageBreak/>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Signalling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lastRenderedPageBreak/>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lastRenderedPageBreak/>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lastRenderedPageBreak/>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w:t>
            </w:r>
            <w:r>
              <w:lastRenderedPageBreak/>
              <w:t xml:space="preserve">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lastRenderedPageBreak/>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lastRenderedPageBreak/>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estriction for short control signalling transmissions apply (10% over any 100ms interval) and the multiplexing is onl</w:t>
            </w:r>
            <w:r>
              <w:rPr>
                <w:szCs w:val="20"/>
              </w:rPr>
              <w:lastRenderedPageBreak/>
              <w:t xml:space="preserve">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lastRenderedPageBreak/>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lastRenderedPageBreak/>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lastRenderedPageBreak/>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w:t>
            </w:r>
            <w:r>
              <w:lastRenderedPageBreak/>
              <w:t>on to be received.</w:t>
            </w:r>
          </w:p>
        </w:tc>
      </w:tr>
      <w:tr w:rsidR="001E724F" w14:paraId="4D867802" w14:textId="77777777">
        <w:trPr>
          <w:trHeight w:val="576"/>
        </w:trPr>
        <w:tc>
          <w:tcPr>
            <w:tcW w:w="1908" w:type="dxa"/>
            <w:noWrap/>
          </w:tcPr>
          <w:p w14:paraId="4D867800" w14:textId="77777777" w:rsidR="001E724F" w:rsidRDefault="00C3540E">
            <w:r>
              <w:lastRenderedPageBreak/>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w:t>
            </w:r>
            <w:r>
              <w:lastRenderedPageBreak/>
              <w:t>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lastRenderedPageBreak/>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w:t>
            </w:r>
            <w:r>
              <w:rPr>
                <w:rFonts w:eastAsiaTheme="minorEastAsia"/>
              </w:rPr>
              <w:lastRenderedPageBreak/>
              <w:t>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In other words,</w:t>
            </w:r>
            <w:r w:rsidR="00215D62">
              <w:rPr>
                <w:rFonts w:eastAsiaTheme="minorEastAsia"/>
                <w:color w:val="FF0000"/>
              </w:rPr>
              <w:lastRenderedPageBreak/>
              <w:t xml:space="preserve">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w:t>
      </w:r>
      <w:r>
        <w:lastRenderedPageBreak/>
        <w:t xml:space="preserve">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r>
              <w: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r>
              <w: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lastRenderedPageBreak/>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w:t>
      </w:r>
      <w:r>
        <w:rPr>
          <w:color w:val="FF0000"/>
          <w:u w:val="single"/>
        </w:rPr>
        <w:lastRenderedPageBreak/>
        <w:t xml:space="preserve">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w:t>
            </w:r>
            <w:r>
              <w:lastRenderedPageBreak/>
              <w:t>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lastRenderedPageBreak/>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lastRenderedPageBreak/>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lastRenderedPageBreak/>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ListParagraph"/>
      </w:pPr>
      <w:r>
        <w:t>Against: Huawei/</w:t>
      </w:r>
      <w:proofErr w:type="spellStart"/>
      <w:r>
        <w:t>HiSilicon</w:t>
      </w:r>
      <w:proofErr w:type="spellEnd"/>
      <w:r>
        <w:t>,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 xml:space="preserve">Not support: LG, ZTE, </w:t>
      </w:r>
      <w:proofErr w:type="spellStart"/>
      <w:r>
        <w:t>Transsion</w:t>
      </w:r>
      <w:proofErr w:type="spellEnd"/>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w:t>
            </w:r>
            <w:r>
              <w:rPr>
                <w:rFonts w:eastAsia="PMingLiU"/>
                <w:lang w:eastAsia="zh-TW"/>
              </w:rPr>
              <w:lastRenderedPageBreak/>
              <w:t xml:space="preserve">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w:t>
            </w:r>
            <w:r>
              <w:rPr>
                <w:rFonts w:eastAsia="SimSun" w:hint="eastAsia"/>
              </w:rPr>
              <w:lastRenderedPageBreak/>
              <w:t>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lastRenderedPageBreak/>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w:t>
      </w:r>
      <w:proofErr w:type="spellStart"/>
      <w:r>
        <w:t>SpatialRelationInfo</w:t>
      </w:r>
      <w:proofErr w:type="spellEnd"/>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lastRenderedPageBreak/>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5C579E0C" w:rsidR="001E724F" w:rsidRDefault="001E724F"/>
    <w:p w14:paraId="28572B39" w14:textId="617E2BDE" w:rsidR="006E179B" w:rsidRDefault="006E179B">
      <w:r>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C73B07">
        <w:tc>
          <w:tcPr>
            <w:tcW w:w="1525" w:type="dxa"/>
          </w:tcPr>
          <w:p w14:paraId="690D68A9" w14:textId="77777777" w:rsidR="00AA7C5C" w:rsidRDefault="00AA7C5C" w:rsidP="00C73B07">
            <w:r>
              <w:t>Company</w:t>
            </w:r>
          </w:p>
        </w:tc>
        <w:tc>
          <w:tcPr>
            <w:tcW w:w="7837" w:type="dxa"/>
          </w:tcPr>
          <w:p w14:paraId="42751873" w14:textId="77777777" w:rsidR="00AA7C5C" w:rsidRDefault="00AA7C5C" w:rsidP="00C73B07">
            <w:r>
              <w:t>View</w:t>
            </w:r>
          </w:p>
        </w:tc>
      </w:tr>
      <w:tr w:rsidR="00AA7C5C" w14:paraId="01471044" w14:textId="77777777" w:rsidTr="00C73B07">
        <w:tc>
          <w:tcPr>
            <w:tcW w:w="1525" w:type="dxa"/>
          </w:tcPr>
          <w:p w14:paraId="75C0CD98" w14:textId="118BBFD5" w:rsidR="00AA7C5C" w:rsidRDefault="00762951" w:rsidP="00C73B07">
            <w:pPr>
              <w:rPr>
                <w:rFonts w:eastAsiaTheme="minorEastAsia"/>
              </w:rPr>
            </w:pPr>
            <w:r>
              <w:rPr>
                <w:rFonts w:eastAsiaTheme="minorEastAsia"/>
              </w:rPr>
              <w:lastRenderedPageBreak/>
              <w:t>Ericsson</w:t>
            </w:r>
          </w:p>
        </w:tc>
        <w:tc>
          <w:tcPr>
            <w:tcW w:w="7837" w:type="dxa"/>
          </w:tcPr>
          <w:p w14:paraId="009C2514" w14:textId="645A5D21" w:rsidR="00AA7C5C" w:rsidRDefault="00762951" w:rsidP="00C73B07">
            <w:pPr>
              <w:rPr>
                <w:rFonts w:eastAsiaTheme="minorEastAsia"/>
              </w:rPr>
            </w:pPr>
            <w:r>
              <w:rPr>
                <w:rFonts w:eastAsiaTheme="minorEastAsia"/>
              </w:rPr>
              <w:t xml:space="preserve">We support the proposal. </w:t>
            </w: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lastRenderedPageBreak/>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lastRenderedPageBreak/>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w:t>
            </w:r>
            <w:r>
              <w:lastRenderedPageBreak/>
              <w:t>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lastRenderedPageBreak/>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lastRenderedPageBreak/>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lastRenderedPageBreak/>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lastRenderedPageBreak/>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lastRenderedPageBreak/>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w:t>
            </w:r>
            <w:r>
              <w:rPr>
                <w:highlight w:val="cyan"/>
              </w:rPr>
              <w:lastRenderedPageBreak/>
              <w:t xml:space="preserve">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We are generally OK with the proposal but have similar doubt as Intel in previ</w:t>
            </w:r>
            <w:r>
              <w:lastRenderedPageBreak/>
              <w:t xml:space="preserve">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lastRenderedPageBreak/>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thanks our feature lead for his reply. To address the concern raised </w:t>
            </w:r>
            <w:proofErr w:type="spellStart"/>
            <w:r>
              <w:t>b</w:t>
            </w:r>
            <w:proofErr w:type="spellEnd"/>
            <w:r>
              <w:t xml:space="preserve">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w:t>
            </w:r>
            <w:proofErr w:type="spellStart"/>
            <w:r w:rsidRPr="00911F01">
              <w:rPr>
                <w:i/>
              </w:rPr>
              <w:t>IdentityInfoList</w:t>
            </w:r>
            <w:proofErr w:type="spellEnd"/>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lastRenderedPageBreak/>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lastRenderedPageBreak/>
              <w:t xml:space="preserve">Huawei </w:t>
            </w:r>
            <w:proofErr w:type="spellStart"/>
            <w:r>
              <w:t>HiSilicon</w:t>
            </w:r>
            <w:proofErr w:type="spellEnd"/>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lastRenderedPageBreak/>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lastRenderedPageBreak/>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 xml:space="preserve">Moderator: Yes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4D867C2C" w14:textId="77777777" w:rsidR="001E724F" w:rsidRDefault="00C3540E">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lastRenderedPageBreak/>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w:t>
      </w:r>
      <w:r w:rsidRPr="00C8305C">
        <w:rPr>
          <w:color w:val="FF0000"/>
        </w:rPr>
        <w:lastRenderedPageBreak/>
        <w:t xml:space="preserve">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lang w:eastAsia="en-US"/>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lastRenderedPageBreak/>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lastRenderedPageBreak/>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lastRenderedPageBreak/>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lastRenderedPageBreak/>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D5C" w14:textId="77777777" w:rsidR="001E724F" w:rsidRDefault="00C3540E">
            <w:pPr>
              <w:rPr>
                <w:rFonts w:eastAsia="SimSun"/>
              </w:rPr>
            </w:pPr>
            <w:r>
              <w:rPr>
                <w:rFonts w:eastAsia="SimSun" w:hint="eastAsia"/>
              </w:rPr>
              <w:lastRenderedPageBreak/>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lastRenderedPageBreak/>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proofErr w:type="gramStart"/>
      <w:r>
        <w:rPr>
          <w:lang w:val="en-GB" w:eastAsia="en-US"/>
        </w:rPr>
        <w:t>Down-select</w:t>
      </w:r>
      <w:proofErr w:type="gramEnd"/>
      <w:r>
        <w:rPr>
          <w:lang w:val="en-GB" w:eastAsia="en-US"/>
        </w:rPr>
        <w:t xml:space="preserve"> between the next two alternatives</w:t>
      </w:r>
    </w:p>
    <w:p w14:paraId="3C1D0C27" w14:textId="63F6DC6F" w:rsidR="00601D85" w:rsidRDefault="00601D85" w:rsidP="00601D85">
      <w:pPr>
        <w:pStyle w:val="ListParagraph"/>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w:t>
      </w:r>
      <w:proofErr w:type="spellStart"/>
      <w:r w:rsidR="00F72CCD">
        <w:rPr>
          <w:lang w:eastAsia="en-US"/>
        </w:rPr>
        <w:t>msgA</w:t>
      </w:r>
      <w:proofErr w:type="spellEnd"/>
      <w:r w:rsidR="00F72CCD">
        <w:rPr>
          <w:lang w:eastAsia="en-US"/>
        </w:rPr>
        <w:t xml:space="preserve"> cannot be transmitted with </w:t>
      </w:r>
      <w:r w:rsidR="00F72CCD">
        <w:rPr>
          <w:rFonts w:eastAsia="Batang"/>
        </w:rPr>
        <w:t xml:space="preserve">Contention Exempt Short Control </w:t>
      </w:r>
      <w:proofErr w:type="spellStart"/>
      <w:r w:rsidR="00F72CCD">
        <w:rPr>
          <w:rFonts w:eastAsia="Batang"/>
        </w:rPr>
        <w:t>Signaling</w:t>
      </w:r>
      <w:proofErr w:type="spellEnd"/>
      <w:r w:rsidR="00F72CCD">
        <w:rPr>
          <w:rFonts w:eastAsia="Batang"/>
        </w:rPr>
        <w:t xml:space="preserve"> based transmission</w:t>
      </w:r>
      <w:r w:rsidR="00E81CE2">
        <w:rPr>
          <w:rFonts w:eastAsia="Batang"/>
        </w:rPr>
        <w:t xml:space="preserve">. If the bit is set to false, msg1 </w:t>
      </w:r>
      <w:r w:rsidR="00E81CE2">
        <w:rPr>
          <w:rFonts w:eastAsia="Batang"/>
        </w:rPr>
        <w:lastRenderedPageBreak/>
        <w:t xml:space="preserve">and </w:t>
      </w:r>
      <w:proofErr w:type="spellStart"/>
      <w:r w:rsidR="00E81CE2">
        <w:rPr>
          <w:rFonts w:eastAsia="Batang"/>
        </w:rPr>
        <w:t>msgA</w:t>
      </w:r>
      <w:proofErr w:type="spellEnd"/>
      <w:r w:rsidR="00E81CE2">
        <w:rPr>
          <w:rFonts w:eastAsia="Batang"/>
        </w:rPr>
        <w:t xml:space="preserve"> can be transmitted by </w:t>
      </w:r>
      <w:r w:rsidR="00E81CE2">
        <w:rPr>
          <w:lang w:eastAsia="en-US"/>
        </w:rPr>
        <w:t xml:space="preserve">with </w:t>
      </w:r>
      <w:r w:rsidR="00E81CE2">
        <w:rPr>
          <w:rFonts w:eastAsia="Batang"/>
        </w:rPr>
        <w:t xml:space="preserve">Contention Exempt Short Control </w:t>
      </w:r>
      <w:proofErr w:type="spellStart"/>
      <w:r w:rsidR="00E81CE2">
        <w:rPr>
          <w:rFonts w:eastAsia="Batang"/>
        </w:rPr>
        <w:t>Signaling</w:t>
      </w:r>
      <w:proofErr w:type="spellEnd"/>
      <w:r w:rsidR="00E81CE2">
        <w:rPr>
          <w:rFonts w:eastAsia="Batang"/>
        </w:rPr>
        <w:t xml:space="preserve"> based transmission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w:t>
      </w:r>
      <w:proofErr w:type="spellStart"/>
      <w:r w:rsidR="009D28B0">
        <w:t>ChannelAccess-Cpext</w:t>
      </w:r>
      <w:proofErr w:type="spellEnd"/>
      <w:r w:rsidR="009D28B0">
        <w:t xml:space="preserve"> field in DCI indicates the channel access type only. A new table </w:t>
      </w:r>
      <w:proofErr w:type="gramStart"/>
      <w:r w:rsidR="009D28B0">
        <w:t>similar to</w:t>
      </w:r>
      <w:proofErr w:type="gramEnd"/>
      <w:r w:rsidR="009D28B0">
        <w:t xml:space="preserve">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37C1BE8C" w:rsidR="00066FB0" w:rsidRPr="002C1D1A"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77777777" w:rsidR="00F72CCD" w:rsidRPr="00F72CCD" w:rsidRDefault="00F72CCD" w:rsidP="00F72CCD">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77777777" w:rsidR="0002184C" w:rsidRDefault="0002184C" w:rsidP="0002184C">
      <w:pPr>
        <w:pStyle w:val="ListParagraph"/>
        <w:numPr>
          <w:ilvl w:val="2"/>
          <w:numId w:val="23"/>
        </w:numPr>
        <w:rPr>
          <w:lang w:eastAsia="en-US"/>
        </w:rPr>
      </w:pPr>
      <w:r>
        <w:t>RRC configuration is introduced to indicate either Type 2 channel access or Type 3 channel access will be used, subject to UE capability</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C73B07">
        <w:tc>
          <w:tcPr>
            <w:tcW w:w="1525" w:type="dxa"/>
          </w:tcPr>
          <w:p w14:paraId="4ED4C897" w14:textId="77777777" w:rsidR="007B5DFA" w:rsidRDefault="007B5DFA" w:rsidP="00C73B07">
            <w:r>
              <w:t>Company</w:t>
            </w:r>
          </w:p>
        </w:tc>
        <w:tc>
          <w:tcPr>
            <w:tcW w:w="7837" w:type="dxa"/>
          </w:tcPr>
          <w:p w14:paraId="542029F6" w14:textId="77777777" w:rsidR="007B5DFA" w:rsidRDefault="007B5DFA" w:rsidP="00C73B07">
            <w:r>
              <w:t>View</w:t>
            </w:r>
          </w:p>
        </w:tc>
      </w:tr>
      <w:tr w:rsidR="007B5DFA" w14:paraId="1EBD9A8E" w14:textId="77777777" w:rsidTr="00C73B07">
        <w:tc>
          <w:tcPr>
            <w:tcW w:w="1525" w:type="dxa"/>
          </w:tcPr>
          <w:p w14:paraId="42295407" w14:textId="2EC277A8" w:rsidR="007B5DFA" w:rsidRDefault="007B355C" w:rsidP="00C73B07">
            <w:pPr>
              <w:rPr>
                <w:rFonts w:eastAsiaTheme="minorEastAsia"/>
              </w:rPr>
            </w:pPr>
            <w:r>
              <w:rPr>
                <w:rFonts w:eastAsiaTheme="minorEastAsia"/>
              </w:rPr>
              <w:t>Ericsson</w:t>
            </w:r>
          </w:p>
        </w:tc>
        <w:tc>
          <w:tcPr>
            <w:tcW w:w="7837" w:type="dxa"/>
          </w:tcPr>
          <w:p w14:paraId="315FD5E7" w14:textId="14375272" w:rsidR="007B5DFA" w:rsidRDefault="007B355C" w:rsidP="00C73B07">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C73B07">
            <w:pPr>
              <w:pStyle w:val="ListParagraph"/>
              <w:numPr>
                <w:ilvl w:val="0"/>
                <w:numId w:val="23"/>
              </w:numPr>
              <w:rPr>
                <w:lang w:eastAsia="en-US"/>
              </w:rPr>
            </w:pPr>
            <w:r>
              <w:rPr>
                <w:lang w:eastAsia="en-US"/>
              </w:rPr>
              <w:t>Alt 1. Introduce one bit in SIB1 indicates whether LBT is required for a</w:t>
            </w:r>
            <w:r>
              <w:rPr>
                <w:lang w:eastAsia="en-US"/>
              </w:rPr>
              <w:lastRenderedPageBreak/>
              <w:t>ll UL transmissions</w:t>
            </w:r>
          </w:p>
          <w:p w14:paraId="0E8ABBE4" w14:textId="77777777" w:rsidR="007B355C" w:rsidRPr="00362541" w:rsidRDefault="007B355C" w:rsidP="007B355C">
            <w:pPr>
              <w:pStyle w:val="ListParagraph"/>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B56CEF3" w14:textId="77777777" w:rsidR="007B355C" w:rsidRPr="00066FB0" w:rsidRDefault="007B355C" w:rsidP="007B355C">
            <w:pPr>
              <w:pStyle w:val="ListParagraph"/>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w:t>
            </w:r>
            <w:proofErr w:type="gramStart"/>
            <w:r w:rsidRPr="007B355C">
              <w:rPr>
                <w:strike/>
                <w:color w:val="C00000"/>
              </w:rPr>
              <w:t>similar to</w:t>
            </w:r>
            <w:proofErr w:type="gramEnd"/>
            <w:r w:rsidRPr="007B355C">
              <w:rPr>
                <w:strike/>
                <w:color w:val="C00000"/>
              </w:rPr>
              <w:t xml:space="preserve">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6895CE5" w14:textId="429FFBC6" w:rsidR="007B355C" w:rsidRPr="007B355C" w:rsidRDefault="007B355C" w:rsidP="00C73B07">
            <w:pPr>
              <w:rPr>
                <w:rFonts w:eastAsiaTheme="minorEastAsia"/>
                <w:lang w:val="en-GB"/>
              </w:rPr>
            </w:pPr>
          </w:p>
        </w:tc>
      </w:tr>
      <w:tr w:rsidR="007B355C" w14:paraId="488F5C2E" w14:textId="77777777" w:rsidTr="00C73B07">
        <w:tc>
          <w:tcPr>
            <w:tcW w:w="1525" w:type="dxa"/>
          </w:tcPr>
          <w:p w14:paraId="60615342" w14:textId="77777777" w:rsidR="007B355C" w:rsidRDefault="007B355C" w:rsidP="00C73B07">
            <w:pPr>
              <w:rPr>
                <w:rFonts w:eastAsiaTheme="minorEastAsia"/>
              </w:rPr>
            </w:pPr>
          </w:p>
        </w:tc>
        <w:tc>
          <w:tcPr>
            <w:tcW w:w="7837" w:type="dxa"/>
          </w:tcPr>
          <w:p w14:paraId="10C3F4B4" w14:textId="77777777" w:rsidR="007B355C" w:rsidRDefault="007B355C" w:rsidP="00C73B07">
            <w:pPr>
              <w:rPr>
                <w:rFonts w:eastAsiaTheme="minorEastAsia"/>
              </w:rPr>
            </w:pP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lastRenderedPageBreak/>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ListParagraph"/>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lastRenderedPageBreak/>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w:t>
            </w:r>
            <w:r>
              <w:lastRenderedPageBreak/>
              <w:t>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lastRenderedPageBreak/>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ListParagraph"/>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ListParagraph"/>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lastRenderedPageBreak/>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371B" w14:textId="77777777" w:rsidR="00813F18" w:rsidRDefault="00813F18">
      <w:pPr>
        <w:spacing w:line="240" w:lineRule="auto"/>
      </w:pPr>
      <w:r>
        <w:separator/>
      </w:r>
    </w:p>
  </w:endnote>
  <w:endnote w:type="continuationSeparator" w:id="0">
    <w:p w14:paraId="561EED8A" w14:textId="77777777" w:rsidR="00813F18" w:rsidRDefault="00813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9A7BD8" w:rsidRDefault="009A7BD8">
    <w:pPr>
      <w:pStyle w:val="Footer"/>
    </w:pPr>
  </w:p>
  <w:p w14:paraId="4D867E92" w14:textId="77777777" w:rsidR="009A7BD8" w:rsidRDefault="009A7BD8"/>
  <w:p w14:paraId="4D867E93" w14:textId="77777777" w:rsidR="009A7BD8" w:rsidRDefault="009A7B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343E872B"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6202B">
      <w:rPr>
        <w:rStyle w:val="PageNumber"/>
        <w:noProof/>
      </w:rPr>
      <w:t>136</w:t>
    </w:r>
    <w:r>
      <w:rPr>
        <w:rStyle w:val="PageNumber"/>
      </w:rPr>
      <w:fldChar w:fldCharType="end"/>
    </w:r>
  </w:p>
  <w:p w14:paraId="4D867E95" w14:textId="77777777" w:rsidR="009A7BD8" w:rsidRDefault="009A7BD8">
    <w:pPr>
      <w:pStyle w:val="Footer"/>
    </w:pPr>
  </w:p>
  <w:p w14:paraId="4D867E96" w14:textId="77777777" w:rsidR="009A7BD8" w:rsidRDefault="009A7BD8"/>
  <w:p w14:paraId="4D867E97" w14:textId="77777777" w:rsidR="009A7BD8" w:rsidRDefault="009A7B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8079" w14:textId="77777777" w:rsidR="00813F18" w:rsidRDefault="00813F18">
      <w:pPr>
        <w:spacing w:after="0"/>
      </w:pPr>
      <w:r>
        <w:separator/>
      </w:r>
    </w:p>
  </w:footnote>
  <w:footnote w:type="continuationSeparator" w:id="0">
    <w:p w14:paraId="5778457A" w14:textId="77777777" w:rsidR="00813F18" w:rsidRDefault="00813F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5NUHHDQN7SK2-1476151046-512922</_dlc_DocId>
    <_dlc_DocIdUrl xmlns="f166a696-7b5b-4ccd-9f0c-ffde0cceec81">
      <Url>https://ericsson.sharepoint.com/sites/star/_layouts/15/DocIdRedir.aspx?ID=5NUHHDQN7SK2-1476151046-512922</Url>
      <Description>5NUHHDQN7SK2-1476151046-512922</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9600F9EF-539A-4208-B13C-1EF6CC64E0D5}">
  <ds:schemaRefs>
    <ds:schemaRef ds:uri="http://schemas.openxmlformats.org/officeDocument/2006/bibliography"/>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590033B-E099-4D57-88B5-1F9B262C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140</Pages>
  <Words>45639</Words>
  <Characters>228861</Characters>
  <Application>Microsoft Office Word</Application>
  <DocSecurity>0</DocSecurity>
  <Lines>1907</Lines>
  <Paragraphs>547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62</cp:revision>
  <cp:lastPrinted>2019-01-10T09:30:00Z</cp:lastPrinted>
  <dcterms:created xsi:type="dcterms:W3CDTF">2022-02-24T19:25:00Z</dcterms:created>
  <dcterms:modified xsi:type="dcterms:W3CDTF">2022-02-24T22:35:00Z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26156715-fadc-449d-bda6-254f9227da51</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