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a"/>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a"/>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a"/>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a"/>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af7"/>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a"/>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a"/>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af7"/>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r w:rsidR="00CE2516" w:rsidRPr="00032CEE" w14:paraId="6D035D33" w14:textId="77777777" w:rsidTr="002B52FF">
        <w:tc>
          <w:tcPr>
            <w:tcW w:w="1525" w:type="dxa"/>
          </w:tcPr>
          <w:p w14:paraId="4C9A3B9E" w14:textId="6307BEF9" w:rsidR="00CE2516" w:rsidRDefault="00CE2516" w:rsidP="00E96388">
            <w:r>
              <w:t>Apple</w:t>
            </w:r>
          </w:p>
        </w:tc>
        <w:tc>
          <w:tcPr>
            <w:tcW w:w="7837" w:type="dxa"/>
          </w:tcPr>
          <w:p w14:paraId="53EE0359" w14:textId="2CA1E2E6" w:rsidR="00CE2516" w:rsidRDefault="00CE2516" w:rsidP="00E96388">
            <w:r>
              <w:t xml:space="preserve">OK with the proposal. </w:t>
            </w:r>
          </w:p>
        </w:tc>
      </w:tr>
      <w:tr w:rsidR="001C1792" w:rsidRPr="00032CEE" w14:paraId="3C2A2D24" w14:textId="77777777" w:rsidTr="002B52FF">
        <w:tc>
          <w:tcPr>
            <w:tcW w:w="1525" w:type="dxa"/>
          </w:tcPr>
          <w:p w14:paraId="03C9F650" w14:textId="36A149ED" w:rsidR="001C1792" w:rsidRPr="001C1792" w:rsidRDefault="001C1792" w:rsidP="00E9638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FB138E" w14:textId="63777A6A" w:rsidR="001C1792" w:rsidRDefault="001C1792" w:rsidP="00E96388">
            <w:r>
              <w:t>OK with the proposal.</w:t>
            </w:r>
          </w:p>
        </w:tc>
      </w:tr>
    </w:tbl>
    <w:p w14:paraId="2A67483B" w14:textId="1B1B5624"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a"/>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a"/>
        <w:numPr>
          <w:ilvl w:val="0"/>
          <w:numId w:val="37"/>
        </w:numPr>
      </w:pPr>
      <w:r>
        <w:t>TP 2.1-A</w:t>
      </w:r>
    </w:p>
    <w:p w14:paraId="441EA39A" w14:textId="02E33F31" w:rsidR="00AC47E9" w:rsidRPr="00F43AAE" w:rsidRDefault="00AC47E9" w:rsidP="00991CA5">
      <w:pPr>
        <w:pStyle w:val="a"/>
        <w:numPr>
          <w:ilvl w:val="0"/>
          <w:numId w:val="37"/>
        </w:numPr>
      </w:pPr>
      <w:r>
        <w:lastRenderedPageBreak/>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a"/>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a"/>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af7"/>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r w:rsidR="00CE2516" w:rsidRPr="00032CEE" w14:paraId="69419ADF" w14:textId="77777777" w:rsidTr="002B52FF">
        <w:tc>
          <w:tcPr>
            <w:tcW w:w="1525" w:type="dxa"/>
          </w:tcPr>
          <w:p w14:paraId="052C6E8D" w14:textId="15E32BA2" w:rsidR="00CE2516" w:rsidRDefault="00CE2516" w:rsidP="00573CA5">
            <w:r>
              <w:t>Apple</w:t>
            </w:r>
          </w:p>
        </w:tc>
        <w:tc>
          <w:tcPr>
            <w:tcW w:w="7837" w:type="dxa"/>
          </w:tcPr>
          <w:p w14:paraId="1499BF03" w14:textId="470DAB29" w:rsidR="00CE2516" w:rsidRDefault="00CE2516" w:rsidP="00573CA5">
            <w:r>
              <w:t>If gNB perform CCA over channel BW, the EDT should be calculated based on channel BW.</w:t>
            </w:r>
          </w:p>
        </w:tc>
      </w:tr>
      <w:tr w:rsidR="001C1792" w:rsidRPr="00032CEE" w14:paraId="020E8E7C" w14:textId="77777777" w:rsidTr="002B52FF">
        <w:tc>
          <w:tcPr>
            <w:tcW w:w="1525" w:type="dxa"/>
          </w:tcPr>
          <w:p w14:paraId="754E557D" w14:textId="600D8CEF"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328469" w14:textId="5A2B7F0D"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lastRenderedPageBreak/>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C234C3"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af7"/>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a"/>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a"/>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a"/>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a"/>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a"/>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a"/>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a"/>
              <w:numPr>
                <w:ilvl w:val="1"/>
                <w:numId w:val="15"/>
              </w:numPr>
            </w:pPr>
            <w:r>
              <w:lastRenderedPageBreak/>
              <w:t>The node is not expected to transmit in the COT with higher Pout than the Pout 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a"/>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a"/>
              <w:numPr>
                <w:ilvl w:val="0"/>
                <w:numId w:val="16"/>
              </w:numPr>
            </w:pPr>
            <w:r>
              <w:t>The energy measurement is compared with EDT with no further adjustment to EDT standardized in Rel.17</w:t>
            </w:r>
          </w:p>
          <w:p w14:paraId="37900772" w14:textId="77777777" w:rsidR="00E249D5" w:rsidRDefault="00E249D5" w:rsidP="00991CA5">
            <w:pPr>
              <w:pStyle w:val="a"/>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af7"/>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lastRenderedPageBreak/>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a"/>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a"/>
        <w:numPr>
          <w:ilvl w:val="1"/>
          <w:numId w:val="16"/>
        </w:numPr>
        <w:rPr>
          <w:lang w:eastAsia="en-US"/>
        </w:rPr>
      </w:pPr>
      <w:r>
        <w:t xml:space="preserve">Support: Apple, LGE, Ericsson, </w:t>
      </w:r>
    </w:p>
    <w:p w14:paraId="0343C694" w14:textId="77777777" w:rsidR="008B08DC" w:rsidRDefault="008B08DC" w:rsidP="00991CA5">
      <w:pPr>
        <w:pStyle w:val="a"/>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09E3B52" w:rsidR="008B08DC" w:rsidRDefault="008B08DC" w:rsidP="00991CA5">
      <w:pPr>
        <w:pStyle w:val="a"/>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af7"/>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rPr>
            </w:pPr>
            <w:r>
              <w:t>Intel</w:t>
            </w:r>
          </w:p>
        </w:tc>
        <w:tc>
          <w:tcPr>
            <w:tcW w:w="7837" w:type="dxa"/>
          </w:tcPr>
          <w:p w14:paraId="0CE9578F" w14:textId="77777777" w:rsidR="00202598" w:rsidRDefault="00202598" w:rsidP="00202598">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r w:rsidR="00CE2516" w14:paraId="11213C33" w14:textId="77777777" w:rsidTr="002B52FF">
        <w:tc>
          <w:tcPr>
            <w:tcW w:w="1525" w:type="dxa"/>
          </w:tcPr>
          <w:p w14:paraId="4D95283C" w14:textId="153F84B3" w:rsidR="00CE2516" w:rsidRDefault="00CE2516" w:rsidP="00202598">
            <w:r>
              <w:t>Apple</w:t>
            </w:r>
          </w:p>
        </w:tc>
        <w:tc>
          <w:tcPr>
            <w:tcW w:w="7837" w:type="dxa"/>
          </w:tcPr>
          <w:p w14:paraId="6E3562EE" w14:textId="704B8E10" w:rsidR="00CE2516" w:rsidRDefault="00CE2516" w:rsidP="00202598">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C1792" w14:paraId="2EEC81C1" w14:textId="77777777" w:rsidTr="002B52FF">
        <w:tc>
          <w:tcPr>
            <w:tcW w:w="1525" w:type="dxa"/>
          </w:tcPr>
          <w:p w14:paraId="1533B99C" w14:textId="2343C3BA" w:rsidR="001C1792" w:rsidRPr="001C1792" w:rsidRDefault="001C1792" w:rsidP="0020259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C644D0A" w14:textId="4C011B80" w:rsidR="001C1792" w:rsidRPr="00E142F6" w:rsidRDefault="00E142F6" w:rsidP="00202598">
            <w:pPr>
              <w:rPr>
                <w:rFonts w:eastAsia="Malgun Gothic"/>
                <w:lang w:eastAsia="ko-KR"/>
              </w:rPr>
            </w:pPr>
            <w:r>
              <w:rPr>
                <w:rFonts w:eastAsia="Malgun Gothic" w:hint="eastAsia"/>
                <w:lang w:eastAsia="ko-KR"/>
              </w:rPr>
              <w:t>W</w:t>
            </w:r>
            <w:r>
              <w:rPr>
                <w:rFonts w:eastAsia="Malgun Gothic"/>
                <w:lang w:eastAsia="ko-KR"/>
              </w:rPr>
              <w:t>e support Alt 2 on Discussion 2.2-1.</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a"/>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a"/>
              <w:numPr>
                <w:ilvl w:val="1"/>
                <w:numId w:val="22"/>
              </w:numPr>
            </w:pPr>
            <w:r>
              <w:lastRenderedPageBreak/>
              <w:t>FFS: Details on the definition of “cover”</w:t>
            </w:r>
          </w:p>
          <w:p w14:paraId="128E6FAB" w14:textId="77777777" w:rsidR="00D83A31" w:rsidRDefault="004D7461" w:rsidP="00991CA5">
            <w:pPr>
              <w:pStyle w:val="a"/>
              <w:numPr>
                <w:ilvl w:val="0"/>
                <w:numId w:val="22"/>
              </w:numPr>
            </w:pPr>
            <w:r>
              <w:t>Alt 2: Independent per-beam LBT sensing at the start of COT is performed for beams used in the COT</w:t>
            </w:r>
          </w:p>
          <w:p w14:paraId="128E6FAC" w14:textId="77777777" w:rsidR="00D83A31" w:rsidRDefault="004D7461" w:rsidP="00991CA5">
            <w:pPr>
              <w:pStyle w:val="a"/>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a"/>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a"/>
              <w:numPr>
                <w:ilvl w:val="1"/>
                <w:numId w:val="23"/>
              </w:numPr>
            </w:pPr>
            <w:r>
              <w:t>Note the channel access for SSB with LBT may not be different from a normal COT with multiple beams</w:t>
            </w:r>
          </w:p>
          <w:p w14:paraId="128E6FB1" w14:textId="77777777" w:rsidR="00D83A31" w:rsidRDefault="004D7461" w:rsidP="00991CA5">
            <w:pPr>
              <w:pStyle w:val="a"/>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a"/>
              <w:numPr>
                <w:ilvl w:val="0"/>
                <w:numId w:val="21"/>
              </w:numPr>
            </w:pPr>
            <w:r>
              <w:t>Alt A: The per-beam LBT for different beams is performed in TDM fashion</w:t>
            </w:r>
          </w:p>
          <w:p w14:paraId="128E6FB6"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a"/>
              <w:numPr>
                <w:ilvl w:val="0"/>
                <w:numId w:val="21"/>
              </w:numPr>
            </w:pPr>
            <w:r>
              <w:t>Alt A: The per-beam LBT for different beams is performed one after another in time domain</w:t>
            </w:r>
          </w:p>
          <w:p w14:paraId="128E6FBE"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w:t>
            </w:r>
            <w:r>
              <w:lastRenderedPageBreak/>
              <w:t>robin between different beams</w:t>
            </w:r>
          </w:p>
          <w:p w14:paraId="128E6FC1"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lastRenderedPageBreak/>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lastRenderedPageBreak/>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5BE0F47A"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w:t>
            </w:r>
            <w:r w:rsidR="00CE2516">
              <w:t>]</w:t>
            </w:r>
            <w:r>
              <w:t>ross</w:t>
            </w:r>
            <w:proofErr w:type="gramEnd"/>
            <w:r>
              <w:t xml:space="preserve"> different beams can occur. If the channel is failed to be accessed for any sensing beam, the channel access is deemed to have failed for all the</w:t>
            </w:r>
            <w:r w:rsidR="00CE2516">
              <w:t>]</w:t>
            </w:r>
            <w:r>
              <w:t>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rsidR="00CE2516">
              <w:pgNum/>
            </w:r>
            <w:proofErr w:type="spellStart"/>
            <w:r w:rsidR="00CE2516">
              <w:t>odoma</w:t>
            </w:r>
            <w:r>
              <w:t>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w:t>
            </w:r>
            <w:r>
              <w:lastRenderedPageBreak/>
              <w:t>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lastRenderedPageBreak/>
              <w:t>Lenovo Motorola Mobility</w:t>
            </w:r>
          </w:p>
        </w:tc>
        <w:tc>
          <w:tcPr>
            <w:tcW w:w="7454" w:type="dxa"/>
            <w:hideMark/>
          </w:tcPr>
          <w:p w14:paraId="69FA1EC8" w14:textId="5A3A2D28" w:rsidR="00A71FCE" w:rsidRDefault="00A71FCE" w:rsidP="003D1981">
            <w:r>
              <w:t xml:space="preserve">Proposal 2: For NR unlicensed bands between 52.6 GHz and 71 GHz with directional LBT based channel access mechanism, If a channel occupancy includes transmission(s) in different beams that are multiplexed in time </w:t>
            </w:r>
            <w:r w:rsidR="00CE2516">
              <w:pgNum/>
            </w:r>
            <w:proofErr w:type="spellStart"/>
            <w:r w:rsidR="00CE2516">
              <w:t>odoma</w:t>
            </w:r>
            <w:proofErr w:type="spellEnd"/>
            <w:r>
              <w:t>,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rPr>
            </w:pPr>
            <w:r>
              <w:t>Intel</w:t>
            </w:r>
          </w:p>
        </w:tc>
        <w:tc>
          <w:tcPr>
            <w:tcW w:w="7837" w:type="dxa"/>
          </w:tcPr>
          <w:p w14:paraId="4D88AB37" w14:textId="6960C159" w:rsidR="00365F22" w:rsidRDefault="00365F22" w:rsidP="00365F22">
            <w:pPr>
              <w:rPr>
                <w:rFonts w:eastAsiaTheme="minorEastAsia"/>
              </w:rPr>
            </w:pPr>
            <w:r>
              <w:t>We are OK with this proposal.</w:t>
            </w:r>
          </w:p>
        </w:tc>
      </w:tr>
      <w:tr w:rsidR="00CE2516" w14:paraId="0CD09201" w14:textId="77777777" w:rsidTr="002B52FF">
        <w:tc>
          <w:tcPr>
            <w:tcW w:w="1525" w:type="dxa"/>
          </w:tcPr>
          <w:p w14:paraId="71429A09" w14:textId="278E54AB" w:rsidR="00CE2516" w:rsidRDefault="00CE2516" w:rsidP="00365F22">
            <w:r>
              <w:t>Apple</w:t>
            </w:r>
          </w:p>
        </w:tc>
        <w:tc>
          <w:tcPr>
            <w:tcW w:w="7837" w:type="dxa"/>
          </w:tcPr>
          <w:p w14:paraId="231C3957" w14:textId="1E0BD71B" w:rsidR="00CE2516" w:rsidRDefault="00CE2516" w:rsidP="00365F22">
            <w:r>
              <w:t>OK</w:t>
            </w:r>
          </w:p>
        </w:tc>
      </w:tr>
      <w:tr w:rsidR="00E142F6" w14:paraId="03026800" w14:textId="77777777" w:rsidTr="002B52FF">
        <w:tc>
          <w:tcPr>
            <w:tcW w:w="1525" w:type="dxa"/>
          </w:tcPr>
          <w:p w14:paraId="5D60FBB1" w14:textId="4B1FFEE0"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CA4A2B2" w14:textId="030534C1"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F269DC" w14:paraId="74D58A48" w14:textId="77777777" w:rsidTr="002B52FF">
        <w:tc>
          <w:tcPr>
            <w:tcW w:w="1525" w:type="dxa"/>
          </w:tcPr>
          <w:p w14:paraId="7830A136" w14:textId="492FF693" w:rsidR="00F269DC" w:rsidRDefault="00F269DC" w:rsidP="00F269DC">
            <w:pPr>
              <w:rPr>
                <w:rFonts w:eastAsia="Malgun Gothic" w:hint="eastAsia"/>
                <w:lang w:eastAsia="ko-KR"/>
              </w:rPr>
            </w:pPr>
            <w:r>
              <w:rPr>
                <w:rFonts w:eastAsia="新細明體" w:hint="eastAsia"/>
                <w:lang w:eastAsia="zh-TW"/>
              </w:rPr>
              <w:t>M</w:t>
            </w:r>
            <w:r>
              <w:rPr>
                <w:rFonts w:eastAsia="新細明體"/>
                <w:lang w:eastAsia="zh-TW"/>
              </w:rPr>
              <w:t>ediatek</w:t>
            </w:r>
          </w:p>
        </w:tc>
        <w:tc>
          <w:tcPr>
            <w:tcW w:w="7837" w:type="dxa"/>
          </w:tcPr>
          <w:p w14:paraId="7CA58468" w14:textId="50133C9E" w:rsidR="00F269DC" w:rsidRDefault="00F269DC" w:rsidP="00F269DC">
            <w:pPr>
              <w:rPr>
                <w:rFonts w:eastAsia="Malgun Gothic" w:hint="eastAsia"/>
                <w:lang w:eastAsia="ko-KR"/>
              </w:rPr>
            </w:pPr>
            <w:r>
              <w:rPr>
                <w:rFonts w:eastAsia="新細明體"/>
                <w:lang w:eastAsia="zh-TW"/>
              </w:rPr>
              <w:t>Ok with the proposal</w:t>
            </w:r>
          </w:p>
        </w:tc>
      </w:tr>
    </w:tbl>
    <w:p w14:paraId="7F2DDEE3" w14:textId="7E8079BB" w:rsidR="003D7392" w:rsidRPr="00E142F6" w:rsidRDefault="003D7392" w:rsidP="003D1981">
      <w:pPr>
        <w:rPr>
          <w:rFonts w:eastAsia="Malgun Gothic"/>
          <w:lang w:eastAsia="ko-KR"/>
        </w:rPr>
      </w:pPr>
    </w:p>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a"/>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lastRenderedPageBreak/>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rPr>
            </w:pPr>
            <w:r>
              <w:t>Intel</w:t>
            </w:r>
          </w:p>
        </w:tc>
        <w:tc>
          <w:tcPr>
            <w:tcW w:w="7837" w:type="dxa"/>
          </w:tcPr>
          <w:p w14:paraId="733E240A" w14:textId="77777777" w:rsidR="00F43595" w:rsidRDefault="00F43595" w:rsidP="00F43595">
            <w:r>
              <w:t>We are OK with using as a baseline the Type A multi-carrier channel access procedure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rPr>
            </w:pPr>
          </w:p>
        </w:tc>
      </w:tr>
      <w:tr w:rsidR="00CE2516" w14:paraId="6ADA6AC3" w14:textId="77777777" w:rsidTr="002B52FF">
        <w:tc>
          <w:tcPr>
            <w:tcW w:w="1525" w:type="dxa"/>
          </w:tcPr>
          <w:p w14:paraId="3C18759E" w14:textId="4844A6F6" w:rsidR="00CE2516" w:rsidRDefault="00CE2516" w:rsidP="00F43595">
            <w:r>
              <w:t>Apple</w:t>
            </w:r>
          </w:p>
        </w:tc>
        <w:tc>
          <w:tcPr>
            <w:tcW w:w="7837" w:type="dxa"/>
          </w:tcPr>
          <w:p w14:paraId="116500BF" w14:textId="39E6154F" w:rsidR="00CE2516" w:rsidRDefault="00CE2516" w:rsidP="00F43595">
            <w:r>
              <w:t xml:space="preserve">Does not support the proposal. They are separate issue. </w:t>
            </w:r>
          </w:p>
        </w:tc>
      </w:tr>
      <w:tr w:rsidR="00E142F6" w14:paraId="57E64DFD" w14:textId="77777777" w:rsidTr="002B52FF">
        <w:tc>
          <w:tcPr>
            <w:tcW w:w="1525" w:type="dxa"/>
          </w:tcPr>
          <w:p w14:paraId="3378936B" w14:textId="16E0467B" w:rsidR="00E142F6" w:rsidRPr="00E142F6" w:rsidRDefault="00E142F6" w:rsidP="00F43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3BC3FBF" w14:textId="01544DA4" w:rsidR="00E142F6" w:rsidRPr="00E142F6" w:rsidRDefault="00E142F6" w:rsidP="00F43595">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F269DC" w14:paraId="1AC64757" w14:textId="77777777" w:rsidTr="002B52FF">
        <w:tc>
          <w:tcPr>
            <w:tcW w:w="1525" w:type="dxa"/>
          </w:tcPr>
          <w:p w14:paraId="0975E462" w14:textId="374A0285" w:rsidR="00F269DC" w:rsidRDefault="00F269DC" w:rsidP="00F269DC">
            <w:pPr>
              <w:rPr>
                <w:rFonts w:eastAsia="Malgun Gothic" w:hint="eastAsia"/>
                <w:lang w:eastAsia="ko-KR"/>
              </w:rPr>
            </w:pPr>
            <w:r>
              <w:rPr>
                <w:rFonts w:eastAsia="新細明體" w:hint="eastAsia"/>
                <w:lang w:eastAsia="zh-TW"/>
              </w:rPr>
              <w:t>M</w:t>
            </w:r>
            <w:r>
              <w:rPr>
                <w:rFonts w:eastAsia="新細明體"/>
                <w:lang w:eastAsia="zh-TW"/>
              </w:rPr>
              <w:t>ediatek</w:t>
            </w:r>
          </w:p>
        </w:tc>
        <w:tc>
          <w:tcPr>
            <w:tcW w:w="7837" w:type="dxa"/>
          </w:tcPr>
          <w:p w14:paraId="0AC74C49" w14:textId="207828BC" w:rsidR="00F269DC" w:rsidRDefault="00F269DC" w:rsidP="00F269DC">
            <w:pPr>
              <w:rPr>
                <w:rFonts w:eastAsia="Malgun Gothic"/>
                <w:lang w:eastAsia="ko-KR"/>
              </w:rPr>
            </w:pPr>
            <w:r>
              <w:rPr>
                <w:rFonts w:eastAsia="新細明體" w:hint="eastAsia"/>
                <w:lang w:eastAsia="zh-TW"/>
              </w:rPr>
              <w:t>W</w:t>
            </w:r>
            <w:r>
              <w:rPr>
                <w:rFonts w:eastAsia="新細明體"/>
                <w:lang w:eastAsia="zh-TW"/>
              </w:rPr>
              <w:t>e share similar view with Apple</w:t>
            </w:r>
            <w:r>
              <w:rPr>
                <w:rFonts w:eastAsia="新細明體"/>
                <w:lang w:eastAsia="zh-TW"/>
              </w:rPr>
              <w:t xml:space="preserve"> and WILUS</w:t>
            </w:r>
            <w:r>
              <w:rPr>
                <w:rFonts w:eastAsia="新細明體"/>
                <w:lang w:eastAsia="zh-TW"/>
              </w:rPr>
              <w:t xml:space="preserve"> that these are different issues. </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2"/>
        <w:rPr>
          <w:rFonts w:ascii="Times New Roman" w:hAnsi="Times New Roman"/>
        </w:rPr>
      </w:pPr>
      <w:r>
        <w:rPr>
          <w:rFonts w:ascii="Times New Roman" w:hAnsi="Times New Roman"/>
        </w:rPr>
        <w:t>Multi-Channel channel access</w:t>
      </w:r>
    </w:p>
    <w:tbl>
      <w:tblPr>
        <w:tblStyle w:val="af7"/>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a"/>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a"/>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a"/>
              <w:numPr>
                <w:ilvl w:val="0"/>
                <w:numId w:val="23"/>
              </w:numPr>
            </w:pPr>
            <w:r>
              <w:t>Alt1: Support Type A multi-channel channel access only</w:t>
            </w:r>
          </w:p>
          <w:p w14:paraId="3E1BF131" w14:textId="77777777" w:rsidR="00EC161A" w:rsidRDefault="00EC161A" w:rsidP="00991CA5">
            <w:pPr>
              <w:pStyle w:val="a"/>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a"/>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lastRenderedPageBreak/>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w:t>
            </w:r>
            <w:r>
              <w:lastRenderedPageBreak/>
              <w:t>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lastRenderedPageBreak/>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r w:rsidR="00CE2516" w14:paraId="4C31665D" w14:textId="77777777" w:rsidTr="002B52FF">
        <w:tc>
          <w:tcPr>
            <w:tcW w:w="1525" w:type="dxa"/>
          </w:tcPr>
          <w:p w14:paraId="70697439" w14:textId="66BA150E" w:rsidR="00CE2516" w:rsidRDefault="00CE2516" w:rsidP="008246CE">
            <w:r>
              <w:t>Apple</w:t>
            </w:r>
          </w:p>
        </w:tc>
        <w:tc>
          <w:tcPr>
            <w:tcW w:w="7837" w:type="dxa"/>
          </w:tcPr>
          <w:p w14:paraId="189CA34C" w14:textId="62C7EFDB" w:rsidR="00CE2516" w:rsidRDefault="00CE2516" w:rsidP="008246CE">
            <w:r>
              <w:t>OK</w:t>
            </w:r>
          </w:p>
        </w:tc>
      </w:tr>
      <w:tr w:rsidR="00E142F6" w14:paraId="46D03E79" w14:textId="77777777" w:rsidTr="002B52FF">
        <w:tc>
          <w:tcPr>
            <w:tcW w:w="1525" w:type="dxa"/>
          </w:tcPr>
          <w:p w14:paraId="0600FCDF" w14:textId="5ADEC371" w:rsidR="00E142F6" w:rsidRPr="00E142F6" w:rsidRDefault="00E142F6" w:rsidP="008246C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F1A192" w14:textId="36000B41" w:rsidR="00E142F6" w:rsidRDefault="00E142F6" w:rsidP="008246CE">
            <w:r>
              <w:rPr>
                <w:rFonts w:eastAsiaTheme="minorEastAsia"/>
              </w:rPr>
              <w:t>We support the Proposal 2.4-1.</w:t>
            </w:r>
          </w:p>
        </w:tc>
      </w:tr>
      <w:tr w:rsidR="000B2508" w14:paraId="1E89745E" w14:textId="77777777" w:rsidTr="002B52FF">
        <w:tc>
          <w:tcPr>
            <w:tcW w:w="1525" w:type="dxa"/>
          </w:tcPr>
          <w:p w14:paraId="36A72CCE" w14:textId="49C6E2E9" w:rsidR="000B2508" w:rsidRPr="000B2508" w:rsidRDefault="000B2508" w:rsidP="008246CE">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466EAA56" w14:textId="5C99C4F1" w:rsidR="000B2508" w:rsidRPr="000B2508" w:rsidRDefault="000B2508" w:rsidP="008246CE">
            <w:pPr>
              <w:rPr>
                <w:rFonts w:eastAsia="新細明體" w:hint="eastAsia"/>
                <w:lang w:eastAsia="zh-TW"/>
              </w:rPr>
            </w:pPr>
            <w:r>
              <w:rPr>
                <w:rFonts w:eastAsia="新細明體"/>
                <w:lang w:eastAsia="zh-TW"/>
              </w:rPr>
              <w:t>We are ok with the principle of the proposal and Intel’s revised version.</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lastRenderedPageBreak/>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rPr>
            </w:pPr>
            <w:r>
              <w:t>Intel</w:t>
            </w:r>
          </w:p>
        </w:tc>
        <w:tc>
          <w:tcPr>
            <w:tcW w:w="7837" w:type="dxa"/>
          </w:tcPr>
          <w:p w14:paraId="4585AD27" w14:textId="77777777" w:rsidR="00ED4210" w:rsidRDefault="00ED4210" w:rsidP="00ED4210">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r w:rsidR="00CE2516" w14:paraId="66B96713" w14:textId="77777777" w:rsidTr="00293AA3">
        <w:tc>
          <w:tcPr>
            <w:tcW w:w="1525" w:type="dxa"/>
          </w:tcPr>
          <w:p w14:paraId="72B75536" w14:textId="0F863394" w:rsidR="00CE2516" w:rsidRDefault="00CE2516" w:rsidP="00ED4210">
            <w:r>
              <w:t>Apple</w:t>
            </w:r>
          </w:p>
        </w:tc>
        <w:tc>
          <w:tcPr>
            <w:tcW w:w="7837" w:type="dxa"/>
          </w:tcPr>
          <w:p w14:paraId="7E4CE350" w14:textId="2A756B04" w:rsidR="00CE2516" w:rsidRDefault="00CE2516" w:rsidP="00ED4210">
            <w:r>
              <w:t>Since proposal 2.4-1 propose independent per channel, re-initialization should be independent as well. I.e., for channels which did not transmit, resume count down from previous value.</w:t>
            </w:r>
          </w:p>
        </w:tc>
      </w:tr>
      <w:tr w:rsidR="00E177C0" w14:paraId="312E3AF8" w14:textId="77777777" w:rsidTr="00293AA3">
        <w:tc>
          <w:tcPr>
            <w:tcW w:w="1525" w:type="dxa"/>
          </w:tcPr>
          <w:p w14:paraId="470AEBD0" w14:textId="6ECA1343" w:rsidR="00E177C0" w:rsidRPr="000B2508" w:rsidRDefault="000B2508" w:rsidP="00ED4210">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0905738A" w14:textId="2E2A8DB6" w:rsidR="00E177C0" w:rsidRPr="000B2508" w:rsidRDefault="000B2508" w:rsidP="00ED4210">
            <w:pPr>
              <w:rPr>
                <w:rFonts w:eastAsia="新細明體" w:hint="eastAsia"/>
                <w:lang w:eastAsia="zh-TW"/>
              </w:rPr>
            </w:pPr>
            <w:r>
              <w:rPr>
                <w:rFonts w:eastAsia="新細明體"/>
                <w:lang w:eastAsia="zh-TW"/>
              </w:rPr>
              <w:t xml:space="preserve">This proposal is not clear to us. Is the intention to define when the counter should be re-initialized? </w:t>
            </w:r>
          </w:p>
        </w:tc>
      </w:tr>
    </w:tbl>
    <w:p w14:paraId="15FB11C5" w14:textId="4FF8FF2B" w:rsidR="00202DA7" w:rsidRDefault="00202DA7" w:rsidP="003D1981"/>
    <w:p w14:paraId="128E7123" w14:textId="77777777" w:rsidR="00D83A31" w:rsidRDefault="004D7461">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a"/>
              <w:numPr>
                <w:ilvl w:val="0"/>
                <w:numId w:val="24"/>
              </w:numPr>
            </w:pPr>
            <w:r>
              <w:t>Alt 1: Specify necessary requirement/test procedure to guarantee sensing beam “covers” the transmission beam</w:t>
            </w:r>
          </w:p>
          <w:p w14:paraId="128E7127" w14:textId="77777777" w:rsidR="00D83A31" w:rsidRDefault="004D7461" w:rsidP="00991CA5">
            <w:pPr>
              <w:pStyle w:val="a"/>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a"/>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a"/>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a"/>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a"/>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a"/>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a"/>
              <w:numPr>
                <w:ilvl w:val="1"/>
                <w:numId w:val="24"/>
              </w:numPr>
            </w:pPr>
            <w:r>
              <w:t>Sending LS to RAN4 and inform them the above and request them to make the final choice</w:t>
            </w:r>
          </w:p>
          <w:p w14:paraId="128E712E" w14:textId="77777777" w:rsidR="00D83A31" w:rsidRDefault="004D7461" w:rsidP="00991CA5">
            <w:pPr>
              <w:pStyle w:val="a"/>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a"/>
              <w:numPr>
                <w:ilvl w:val="0"/>
                <w:numId w:val="24"/>
              </w:numPr>
            </w:pPr>
            <w:r>
              <w:lastRenderedPageBreak/>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a"/>
              <w:numPr>
                <w:ilvl w:val="1"/>
                <w:numId w:val="24"/>
              </w:numPr>
            </w:pPr>
            <w:r>
              <w:t xml:space="preserve">On gNB side sensing beam selection for a DL transmission beam, </w:t>
            </w:r>
          </w:p>
          <w:p w14:paraId="128E7131" w14:textId="77777777" w:rsidR="00D83A31" w:rsidRDefault="004D7461" w:rsidP="00991CA5">
            <w:pPr>
              <w:pStyle w:val="a"/>
              <w:numPr>
                <w:ilvl w:val="2"/>
                <w:numId w:val="24"/>
              </w:numPr>
            </w:pPr>
            <w:r>
              <w:t>Option 1: The selection of eligible sensing beam for a transmission beam is left for gNB implementation</w:t>
            </w:r>
          </w:p>
          <w:p w14:paraId="128E7132" w14:textId="77777777" w:rsidR="00D83A31" w:rsidRDefault="004D7461" w:rsidP="00991CA5">
            <w:pPr>
              <w:pStyle w:val="a"/>
              <w:numPr>
                <w:ilvl w:val="3"/>
                <w:numId w:val="24"/>
              </w:numPr>
            </w:pPr>
            <w:r>
              <w:t xml:space="preserve">No testing or enforcement introduced in 3GPP spec for this option </w:t>
            </w:r>
          </w:p>
          <w:p w14:paraId="128E7133" w14:textId="77777777" w:rsidR="00D83A31" w:rsidRDefault="004D7461" w:rsidP="00991CA5">
            <w:pPr>
              <w:pStyle w:val="a"/>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a"/>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a"/>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a"/>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a"/>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a"/>
              <w:numPr>
                <w:ilvl w:val="1"/>
                <w:numId w:val="24"/>
              </w:numPr>
            </w:pPr>
            <w:r>
              <w:t>On UE side sensing beam selection for a UL transmission beam</w:t>
            </w:r>
          </w:p>
          <w:p w14:paraId="128E7139" w14:textId="77777777" w:rsidR="00D83A31" w:rsidRDefault="004D7461" w:rsidP="00991CA5">
            <w:pPr>
              <w:pStyle w:val="a"/>
              <w:numPr>
                <w:ilvl w:val="2"/>
                <w:numId w:val="24"/>
              </w:numPr>
            </w:pPr>
            <w:r>
              <w:t>Beam correspondence is assumed at UE</w:t>
            </w:r>
          </w:p>
          <w:p w14:paraId="128E713A" w14:textId="77777777" w:rsidR="00D83A31" w:rsidRDefault="004D7461" w:rsidP="00991CA5">
            <w:pPr>
              <w:pStyle w:val="a"/>
              <w:numPr>
                <w:ilvl w:val="3"/>
                <w:numId w:val="24"/>
              </w:numPr>
            </w:pPr>
            <w:r>
              <w:t>FFS: What if beam correspondence is not supported at UE.</w:t>
            </w:r>
          </w:p>
          <w:p w14:paraId="128E713B" w14:textId="77777777" w:rsidR="00D83A31" w:rsidRDefault="004D7461" w:rsidP="00991CA5">
            <w:pPr>
              <w:pStyle w:val="a"/>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a"/>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a"/>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a"/>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a"/>
              <w:numPr>
                <w:ilvl w:val="4"/>
                <w:numId w:val="24"/>
              </w:numPr>
            </w:pPr>
            <w:r>
              <w:t>Option 0: Not supported</w:t>
            </w:r>
          </w:p>
          <w:p w14:paraId="128E7140" w14:textId="77777777" w:rsidR="00D83A31" w:rsidRDefault="004D7461" w:rsidP="00991CA5">
            <w:pPr>
              <w:pStyle w:val="a"/>
              <w:numPr>
                <w:ilvl w:val="4"/>
                <w:numId w:val="24"/>
              </w:numPr>
            </w:pPr>
            <w:r>
              <w:t xml:space="preserve">Option 1: UE implementation. </w:t>
            </w:r>
          </w:p>
          <w:p w14:paraId="128E7141" w14:textId="77777777" w:rsidR="00D83A31" w:rsidRDefault="004D7461" w:rsidP="00991CA5">
            <w:pPr>
              <w:pStyle w:val="a"/>
              <w:numPr>
                <w:ilvl w:val="5"/>
                <w:numId w:val="24"/>
              </w:numPr>
            </w:pPr>
            <w:r>
              <w:t xml:space="preserve">No testing or enforcement introduced in 3GPP spec for this option </w:t>
            </w:r>
          </w:p>
          <w:p w14:paraId="128E7142" w14:textId="77777777" w:rsidR="00D83A31" w:rsidRDefault="004D7461" w:rsidP="00991CA5">
            <w:pPr>
              <w:pStyle w:val="a"/>
              <w:numPr>
                <w:ilvl w:val="4"/>
                <w:numId w:val="24"/>
              </w:numPr>
            </w:pPr>
            <w:r>
              <w:t xml:space="preserve">Option 2: gNB indication. </w:t>
            </w:r>
          </w:p>
          <w:p w14:paraId="128E7143" w14:textId="77777777" w:rsidR="00D83A31" w:rsidRDefault="004D7461" w:rsidP="00991CA5">
            <w:pPr>
              <w:pStyle w:val="a"/>
              <w:numPr>
                <w:ilvl w:val="5"/>
                <w:numId w:val="24"/>
              </w:numPr>
            </w:pPr>
            <w:r>
              <w:lastRenderedPageBreak/>
              <w:t>FFS details.</w:t>
            </w:r>
          </w:p>
          <w:p w14:paraId="128E7144" w14:textId="77777777" w:rsidR="00D83A31" w:rsidRDefault="004D7461" w:rsidP="00991CA5">
            <w:pPr>
              <w:pStyle w:val="a"/>
              <w:numPr>
                <w:ilvl w:val="1"/>
                <w:numId w:val="24"/>
              </w:numPr>
            </w:pPr>
            <w:r>
              <w:t>FFS: How and if to support multiple sensing beams to be used for a transmission beam under QCL/TCI framework</w:t>
            </w:r>
          </w:p>
          <w:p w14:paraId="128E7145" w14:textId="77777777" w:rsidR="00D83A31" w:rsidRDefault="004D7461" w:rsidP="00991CA5">
            <w:pPr>
              <w:pStyle w:val="a"/>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a"/>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a"/>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a"/>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a"/>
              <w:numPr>
                <w:ilvl w:val="0"/>
                <w:numId w:val="25"/>
              </w:numPr>
            </w:pPr>
            <w:r w:rsidRPr="009D1CE2">
              <w:t>FFS: The case when UE does not indicate a capability for beam correspondence</w:t>
            </w:r>
          </w:p>
          <w:p w14:paraId="48D3C806" w14:textId="77777777" w:rsidR="005359C1" w:rsidRPr="009D1CE2" w:rsidRDefault="005359C1" w:rsidP="00991CA5">
            <w:pPr>
              <w:pStyle w:val="a"/>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af7"/>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a"/>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w:t>
            </w:r>
            <w:proofErr w:type="spellStart"/>
            <w:r w:rsidRPr="00A52C5A">
              <w:t>gNB</w:t>
            </w:r>
            <w:proofErr w:type="spellEnd"/>
            <w:r w:rsidRPr="00A52C5A">
              <w:t xml:space="preserve">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af7"/>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a"/>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w:t>
            </w:r>
            <w:r>
              <w:lastRenderedPageBreak/>
              <w:t>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lastRenderedPageBreak/>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w:t>
            </w:r>
            <w:r>
              <w:lastRenderedPageBreak/>
              <w:t>valuated.</w:t>
            </w:r>
          </w:p>
        </w:tc>
      </w:tr>
      <w:tr w:rsidR="00EC01A2" w14:paraId="1DC0B6B2" w14:textId="77777777" w:rsidTr="00EC01A2">
        <w:trPr>
          <w:trHeight w:val="1728"/>
        </w:trPr>
        <w:tc>
          <w:tcPr>
            <w:tcW w:w="1908" w:type="dxa"/>
            <w:noWrap/>
            <w:hideMark/>
          </w:tcPr>
          <w:p w14:paraId="60C966B1" w14:textId="77777777" w:rsidR="00EC01A2" w:rsidRDefault="00EC01A2" w:rsidP="003D1981">
            <w:r>
              <w:lastRenderedPageBreak/>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lastRenderedPageBreak/>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lastRenderedPageBreak/>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a"/>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a"/>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af7"/>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CE2516" w:rsidRPr="003D1981" w14:paraId="36B9F4DC" w14:textId="77777777" w:rsidTr="002B52FF">
        <w:tc>
          <w:tcPr>
            <w:tcW w:w="1525" w:type="dxa"/>
          </w:tcPr>
          <w:p w14:paraId="75E3C9A3" w14:textId="4659D733" w:rsidR="00CE2516" w:rsidRDefault="00CE2516" w:rsidP="000C5043">
            <w:r>
              <w:t>Apple</w:t>
            </w:r>
          </w:p>
        </w:tc>
        <w:tc>
          <w:tcPr>
            <w:tcW w:w="7837" w:type="dxa"/>
          </w:tcPr>
          <w:p w14:paraId="22B8D23B" w14:textId="77777777" w:rsidR="00CE2516" w:rsidRDefault="00CE2516" w:rsidP="000C5043">
            <w:r>
              <w:t xml:space="preserve">No. Do not see why LBT mode is indicated in licensed band. </w:t>
            </w:r>
          </w:p>
          <w:p w14:paraId="3EBB690D" w14:textId="57DDABFB" w:rsidR="00CE2516" w:rsidRDefault="00CE2516" w:rsidP="000C5043">
            <w:proofErr w:type="gramStart"/>
            <w:r>
              <w:t>Also</w:t>
            </w:r>
            <w:proofErr w:type="gramEnd"/>
            <w:r>
              <w:t xml:space="preserve"> if LBT mode can be indicated in licensed band, do we limit it to FR2-2, or general FR2</w:t>
            </w:r>
            <w:r w:rsidR="003A5472">
              <w:t xml:space="preserve">. </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lastRenderedPageBreak/>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a"/>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6E1B8EFA" w14:textId="77777777" w:rsidR="003A5472" w:rsidRPr="003A5472" w:rsidRDefault="003A5472" w:rsidP="003A5472">
      <w:pPr>
        <w:rPr>
          <w:color w:val="FF0000"/>
        </w:rPr>
      </w:pPr>
      <w:r w:rsidRPr="003A5472">
        <w:rPr>
          <w:color w:val="FF0000"/>
        </w:rPr>
        <w:t xml:space="preserve">Alt 2: One additional bit in SIB1 indicate whether LBT is required for all UL transmissions. </w:t>
      </w:r>
    </w:p>
    <w:p w14:paraId="5CBCA37F" w14:textId="32490202" w:rsidR="00A11F8A" w:rsidRDefault="003A5472" w:rsidP="003A5472">
      <w:pPr>
        <w:pStyle w:val="a"/>
        <w:numPr>
          <w:ilvl w:val="0"/>
          <w:numId w:val="30"/>
        </w:numPr>
      </w:pPr>
      <w:r w:rsidRPr="003A5472">
        <w:rPr>
          <w:color w:val="FF0000"/>
        </w:rPr>
        <w:tab/>
        <w:t>Note: this is the ensure the system need Japan’s regulation on LBT. i.e., Type 3 is not allowed.</w:t>
      </w:r>
    </w:p>
    <w:p w14:paraId="588C6011" w14:textId="0BE97E1B" w:rsidR="006F42FD" w:rsidRPr="00E12F7A" w:rsidRDefault="006F42FD"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rPr>
            </w:pPr>
            <w:r>
              <w:t>Intel</w:t>
            </w:r>
          </w:p>
        </w:tc>
        <w:tc>
          <w:tcPr>
            <w:tcW w:w="7837" w:type="dxa"/>
          </w:tcPr>
          <w:p w14:paraId="735C9389" w14:textId="6ED64E9B" w:rsidR="00AE2A24" w:rsidRDefault="00AE2A24" w:rsidP="00AE2A24">
            <w:pPr>
              <w:rPr>
                <w:rFonts w:eastAsiaTheme="minorEastAsia"/>
              </w:rPr>
            </w:pPr>
            <w:r>
              <w:t>We agree with this proposal</w:t>
            </w:r>
          </w:p>
        </w:tc>
      </w:tr>
      <w:tr w:rsidR="003A5472" w14:paraId="27783E61" w14:textId="77777777" w:rsidTr="00681B7D">
        <w:tc>
          <w:tcPr>
            <w:tcW w:w="1525" w:type="dxa"/>
          </w:tcPr>
          <w:p w14:paraId="517FA3DE" w14:textId="3D995DFE" w:rsidR="003A5472" w:rsidRDefault="003A5472" w:rsidP="00AE2A24">
            <w:r>
              <w:t>Apple</w:t>
            </w:r>
          </w:p>
        </w:tc>
        <w:tc>
          <w:tcPr>
            <w:tcW w:w="7837" w:type="dxa"/>
          </w:tcPr>
          <w:p w14:paraId="3FB7A759" w14:textId="77777777" w:rsidR="003A5472" w:rsidRDefault="003A5472" w:rsidP="003A5472">
            <w:r w:rsidRPr="0095662E">
              <w:rPr>
                <w:color w:val="FF0000"/>
              </w:rPr>
              <w:t xml:space="preserve">Add alternative proposal 2 </w:t>
            </w:r>
            <w:r>
              <w:t xml:space="preserve">to capture 1 bit indication that all UL transmission require LBT.  </w:t>
            </w:r>
          </w:p>
          <w:p w14:paraId="28BE4C0C" w14:textId="039BE584" w:rsidR="003A5472" w:rsidRDefault="003A5472" w:rsidP="003A5472">
            <w:r>
              <w:t xml:space="preserve">Support Alt 2, which is on top of LBT and no LBT mode indication, to ensure system meet world-wide regulation. No type 3 is allowed for Msg 1 and msg A, also COT sharing when gap is less than a threshold.  </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af7"/>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rPr>
            </w:pPr>
            <w:r>
              <w:t>Intel</w:t>
            </w:r>
          </w:p>
        </w:tc>
        <w:tc>
          <w:tcPr>
            <w:tcW w:w="7837" w:type="dxa"/>
          </w:tcPr>
          <w:p w14:paraId="7AE1C591" w14:textId="4E868D64" w:rsidR="00C15CE5" w:rsidRDefault="00C15CE5" w:rsidP="00C15CE5">
            <w:pPr>
              <w:rPr>
                <w:rFonts w:eastAsiaTheme="minorEastAsia"/>
              </w:rPr>
            </w:pPr>
            <w:r>
              <w:t>We are OK with the proposal.</w:t>
            </w:r>
          </w:p>
        </w:tc>
      </w:tr>
      <w:tr w:rsidR="003A5472" w14:paraId="02F8A843" w14:textId="77777777" w:rsidTr="002B52FF">
        <w:tc>
          <w:tcPr>
            <w:tcW w:w="1525" w:type="dxa"/>
          </w:tcPr>
          <w:p w14:paraId="5B33FAE6" w14:textId="661B3BFC" w:rsidR="003A5472" w:rsidRDefault="003A5472" w:rsidP="00C15CE5">
            <w:r>
              <w:t>Apple</w:t>
            </w:r>
          </w:p>
        </w:tc>
        <w:tc>
          <w:tcPr>
            <w:tcW w:w="7837" w:type="dxa"/>
          </w:tcPr>
          <w:p w14:paraId="3DD929E8" w14:textId="77777777" w:rsidR="003A5472" w:rsidRDefault="003A5472" w:rsidP="003A5472">
            <w:r>
              <w:t xml:space="preserve">Would like to separate in two cases. </w:t>
            </w:r>
          </w:p>
          <w:p w14:paraId="4F2990AF" w14:textId="77777777" w:rsidR="003A5472" w:rsidRDefault="003A5472" w:rsidP="003A5472">
            <w:r>
              <w:t xml:space="preserve">Case 1: If SIB1 indicate LBT, agree the proposal. </w:t>
            </w:r>
          </w:p>
          <w:p w14:paraId="742D2530" w14:textId="08A05687" w:rsidR="003A5472" w:rsidRDefault="003A5472" w:rsidP="003A5472">
            <w:r>
              <w:t>Case 2: If SIB1 indicate No LBT, and UE specific RRC signaling indicate LBT for this gNB-UE link, then UE assume this LBT is for UE only.</w:t>
            </w:r>
          </w:p>
        </w:tc>
      </w:tr>
    </w:tbl>
    <w:p w14:paraId="3A63C6FD" w14:textId="5C5C9B58" w:rsidR="00CF4B35" w:rsidRPr="00427548" w:rsidRDefault="00CF4B35" w:rsidP="00F97E3F">
      <w:pPr>
        <w:rPr>
          <w:rFonts w:eastAsiaTheme="minorEastAsia"/>
        </w:rPr>
      </w:pPr>
    </w:p>
    <w:p w14:paraId="128E7533" w14:textId="77777777" w:rsidR="00D83A31" w:rsidRDefault="004D7461">
      <w:pPr>
        <w:pStyle w:val="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lastRenderedPageBreak/>
              <w:t>Agreement:</w:t>
            </w:r>
          </w:p>
          <w:p w14:paraId="128E7536" w14:textId="77777777" w:rsidR="00D83A31" w:rsidRDefault="004D7461" w:rsidP="00991CA5">
            <w:pPr>
              <w:pStyle w:val="a"/>
              <w:numPr>
                <w:ilvl w:val="0"/>
                <w:numId w:val="19"/>
              </w:numPr>
            </w:pPr>
            <w:r>
              <w:t>Contention Exempt Short Control Signaling rules can be applicable to the transmission of SS/PBCH.</w:t>
            </w:r>
          </w:p>
          <w:p w14:paraId="128E7537" w14:textId="77777777" w:rsidR="00D83A31" w:rsidRDefault="004D7461" w:rsidP="00991CA5">
            <w:pPr>
              <w:pStyle w:val="a"/>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a"/>
              <w:numPr>
                <w:ilvl w:val="1"/>
                <w:numId w:val="19"/>
              </w:numPr>
            </w:pPr>
            <w:r>
              <w:t>FFS: Whether this can be applied to all supported SCS or specific SCS.</w:t>
            </w:r>
          </w:p>
          <w:p w14:paraId="128E7539" w14:textId="77777777" w:rsidR="00D83A31" w:rsidRDefault="004D7461" w:rsidP="00991CA5">
            <w:pPr>
              <w:pStyle w:val="a"/>
              <w:numPr>
                <w:ilvl w:val="1"/>
                <w:numId w:val="19"/>
              </w:numPr>
            </w:pPr>
            <w:r>
              <w:t>FFS: Extension to discovery burst if it is defined including signals other than SS/PBCH</w:t>
            </w:r>
          </w:p>
          <w:p w14:paraId="128E753A" w14:textId="77777777" w:rsidR="00D83A31" w:rsidRDefault="004D7461" w:rsidP="00991CA5">
            <w:pPr>
              <w:pStyle w:val="a"/>
              <w:numPr>
                <w:ilvl w:val="1"/>
                <w:numId w:val="19"/>
              </w:numPr>
            </w:pPr>
            <w:r>
              <w:t>Note: Restriction for short control signalling transmissions apply (10% over any 100ms interval)</w:t>
            </w:r>
          </w:p>
          <w:p w14:paraId="128E753B" w14:textId="77777777" w:rsidR="00D83A31" w:rsidRDefault="004D7461" w:rsidP="00991CA5">
            <w:pPr>
              <w:pStyle w:val="a"/>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a"/>
              <w:numPr>
                <w:ilvl w:val="0"/>
                <w:numId w:val="27"/>
              </w:numPr>
            </w:pPr>
            <w:r>
              <w:t>RMSI PDCCH and RMSI PDSCH</w:t>
            </w:r>
          </w:p>
          <w:p w14:paraId="128E7540" w14:textId="77777777" w:rsidR="00D83A31" w:rsidRDefault="004D7461" w:rsidP="00991CA5">
            <w:pPr>
              <w:pStyle w:val="a"/>
              <w:numPr>
                <w:ilvl w:val="0"/>
                <w:numId w:val="27"/>
              </w:numPr>
            </w:pPr>
            <w:r>
              <w:t>Other broadcast PDSCH</w:t>
            </w:r>
          </w:p>
          <w:p w14:paraId="128E7541" w14:textId="77777777" w:rsidR="00D83A31" w:rsidRDefault="004D7461" w:rsidP="00991CA5">
            <w:pPr>
              <w:pStyle w:val="a"/>
              <w:numPr>
                <w:ilvl w:val="0"/>
                <w:numId w:val="27"/>
              </w:numPr>
            </w:pPr>
            <w:r>
              <w:t xml:space="preserve">PDSCH without user-plane data </w:t>
            </w:r>
          </w:p>
          <w:p w14:paraId="128E7542" w14:textId="77777777" w:rsidR="00D83A31" w:rsidRDefault="004D7461" w:rsidP="00991CA5">
            <w:pPr>
              <w:pStyle w:val="a"/>
              <w:numPr>
                <w:ilvl w:val="0"/>
                <w:numId w:val="27"/>
              </w:numPr>
            </w:pPr>
            <w:r>
              <w:t>PDCCH</w:t>
            </w:r>
          </w:p>
          <w:p w14:paraId="128E7543" w14:textId="77777777" w:rsidR="00D83A31" w:rsidRDefault="004D7461" w:rsidP="00991CA5">
            <w:pPr>
              <w:pStyle w:val="a"/>
              <w:numPr>
                <w:ilvl w:val="0"/>
                <w:numId w:val="27"/>
              </w:numPr>
            </w:pPr>
            <w:r>
              <w:t>CSI-RS</w:t>
            </w:r>
          </w:p>
          <w:p w14:paraId="128E7544" w14:textId="77777777" w:rsidR="00D83A31" w:rsidRDefault="004D7461" w:rsidP="00991CA5">
            <w:pPr>
              <w:pStyle w:val="a"/>
              <w:numPr>
                <w:ilvl w:val="0"/>
                <w:numId w:val="27"/>
              </w:numPr>
            </w:pPr>
            <w:r>
              <w:t>PRS</w:t>
            </w:r>
          </w:p>
          <w:p w14:paraId="128E7545" w14:textId="77777777" w:rsidR="00D83A31" w:rsidRDefault="004D7461" w:rsidP="00991CA5">
            <w:pPr>
              <w:pStyle w:val="a"/>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a"/>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a"/>
              <w:numPr>
                <w:ilvl w:val="1"/>
                <w:numId w:val="19"/>
              </w:numPr>
            </w:pPr>
            <w:r>
              <w:t>Note restriction for short control signalling transmissions apply (10% over any 100ms intervals)</w:t>
            </w:r>
          </w:p>
          <w:p w14:paraId="128E754F" w14:textId="77777777" w:rsidR="00D83A31" w:rsidRDefault="004D7461" w:rsidP="00991CA5">
            <w:pPr>
              <w:pStyle w:val="a"/>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a"/>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a"/>
              <w:numPr>
                <w:ilvl w:val="0"/>
                <w:numId w:val="19"/>
              </w:numPr>
            </w:pPr>
            <w:r>
              <w:lastRenderedPageBreak/>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lastRenderedPageBreak/>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a"/>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af7"/>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3A5472">
        <w:tc>
          <w:tcPr>
            <w:tcW w:w="1525" w:type="dxa"/>
          </w:tcPr>
          <w:p w14:paraId="20CAFC95" w14:textId="4C4DE4F4" w:rsidR="003D1D96" w:rsidRDefault="003D1D96" w:rsidP="003D1D96">
            <w:pPr>
              <w:rPr>
                <w:rFonts w:eastAsiaTheme="minorEastAsia"/>
              </w:rPr>
            </w:pPr>
            <w:r>
              <w:t>Intel</w:t>
            </w:r>
          </w:p>
        </w:tc>
        <w:tc>
          <w:tcPr>
            <w:tcW w:w="7837" w:type="dxa"/>
          </w:tcPr>
          <w:p w14:paraId="63553FFA" w14:textId="77777777" w:rsidR="003D1D96" w:rsidRDefault="003D1D96" w:rsidP="003D1D96">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r w:rsidR="003A5472" w14:paraId="54DF4F9E" w14:textId="77777777" w:rsidTr="006A252C">
        <w:tc>
          <w:tcPr>
            <w:tcW w:w="1525" w:type="dxa"/>
          </w:tcPr>
          <w:p w14:paraId="1C4C7CD6" w14:textId="543A8DE2" w:rsidR="003A5472" w:rsidRDefault="003A5472" w:rsidP="003D1D96">
            <w:r>
              <w:t>Apple</w:t>
            </w:r>
          </w:p>
        </w:tc>
        <w:tc>
          <w:tcPr>
            <w:tcW w:w="7837" w:type="dxa"/>
            <w:tcBorders>
              <w:bottom w:val="single" w:sz="4" w:space="0" w:color="auto"/>
            </w:tcBorders>
          </w:tcPr>
          <w:p w14:paraId="6561F18A" w14:textId="77777777" w:rsidR="003A5472" w:rsidRDefault="003A5472" w:rsidP="003A5472">
            <w:r>
              <w:t xml:space="preserve">The 10% rule is applied per UE. And only UE knows whether the 10% short control signaling is exceed or not (i.e., RACH is transmitted but not received by gNB). </w:t>
            </w:r>
          </w:p>
          <w:p w14:paraId="3D5DDC75" w14:textId="797C1E2F" w:rsidR="003A5472" w:rsidRDefault="003A5472" w:rsidP="003A5472">
            <w:r>
              <w:t xml:space="preserve">Do not really see how feasible it is for gNB to control the short control signaling overhead per UE.   Not sure whether this proposal assume proposal 2.7-2.  </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a"/>
        <w:numPr>
          <w:ilvl w:val="0"/>
          <w:numId w:val="19"/>
        </w:numPr>
      </w:pPr>
      <w:r>
        <w:t xml:space="preserve">This 10% </w:t>
      </w:r>
      <w:r w:rsidR="00C671B6">
        <w:t>allowance is separated from the 10% allowance for gNB</w:t>
      </w:r>
    </w:p>
    <w:p w14:paraId="2ABE4645" w14:textId="39017980" w:rsidR="00D654E1" w:rsidRDefault="00D654E1" w:rsidP="00991CA5">
      <w:pPr>
        <w:pStyle w:val="a"/>
        <w:numPr>
          <w:ilvl w:val="0"/>
          <w:numId w:val="19"/>
        </w:numPr>
      </w:pPr>
      <w:r>
        <w:t>TP 2.7-A</w:t>
      </w:r>
    </w:p>
    <w:p w14:paraId="1AF6F88F" w14:textId="6DC99870" w:rsidR="003B4450" w:rsidRDefault="003B4450" w:rsidP="00991CA5">
      <w:pPr>
        <w:pStyle w:val="a"/>
        <w:numPr>
          <w:ilvl w:val="0"/>
          <w:numId w:val="19"/>
        </w:numPr>
      </w:pPr>
      <w:r>
        <w:lastRenderedPageBreak/>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af7"/>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3A5472">
        <w:tc>
          <w:tcPr>
            <w:tcW w:w="1525" w:type="dxa"/>
          </w:tcPr>
          <w:p w14:paraId="3E2B1F59" w14:textId="47B7C1CD" w:rsidR="00ED28D2" w:rsidRDefault="00ED28D2" w:rsidP="00ED28D2">
            <w:pPr>
              <w:rPr>
                <w:rFonts w:eastAsiaTheme="minorEastAsia"/>
              </w:rPr>
            </w:pPr>
            <w:r>
              <w:t>Intel</w:t>
            </w:r>
          </w:p>
        </w:tc>
        <w:tc>
          <w:tcPr>
            <w:tcW w:w="7837" w:type="dxa"/>
          </w:tcPr>
          <w:p w14:paraId="6F92AC89" w14:textId="77777777" w:rsidR="00ED28D2" w:rsidRDefault="00ED28D2" w:rsidP="00ED28D2">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r w:rsidR="003A5472" w14:paraId="52051547" w14:textId="77777777" w:rsidTr="002B52FF">
        <w:tc>
          <w:tcPr>
            <w:tcW w:w="1525" w:type="dxa"/>
          </w:tcPr>
          <w:p w14:paraId="3B4EB138" w14:textId="05F85790" w:rsidR="003A5472" w:rsidRDefault="003A5472" w:rsidP="00ED28D2">
            <w:r>
              <w:t>Apple</w:t>
            </w:r>
          </w:p>
        </w:tc>
        <w:tc>
          <w:tcPr>
            <w:tcW w:w="7837" w:type="dxa"/>
            <w:tcBorders>
              <w:bottom w:val="single" w:sz="4" w:space="0" w:color="auto"/>
            </w:tcBorders>
          </w:tcPr>
          <w:p w14:paraId="54F18EEE" w14:textId="68E62265" w:rsidR="003A5472" w:rsidRDefault="003A5472" w:rsidP="00ED28D2">
            <w:r>
              <w:t>Do not agree. Should be per device per regulation definition.</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a"/>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a"/>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a"/>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a"/>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a"/>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af7"/>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3A5472">
        <w:tc>
          <w:tcPr>
            <w:tcW w:w="1525" w:type="dxa"/>
          </w:tcPr>
          <w:p w14:paraId="4D9FE690" w14:textId="152356A4" w:rsidR="00FE61E2" w:rsidRPr="00AD1F7B" w:rsidRDefault="00FE61E2" w:rsidP="00FE61E2">
            <w:pPr>
              <w:rPr>
                <w:rFonts w:eastAsiaTheme="minorEastAsia"/>
              </w:rPr>
            </w:pPr>
            <w:r>
              <w:t>Intel</w:t>
            </w:r>
          </w:p>
        </w:tc>
        <w:tc>
          <w:tcPr>
            <w:tcW w:w="7837" w:type="dxa"/>
          </w:tcPr>
          <w:p w14:paraId="07BF8236" w14:textId="77777777" w:rsidR="00FE61E2" w:rsidRDefault="00FE61E2" w:rsidP="00FE61E2">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A5D0944" w14:textId="77777777" w:rsidR="00FE61E2" w:rsidRDefault="00FE61E2" w:rsidP="00FE61E2"/>
        </w:tc>
      </w:tr>
      <w:tr w:rsidR="003A5472" w14:paraId="3D319B35" w14:textId="77777777" w:rsidTr="00D27DE1">
        <w:tc>
          <w:tcPr>
            <w:tcW w:w="1525" w:type="dxa"/>
          </w:tcPr>
          <w:p w14:paraId="5BF0D24D" w14:textId="14DDE1D8" w:rsidR="003A5472" w:rsidRDefault="003A5472" w:rsidP="00FE61E2">
            <w:r>
              <w:t>Apple</w:t>
            </w:r>
          </w:p>
        </w:tc>
        <w:tc>
          <w:tcPr>
            <w:tcW w:w="7837" w:type="dxa"/>
          </w:tcPr>
          <w:p w14:paraId="1F2DCC66" w14:textId="77777777" w:rsidR="003A5472" w:rsidRDefault="003A5472" w:rsidP="003A5472">
            <w:r>
              <w:t xml:space="preserve">Suggest modified proposal: </w:t>
            </w:r>
          </w:p>
          <w:p w14:paraId="3B072FFC" w14:textId="77777777" w:rsidR="003A5472" w:rsidRDefault="003A5472" w:rsidP="003A5472">
            <w:r>
              <w:t xml:space="preserve">Support the multiplexing </w:t>
            </w:r>
            <w:proofErr w:type="gramStart"/>
            <w:r>
              <w:t>as long as</w:t>
            </w:r>
            <w:proofErr w:type="gramEnd"/>
            <w:r>
              <w:t xml:space="preserve"> the r</w:t>
            </w:r>
            <w:r w:rsidRPr="008F05E4">
              <w:rPr>
                <w:szCs w:val="20"/>
              </w:rPr>
              <w:t xml:space="preserve">estriction for short control </w:t>
            </w:r>
            <w:proofErr w:type="spellStart"/>
            <w:r w:rsidRPr="008F05E4">
              <w:rPr>
                <w:szCs w:val="20"/>
              </w:rPr>
              <w:t>signalling</w:t>
            </w:r>
            <w:proofErr w:type="spellEnd"/>
            <w:r w:rsidRPr="008F05E4">
              <w:rPr>
                <w:szCs w:val="20"/>
              </w:rPr>
              <w:t xml:space="preserve"> transmissions apply (10% over any 100ms interval)</w:t>
            </w:r>
            <w:r>
              <w:rPr>
                <w:szCs w:val="20"/>
              </w:rPr>
              <w:t xml:space="preserve"> and the multiplexing is only allowed in </w:t>
            </w:r>
            <w:r w:rsidRPr="004B271E">
              <w:rPr>
                <w:strike/>
                <w:szCs w:val="20"/>
              </w:rPr>
              <w:t>slots</w:t>
            </w:r>
            <w:r>
              <w:rPr>
                <w:szCs w:val="20"/>
              </w:rPr>
              <w:t xml:space="preserve"> </w:t>
            </w:r>
            <w:r w:rsidRPr="004B271E">
              <w:rPr>
                <w:color w:val="FF0000"/>
                <w:szCs w:val="20"/>
              </w:rPr>
              <w:t>symbols</w:t>
            </w:r>
            <w:r>
              <w:rPr>
                <w:szCs w:val="20"/>
              </w:rPr>
              <w:t xml:space="preserve"> carry DRS (SSB, RMSI PDCCH/PDSCH, NZP-CSI-RS)</w:t>
            </w:r>
          </w:p>
          <w:p w14:paraId="40C0BD79" w14:textId="77777777" w:rsidR="003A5472" w:rsidRDefault="003A5472" w:rsidP="00FE61E2"/>
        </w:tc>
      </w:tr>
      <w:tr w:rsidR="00D27DE1" w14:paraId="647B676C" w14:textId="77777777" w:rsidTr="002B52FF">
        <w:tc>
          <w:tcPr>
            <w:tcW w:w="1525" w:type="dxa"/>
          </w:tcPr>
          <w:p w14:paraId="36B75C47" w14:textId="10874706" w:rsidR="00D27DE1" w:rsidRPr="00D27DE1" w:rsidRDefault="00D27DE1" w:rsidP="00FE61E2">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335BD15B" w14:textId="16FB48E6" w:rsidR="00D27DE1" w:rsidRPr="00D27DE1" w:rsidRDefault="00D27DE1" w:rsidP="003A5472">
            <w:pPr>
              <w:rPr>
                <w:rFonts w:eastAsia="Malgun Gothic"/>
                <w:lang w:eastAsia="ko-KR"/>
              </w:rPr>
            </w:pPr>
            <w:r>
              <w:rPr>
                <w:rFonts w:eastAsia="Malgun Gothic" w:hint="eastAsia"/>
                <w:lang w:eastAsia="ko-KR"/>
              </w:rPr>
              <w:t>W</w:t>
            </w:r>
            <w:r>
              <w:rPr>
                <w:rFonts w:eastAsia="Malgun Gothic"/>
                <w:lang w:eastAsia="ko-KR"/>
              </w:rPr>
              <w:t>e support Alt-1.</w:t>
            </w:r>
          </w:p>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af7"/>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3A5472">
        <w:tc>
          <w:tcPr>
            <w:tcW w:w="1525" w:type="dxa"/>
          </w:tcPr>
          <w:p w14:paraId="153DE810" w14:textId="20FF9DAC" w:rsidR="00F931D6" w:rsidRDefault="00F931D6" w:rsidP="00F931D6">
            <w:pPr>
              <w:rPr>
                <w:rFonts w:eastAsiaTheme="minorEastAsia"/>
              </w:rPr>
            </w:pPr>
            <w:r>
              <w:t xml:space="preserve">Intel </w:t>
            </w:r>
          </w:p>
        </w:tc>
        <w:tc>
          <w:tcPr>
            <w:tcW w:w="7837" w:type="dxa"/>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r w:rsidR="003A5472" w14:paraId="344195A5" w14:textId="77777777" w:rsidTr="00D27DE1">
        <w:tc>
          <w:tcPr>
            <w:tcW w:w="1525" w:type="dxa"/>
          </w:tcPr>
          <w:p w14:paraId="726958A0" w14:textId="0FEF8E19" w:rsidR="003A5472" w:rsidRDefault="003A5472" w:rsidP="00F931D6">
            <w:r>
              <w:t>Apple</w:t>
            </w:r>
          </w:p>
        </w:tc>
        <w:tc>
          <w:tcPr>
            <w:tcW w:w="7837" w:type="dxa"/>
          </w:tcPr>
          <w:p w14:paraId="4E79DDDF" w14:textId="6B471268" w:rsidR="003A5472" w:rsidRDefault="003A5472" w:rsidP="00F931D6">
            <w:r>
              <w:t>Agree</w:t>
            </w:r>
          </w:p>
        </w:tc>
      </w:tr>
      <w:tr w:rsidR="00D27DE1" w14:paraId="58915176" w14:textId="77777777" w:rsidTr="002B52FF">
        <w:tc>
          <w:tcPr>
            <w:tcW w:w="1525" w:type="dxa"/>
          </w:tcPr>
          <w:p w14:paraId="0F66F1B8" w14:textId="18D772CB" w:rsidR="00D27DE1" w:rsidRPr="00D27DE1" w:rsidRDefault="00D27DE1" w:rsidP="00F931D6">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7B53CAA0" w14:textId="78DF88F7" w:rsidR="00D27DE1" w:rsidRDefault="00D27DE1" w:rsidP="00F931D6">
            <w:r>
              <w:t>We are ok with the proposed conclusion.</w:t>
            </w:r>
          </w:p>
        </w:tc>
      </w:tr>
    </w:tbl>
    <w:p w14:paraId="25CA1BE2" w14:textId="77777777" w:rsidR="005F242A" w:rsidRDefault="005F242A" w:rsidP="003D1981"/>
    <w:p w14:paraId="636BE2A8" w14:textId="1881B17F" w:rsidR="00544013" w:rsidRPr="00544013" w:rsidRDefault="00F45DB5" w:rsidP="00544013">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w:t>
            </w:r>
            <w:r>
              <w:lastRenderedPageBreak/>
              <w:t>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lastRenderedPageBreak/>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r w:rsidR="003A5472" w14:paraId="377F6501" w14:textId="77777777" w:rsidTr="002B52FF">
        <w:tc>
          <w:tcPr>
            <w:tcW w:w="1525" w:type="dxa"/>
          </w:tcPr>
          <w:p w14:paraId="48BC657E" w14:textId="3555A01E" w:rsidR="003A5472" w:rsidRDefault="003A5472" w:rsidP="00963330">
            <w:r>
              <w:t>Apple</w:t>
            </w:r>
          </w:p>
        </w:tc>
        <w:tc>
          <w:tcPr>
            <w:tcW w:w="7837" w:type="dxa"/>
          </w:tcPr>
          <w:p w14:paraId="7E8E632B" w14:textId="5372D724" w:rsidR="003A5472" w:rsidRDefault="003A5472" w:rsidP="00963330">
            <w:r>
              <w:t>Agree</w:t>
            </w:r>
          </w:p>
        </w:tc>
      </w:tr>
      <w:tr w:rsidR="00D27DE1" w14:paraId="22D8EFB2" w14:textId="77777777" w:rsidTr="002B52FF">
        <w:tc>
          <w:tcPr>
            <w:tcW w:w="1525" w:type="dxa"/>
          </w:tcPr>
          <w:p w14:paraId="2DB90946" w14:textId="23400B0D" w:rsidR="00D27DE1" w:rsidRDefault="00D27DE1" w:rsidP="00D27DE1">
            <w:r>
              <w:rPr>
                <w:rFonts w:eastAsia="Malgun Gothic" w:hint="eastAsia"/>
                <w:lang w:eastAsia="ko-KR"/>
              </w:rPr>
              <w:t>W</w:t>
            </w:r>
            <w:r>
              <w:rPr>
                <w:rFonts w:eastAsia="Malgun Gothic"/>
                <w:lang w:eastAsia="ko-KR"/>
              </w:rPr>
              <w:t>ILUS</w:t>
            </w:r>
          </w:p>
        </w:tc>
        <w:tc>
          <w:tcPr>
            <w:tcW w:w="7837" w:type="dxa"/>
          </w:tcPr>
          <w:p w14:paraId="2EA59F31" w14:textId="6AF4B215" w:rsidR="00D27DE1" w:rsidRDefault="00D27DE1" w:rsidP="00D27DE1">
            <w:r>
              <w:t>We are ok with the proposed conclusion.</w:t>
            </w:r>
          </w:p>
        </w:tc>
      </w:tr>
      <w:tr w:rsidR="000B2508" w14:paraId="25B0CEFE" w14:textId="77777777" w:rsidTr="002B52FF">
        <w:tc>
          <w:tcPr>
            <w:tcW w:w="1525" w:type="dxa"/>
          </w:tcPr>
          <w:p w14:paraId="17624E62" w14:textId="1B6FAA2B" w:rsidR="000B2508" w:rsidRPr="000B2508" w:rsidRDefault="000B2508" w:rsidP="00D27DE1">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3165B3D5" w14:textId="0E55CF70" w:rsidR="000B2508" w:rsidRPr="000B2508" w:rsidRDefault="000B2508" w:rsidP="00D27DE1">
            <w:pPr>
              <w:rPr>
                <w:rFonts w:eastAsia="新細明體" w:hint="eastAsia"/>
                <w:lang w:eastAsia="zh-TW"/>
              </w:rPr>
            </w:pPr>
            <w:r>
              <w:rPr>
                <w:rFonts w:eastAsia="新細明體" w:hint="eastAsia"/>
                <w:lang w:eastAsia="zh-TW"/>
              </w:rPr>
              <w:t>W</w:t>
            </w:r>
            <w:r>
              <w:rPr>
                <w:rFonts w:eastAsia="新細明體"/>
                <w:lang w:eastAsia="zh-TW"/>
              </w:rPr>
              <w:t>e are ok with the proposed conclusion.</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af7"/>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lastRenderedPageBreak/>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a"/>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a"/>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rPr>
            </w:pPr>
            <w:r>
              <w:t>Intel</w:t>
            </w:r>
          </w:p>
        </w:tc>
        <w:tc>
          <w:tcPr>
            <w:tcW w:w="7837" w:type="dxa"/>
          </w:tcPr>
          <w:p w14:paraId="13288510" w14:textId="36978F97" w:rsidR="00662139" w:rsidRDefault="00662139" w:rsidP="00662139">
            <w:pPr>
              <w:rPr>
                <w:rFonts w:eastAsiaTheme="minorEastAsia"/>
              </w:rPr>
            </w:pPr>
            <w:r>
              <w:t>We are OK with the proposal</w:t>
            </w:r>
          </w:p>
        </w:tc>
      </w:tr>
      <w:tr w:rsidR="003A5472" w14:paraId="0504C71F" w14:textId="77777777" w:rsidTr="002B52FF">
        <w:tc>
          <w:tcPr>
            <w:tcW w:w="1525" w:type="dxa"/>
          </w:tcPr>
          <w:p w14:paraId="74C7AB42" w14:textId="235F5901" w:rsidR="003A5472" w:rsidRDefault="003A5472" w:rsidP="00662139">
            <w:r>
              <w:t>Apple</w:t>
            </w:r>
          </w:p>
        </w:tc>
        <w:tc>
          <w:tcPr>
            <w:tcW w:w="7837" w:type="dxa"/>
          </w:tcPr>
          <w:p w14:paraId="2B01F445" w14:textId="168EDCDE" w:rsidR="003A5472" w:rsidRDefault="003A5472" w:rsidP="00662139">
            <w:r>
              <w:t>agree</w:t>
            </w:r>
          </w:p>
        </w:tc>
      </w:tr>
      <w:tr w:rsidR="00D27DE1" w14:paraId="0D9B76E8" w14:textId="77777777" w:rsidTr="002B52FF">
        <w:tc>
          <w:tcPr>
            <w:tcW w:w="1525" w:type="dxa"/>
          </w:tcPr>
          <w:p w14:paraId="1AA26389" w14:textId="2353140B"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12C40" w14:textId="7CC52BC1"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e agree the proposal.</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w:t>
      </w:r>
      <w:r w:rsidRPr="005C32B2">
        <w:lastRenderedPageBreak/>
        <w:t>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lastRenderedPageBreak/>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a SFN field in the DCI format 1_0, if applicable, are same as corresponding LSBs </w:t>
      </w:r>
      <w:r w:rsidRPr="004C1D83">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a"/>
        <w:numPr>
          <w:ilvl w:val="0"/>
          <w:numId w:val="35"/>
        </w:numPr>
      </w:pPr>
      <w:r w:rsidRPr="00153C71">
        <w:t>Note: This option requires 2 bis in fallback DCI</w:t>
      </w:r>
    </w:p>
    <w:p w14:paraId="5E97F56A" w14:textId="100A569B" w:rsidR="00E44446" w:rsidRDefault="00692B96" w:rsidP="00991CA5">
      <w:pPr>
        <w:pStyle w:val="a"/>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rPr>
            </w:pPr>
            <w:r>
              <w:t>Intel</w:t>
            </w:r>
          </w:p>
        </w:tc>
        <w:tc>
          <w:tcPr>
            <w:tcW w:w="7837" w:type="dxa"/>
          </w:tcPr>
          <w:p w14:paraId="15D220AF" w14:textId="5DBED452" w:rsidR="0051353A" w:rsidRDefault="0051353A" w:rsidP="0051353A">
            <w:pPr>
              <w:rPr>
                <w:rFonts w:eastAsiaTheme="minorEastAsia"/>
              </w:rPr>
            </w:pPr>
            <w:r>
              <w:t>We are OK with the proposal.</w:t>
            </w:r>
          </w:p>
        </w:tc>
      </w:tr>
      <w:tr w:rsidR="003A5472" w14:paraId="2A110915" w14:textId="77777777" w:rsidTr="002B52FF">
        <w:tc>
          <w:tcPr>
            <w:tcW w:w="1525" w:type="dxa"/>
          </w:tcPr>
          <w:p w14:paraId="38164805" w14:textId="46FF880B" w:rsidR="003A5472" w:rsidRDefault="003A5472" w:rsidP="0051353A">
            <w:r>
              <w:t>Apple</w:t>
            </w:r>
          </w:p>
        </w:tc>
        <w:tc>
          <w:tcPr>
            <w:tcW w:w="7837" w:type="dxa"/>
          </w:tcPr>
          <w:p w14:paraId="10E30C22" w14:textId="77777777" w:rsidR="003A5472" w:rsidRDefault="003A5472" w:rsidP="003A5472">
            <w:r>
              <w:t xml:space="preserve">Prefer 1 bit. </w:t>
            </w:r>
          </w:p>
          <w:p w14:paraId="5412ECDB" w14:textId="69B4710A" w:rsidR="003A5472" w:rsidRDefault="003A5472" w:rsidP="003A5472">
            <w:r>
              <w:t>This is similar to NR-U, where non-</w:t>
            </w:r>
            <w:proofErr w:type="gramStart"/>
            <w:r>
              <w:t>fall back</w:t>
            </w:r>
            <w:proofErr w:type="gramEnd"/>
            <w:r>
              <w:t xml:space="preserve"> DCI can configure up to 6 bits fo</w:t>
            </w:r>
            <w:r>
              <w:lastRenderedPageBreak/>
              <w:t xml:space="preserve">r this field. And </w:t>
            </w:r>
            <w:proofErr w:type="spellStart"/>
            <w:r>
              <w:t>fall-back</w:t>
            </w:r>
            <w:proofErr w:type="spellEnd"/>
            <w:r>
              <w:t xml:space="preserve"> DCI only has 2 bits. </w:t>
            </w:r>
          </w:p>
          <w:p w14:paraId="49D5CC72" w14:textId="77777777" w:rsidR="003A5472" w:rsidRDefault="003A5472" w:rsidP="0051353A"/>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af7"/>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lastRenderedPageBreak/>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lastRenderedPageBreak/>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a"/>
      </w:pPr>
      <w:r w:rsidRPr="00E56D26">
        <w:t xml:space="preserve">Support: Samsung, Apple, </w:t>
      </w:r>
      <w:r w:rsidRPr="00A124D3">
        <w:rPr>
          <w:strike/>
        </w:rPr>
        <w:t>Intel,</w:t>
      </w:r>
      <w:r w:rsidRPr="00E56D26">
        <w:t xml:space="preserve"> NEC, LGE, Lenovo, Nokia, DCM,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a"/>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a"/>
      </w:pPr>
      <w:r>
        <w:t>Further support beam specific</w:t>
      </w:r>
      <w:r w:rsidR="00E56D26" w:rsidRPr="00E56D26">
        <w:t xml:space="preserve"> SFI</w:t>
      </w:r>
    </w:p>
    <w:p w14:paraId="2F8F5D8D" w14:textId="77777777" w:rsidR="00E56D26" w:rsidRPr="00E56D26" w:rsidRDefault="00E56D26" w:rsidP="00991CA5">
      <w:pPr>
        <w:pStyle w:val="a"/>
        <w:numPr>
          <w:ilvl w:val="1"/>
          <w:numId w:val="32"/>
        </w:numPr>
      </w:pPr>
      <w:r w:rsidRPr="00E56D26">
        <w:t>Support: Sony, Qualcomm, Lenovo, Motorola Mobility</w:t>
      </w:r>
    </w:p>
    <w:p w14:paraId="2A04BE85" w14:textId="77777777" w:rsidR="00E56D26" w:rsidRPr="00E56D26" w:rsidRDefault="00E56D26" w:rsidP="00991CA5">
      <w:pPr>
        <w:pStyle w:val="a"/>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a"/>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a"/>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a"/>
        <w:numPr>
          <w:ilvl w:val="1"/>
          <w:numId w:val="32"/>
        </w:numPr>
      </w:pPr>
      <w:r w:rsidRPr="00E56D26">
        <w:t>Not support:</w:t>
      </w:r>
    </w:p>
    <w:p w14:paraId="6D07ACCC" w14:textId="15A4337F" w:rsidR="00434E62" w:rsidRDefault="00434E62" w:rsidP="003D1981">
      <w:pPr>
        <w:pStyle w:val="a"/>
      </w:pPr>
      <w:r>
        <w:t>Further support beam specific PDCCH monitoring</w:t>
      </w:r>
    </w:p>
    <w:p w14:paraId="70061272" w14:textId="01383F1E" w:rsidR="00434E62" w:rsidRPr="00E56D26" w:rsidRDefault="00434E62" w:rsidP="00991CA5">
      <w:pPr>
        <w:pStyle w:val="a"/>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a"/>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a"/>
        <w:numPr>
          <w:ilvl w:val="1"/>
          <w:numId w:val="32"/>
        </w:numPr>
      </w:pPr>
      <w:r w:rsidRPr="00C65FB9">
        <w:t>Nokia</w:t>
      </w:r>
    </w:p>
    <w:p w14:paraId="41F6E008" w14:textId="77777777" w:rsidR="00C65FB9" w:rsidRPr="00C65FB9" w:rsidRDefault="00C65FB9" w:rsidP="003D1981">
      <w:pPr>
        <w:pStyle w:val="a"/>
      </w:pPr>
      <w:r w:rsidRPr="00C65FB9">
        <w:t xml:space="preserve">Alt 2: Introduced one or more TCI field in DCI 2_0 </w:t>
      </w:r>
    </w:p>
    <w:p w14:paraId="36FD6D45" w14:textId="77777777" w:rsidR="00C65FB9" w:rsidRPr="00C65FB9" w:rsidRDefault="00C65FB9" w:rsidP="00991CA5">
      <w:pPr>
        <w:pStyle w:val="a"/>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a"/>
      </w:pPr>
      <w:r w:rsidRPr="00C65FB9">
        <w:t>Alt 3:Beam Availability indicator</w:t>
      </w:r>
    </w:p>
    <w:p w14:paraId="7D85D712" w14:textId="77777777" w:rsidR="00C65FB9" w:rsidRPr="00C65FB9" w:rsidRDefault="00C65FB9" w:rsidP="00991CA5">
      <w:pPr>
        <w:pStyle w:val="a"/>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a"/>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rPr>
            </w:pP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a"/>
      </w:pPr>
      <w:r w:rsidRPr="00AA4D9B">
        <w:lastRenderedPageBreak/>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a"/>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a"/>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af7"/>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r w:rsidR="003A5472" w14:paraId="1E9A5976" w14:textId="77777777" w:rsidTr="002B52FF">
        <w:tc>
          <w:tcPr>
            <w:tcW w:w="1525" w:type="dxa"/>
          </w:tcPr>
          <w:p w14:paraId="46E35DD9" w14:textId="78F6F3A0" w:rsidR="003A5472" w:rsidRDefault="003A5472" w:rsidP="002A0589">
            <w:r>
              <w:t>Apple</w:t>
            </w:r>
          </w:p>
        </w:tc>
        <w:tc>
          <w:tcPr>
            <w:tcW w:w="7837" w:type="dxa"/>
          </w:tcPr>
          <w:p w14:paraId="1B942D4B" w14:textId="1001AB9A" w:rsidR="003A5472" w:rsidRDefault="003A5472" w:rsidP="002A0589">
            <w:r>
              <w:t xml:space="preserve">Support </w:t>
            </w:r>
          </w:p>
        </w:tc>
      </w:tr>
      <w:tr w:rsidR="00D27DE1" w14:paraId="72681F54" w14:textId="77777777" w:rsidTr="002B52FF">
        <w:tc>
          <w:tcPr>
            <w:tcW w:w="1525" w:type="dxa"/>
          </w:tcPr>
          <w:p w14:paraId="16263785" w14:textId="47A92452" w:rsidR="00D27DE1" w:rsidRPr="00D27DE1" w:rsidRDefault="00D27DE1" w:rsidP="002A058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2CA2A3" w14:textId="38057909" w:rsidR="00D27DE1" w:rsidRDefault="00D27DE1" w:rsidP="002A0589">
            <w:r>
              <w:t>Support</w:t>
            </w:r>
          </w:p>
        </w:tc>
      </w:tr>
    </w:tbl>
    <w:p w14:paraId="34243069" w14:textId="77777777" w:rsidR="00AA4D9B" w:rsidRPr="00AA4D9B" w:rsidRDefault="00AA4D9B" w:rsidP="003D1981"/>
    <w:p w14:paraId="106FAE6B" w14:textId="7310283F" w:rsidR="007F4FCE" w:rsidRDefault="007F4FCE" w:rsidP="007F4FC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a"/>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a"/>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a"/>
              <w:numPr>
                <w:ilvl w:val="0"/>
                <w:numId w:val="19"/>
              </w:numPr>
            </w:pPr>
            <w:r>
              <w:t xml:space="preserve">On measDurationSymbols-r16 with ref-SCS-CP-r16=960KHz (if supported), extend </w:t>
            </w:r>
            <w:r>
              <w:lastRenderedPageBreak/>
              <w:t>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af7"/>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a"/>
              <w:numPr>
                <w:ilvl w:val="0"/>
                <w:numId w:val="31"/>
              </w:numPr>
            </w:pPr>
            <w:r>
              <w:t>A dynamic update mechanism for TCI-State in RMTC-Config is not further considered in Rel.17</w:t>
            </w:r>
          </w:p>
          <w:p w14:paraId="53AC223D" w14:textId="77777777" w:rsidR="00E556D4" w:rsidRDefault="00E556D4" w:rsidP="00991CA5">
            <w:pPr>
              <w:pStyle w:val="a"/>
              <w:numPr>
                <w:ilvl w:val="0"/>
                <w:numId w:val="31"/>
              </w:numPr>
            </w:pPr>
            <w:r>
              <w:t>The explicit TCI state is configured at least in RMTC-Config</w:t>
            </w:r>
          </w:p>
          <w:p w14:paraId="0DAA4E1D" w14:textId="77777777" w:rsidR="00E556D4" w:rsidRDefault="00E556D4" w:rsidP="00991CA5">
            <w:pPr>
              <w:pStyle w:val="a"/>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af7"/>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lastRenderedPageBreak/>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w:t>
            </w:r>
            <w:r>
              <w:lastRenderedPageBreak/>
              <w:t>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lastRenderedPageBreak/>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r w:rsidR="00D967A8" w14:paraId="4851B314" w14:textId="77777777" w:rsidTr="002B52FF">
        <w:tc>
          <w:tcPr>
            <w:tcW w:w="1525" w:type="dxa"/>
          </w:tcPr>
          <w:p w14:paraId="5F506554" w14:textId="7493CAD2" w:rsidR="00D967A8" w:rsidRDefault="00D967A8" w:rsidP="002620D0">
            <w:r>
              <w:t>Apple</w:t>
            </w:r>
          </w:p>
        </w:tc>
        <w:tc>
          <w:tcPr>
            <w:tcW w:w="7837" w:type="dxa"/>
          </w:tcPr>
          <w:p w14:paraId="2A4C331D" w14:textId="6B9C840A" w:rsidR="00D967A8" w:rsidRDefault="00D967A8" w:rsidP="002620D0">
            <w:r>
              <w:t>OK</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a"/>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a"/>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a"/>
        <w:numPr>
          <w:ilvl w:val="0"/>
          <w:numId w:val="33"/>
        </w:numPr>
      </w:pPr>
      <w:r w:rsidRPr="00215CE1">
        <w:rPr>
          <w:rFonts w:hint="eastAsia"/>
        </w:rPr>
        <w:t>The explicit TCI state is configured at least in RMTC-Config</w:t>
      </w:r>
    </w:p>
    <w:p w14:paraId="522E7605" w14:textId="77777777" w:rsidR="00215CE1" w:rsidRDefault="00215CE1" w:rsidP="00991CA5">
      <w:pPr>
        <w:pStyle w:val="a"/>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r w:rsidR="003A5472" w14:paraId="2CEEFE85" w14:textId="77777777" w:rsidTr="002B52FF">
        <w:tc>
          <w:tcPr>
            <w:tcW w:w="1525" w:type="dxa"/>
          </w:tcPr>
          <w:p w14:paraId="7A4D8325" w14:textId="34004633" w:rsidR="003A5472" w:rsidRDefault="00D967A8" w:rsidP="00FC5E90">
            <w:r>
              <w:t>Apple</w:t>
            </w:r>
          </w:p>
        </w:tc>
        <w:tc>
          <w:tcPr>
            <w:tcW w:w="7837" w:type="dxa"/>
          </w:tcPr>
          <w:p w14:paraId="0991E0AE" w14:textId="77777777" w:rsidR="00D967A8" w:rsidRDefault="00D967A8" w:rsidP="00D967A8">
            <w:r>
              <w:t xml:space="preserve">Support the proposal. </w:t>
            </w:r>
          </w:p>
          <w:p w14:paraId="0AAD1443" w14:textId="3C6537FF" w:rsidR="003A5472" w:rsidRDefault="00D967A8" w:rsidP="00D967A8">
            <w:r>
              <w:t>We see value to explicit configure omni/quasi-omni sensing for L3-RSSI. One main function of L3-RSSI is channel selection, therefore enable omni sensing should be helpful. Otherwise, only omni sensing is used.</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a"/>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a"/>
        <w:numPr>
          <w:ilvl w:val="1"/>
          <w:numId w:val="33"/>
        </w:numPr>
      </w:pPr>
      <w:r>
        <w:lastRenderedPageBreak/>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a"/>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a"/>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bl>
    <w:p w14:paraId="2CB05811" w14:textId="77777777" w:rsidR="00B14819" w:rsidRDefault="00B14819" w:rsidP="003D1981"/>
    <w:p w14:paraId="3DCFC7A7" w14:textId="56F4FCEC" w:rsidR="007F4FCE" w:rsidRDefault="007F4FCE" w:rsidP="007F4FC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lastRenderedPageBreak/>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a"/>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a"/>
        <w:numPr>
          <w:ilvl w:val="1"/>
          <w:numId w:val="19"/>
        </w:numPr>
        <w:rPr>
          <w:lang w:eastAsia="en-US"/>
        </w:rPr>
      </w:pPr>
      <w:r>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a"/>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a"/>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af7"/>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Alt-1/Alt2, what if the UE does not support type 2 and I only supports type 1. In this if the RRC indicates that LBT should be used, will the UE use type 1 or type 3 LBT?</w:t>
            </w:r>
          </w:p>
          <w:p w14:paraId="23ABD234" w14:textId="77777777" w:rsidR="00BD3275" w:rsidRDefault="00BD3275" w:rsidP="00BD3275"/>
        </w:tc>
      </w:tr>
      <w:tr w:rsidR="00D967A8" w14:paraId="53FA8344" w14:textId="77777777" w:rsidTr="002B52FF">
        <w:tc>
          <w:tcPr>
            <w:tcW w:w="1525" w:type="dxa"/>
          </w:tcPr>
          <w:p w14:paraId="6820E773" w14:textId="76D8989F" w:rsidR="00D967A8" w:rsidRDefault="00D967A8" w:rsidP="00BD3275">
            <w:r>
              <w:t>Apple</w:t>
            </w:r>
          </w:p>
        </w:tc>
        <w:tc>
          <w:tcPr>
            <w:tcW w:w="7837" w:type="dxa"/>
          </w:tcPr>
          <w:p w14:paraId="1D7609CE" w14:textId="77777777" w:rsidR="00D967A8" w:rsidRDefault="00D967A8" w:rsidP="00BD3275">
            <w:r>
              <w:t>Alt 2 saves 1 bit in SIB1 signaling, with the same effect.</w:t>
            </w:r>
          </w:p>
          <w:p w14:paraId="515C10BA" w14:textId="4AFB1589" w:rsidR="00D967A8" w:rsidRDefault="00D967A8" w:rsidP="00BD3275"/>
        </w:tc>
      </w:tr>
      <w:tr w:rsidR="00D27DE1" w14:paraId="09439DD9" w14:textId="77777777" w:rsidTr="002B52FF">
        <w:tc>
          <w:tcPr>
            <w:tcW w:w="1525" w:type="dxa"/>
          </w:tcPr>
          <w:p w14:paraId="1C9A828E" w14:textId="3260F2F1"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8F447F" w14:textId="73E10267"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e support Alt.1.</w:t>
            </w:r>
          </w:p>
        </w:tc>
      </w:tr>
    </w:tbl>
    <w:p w14:paraId="5AA13300" w14:textId="77777777" w:rsidR="007F4FCE" w:rsidRDefault="007F4FCE" w:rsidP="003D1981"/>
    <w:p w14:paraId="0CE38403" w14:textId="6E16EFD1" w:rsidR="0071739C" w:rsidRDefault="007C667D" w:rsidP="0071739C">
      <w:pPr>
        <w:pStyle w:val="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af7"/>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lastRenderedPageBreak/>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lastRenderedPageBreak/>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a"/>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a"/>
        <w:numPr>
          <w:ilvl w:val="1"/>
          <w:numId w:val="20"/>
        </w:numPr>
      </w:pPr>
      <w:r>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a"/>
        <w:numPr>
          <w:ilvl w:val="1"/>
          <w:numId w:val="20"/>
        </w:numPr>
      </w:pPr>
      <w:r>
        <w:t>TP 2.13-A</w:t>
      </w:r>
    </w:p>
    <w:p w14:paraId="4DA5B228" w14:textId="19706A47" w:rsidR="00D93AB7" w:rsidRDefault="00D93AB7" w:rsidP="00D93AB7">
      <w:pPr>
        <w:pStyle w:val="a"/>
        <w:numPr>
          <w:ilvl w:val="1"/>
          <w:numId w:val="20"/>
        </w:numPr>
        <w:tabs>
          <w:tab w:val="left" w:pos="720"/>
        </w:tabs>
      </w:pPr>
      <w:r>
        <w:t>HW, FW, Nokia</w:t>
      </w:r>
    </w:p>
    <w:p w14:paraId="32F8C0AA" w14:textId="260E1F29" w:rsidR="00971B48" w:rsidRDefault="00971B48" w:rsidP="00991CA5">
      <w:pPr>
        <w:pStyle w:val="a"/>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a"/>
        <w:numPr>
          <w:ilvl w:val="1"/>
          <w:numId w:val="20"/>
        </w:numPr>
      </w:pPr>
      <w:r>
        <w:lastRenderedPageBreak/>
        <w:t>TP 2.13-B</w:t>
      </w:r>
    </w:p>
    <w:p w14:paraId="3326BB71" w14:textId="6FF1B8C9" w:rsidR="00D93AB7" w:rsidRDefault="00D93AB7" w:rsidP="00991CA5">
      <w:pPr>
        <w:pStyle w:val="a"/>
        <w:numPr>
          <w:ilvl w:val="1"/>
          <w:numId w:val="20"/>
        </w:numPr>
      </w:pPr>
      <w:r>
        <w:t xml:space="preserve">FW, ZTE, NEC, </w:t>
      </w:r>
      <w:proofErr w:type="spellStart"/>
      <w:r>
        <w:t>Qualcomm,Transsion</w:t>
      </w:r>
      <w:proofErr w:type="spellEnd"/>
      <w:r>
        <w:t>, LGE, OPPO</w:t>
      </w:r>
    </w:p>
    <w:p w14:paraId="30417DC6" w14:textId="77777777" w:rsidR="00021F92" w:rsidRDefault="00971B48" w:rsidP="00991CA5">
      <w:pPr>
        <w:pStyle w:val="a"/>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a"/>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a"/>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a"/>
        <w:numPr>
          <w:ilvl w:val="1"/>
          <w:numId w:val="20"/>
        </w:numPr>
      </w:pPr>
      <w:r>
        <w:t>FW</w:t>
      </w:r>
    </w:p>
    <w:p w14:paraId="215049FF" w14:textId="12BE37A3" w:rsidR="00971B48" w:rsidRDefault="00971B48" w:rsidP="00991CA5">
      <w:pPr>
        <w:pStyle w:val="a"/>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r w:rsidR="00D967A8" w14:paraId="1F4D60D3" w14:textId="77777777" w:rsidTr="002B52FF">
        <w:tc>
          <w:tcPr>
            <w:tcW w:w="1525" w:type="dxa"/>
          </w:tcPr>
          <w:p w14:paraId="55E80672" w14:textId="03FEFD2F" w:rsidR="00D967A8" w:rsidRDefault="00D967A8" w:rsidP="00D52A5C">
            <w:r>
              <w:t>Apple</w:t>
            </w:r>
          </w:p>
        </w:tc>
        <w:tc>
          <w:tcPr>
            <w:tcW w:w="7837" w:type="dxa"/>
          </w:tcPr>
          <w:p w14:paraId="6843AE4B" w14:textId="7670B7CA" w:rsidR="00D967A8" w:rsidRDefault="00D967A8" w:rsidP="00D967A8">
            <w:r>
              <w:t xml:space="preserve">In our understanding, Alt 3a aligns with current regulation specification. Also align with previous agreement that gap is counted as part of COT, and no LBT is needed after gap within COT. </w:t>
            </w:r>
          </w:p>
          <w:p w14:paraId="414C184F" w14:textId="77777777" w:rsidR="00D967A8" w:rsidRDefault="00D967A8" w:rsidP="00D52A5C"/>
        </w:tc>
      </w:tr>
      <w:tr w:rsidR="00D27DE1" w14:paraId="3E56BF54" w14:textId="77777777" w:rsidTr="002B52FF">
        <w:tc>
          <w:tcPr>
            <w:tcW w:w="1525" w:type="dxa"/>
          </w:tcPr>
          <w:p w14:paraId="15A937C6" w14:textId="24574EEB" w:rsidR="00D27DE1" w:rsidRPr="00D74AF9" w:rsidRDefault="00D74AF9" w:rsidP="00D52A5C">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7CD698B" w14:textId="3AE56C00" w:rsidR="00D27DE1" w:rsidRPr="00D74AF9" w:rsidRDefault="00D74AF9" w:rsidP="00D967A8">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D266B4" w14:paraId="5344E9FA" w14:textId="77777777" w:rsidTr="002B52FF">
        <w:tc>
          <w:tcPr>
            <w:tcW w:w="1525" w:type="dxa"/>
          </w:tcPr>
          <w:p w14:paraId="56684CDC" w14:textId="78A7C531" w:rsidR="00D266B4" w:rsidRPr="00D266B4" w:rsidRDefault="00D266B4" w:rsidP="00D52A5C">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7A596A03" w14:textId="172D20BE" w:rsidR="00D266B4" w:rsidRPr="00D266B4" w:rsidRDefault="00D266B4" w:rsidP="00D967A8">
            <w:pPr>
              <w:rPr>
                <w:rFonts w:eastAsia="新細明體" w:hint="eastAsia"/>
                <w:lang w:eastAsia="zh-TW"/>
              </w:rPr>
            </w:pPr>
            <w:r>
              <w:rPr>
                <w:rFonts w:eastAsia="新細明體" w:hint="eastAsia"/>
                <w:lang w:eastAsia="zh-TW"/>
              </w:rPr>
              <w:t>W</w:t>
            </w:r>
            <w:r>
              <w:rPr>
                <w:rFonts w:eastAsia="新細明體"/>
                <w:lang w:eastAsia="zh-TW"/>
              </w:rPr>
              <w:t>e support Alt 2. However, we think this issue should be discussed together with multi-beam COT in 2.3</w:t>
            </w:r>
          </w:p>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lastRenderedPageBreak/>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lastRenderedPageBreak/>
        <w:t xml:space="preserve">================================================================== </w:t>
      </w:r>
    </w:p>
    <w:p w14:paraId="28B56F53" w14:textId="77777777" w:rsidR="000F38B3" w:rsidRDefault="000F38B3" w:rsidP="003D1981"/>
    <w:p w14:paraId="7C728F0D" w14:textId="10C76ABE" w:rsidR="00AB4A57" w:rsidRDefault="00E819E8" w:rsidP="00AB4A57">
      <w:pPr>
        <w:pStyle w:val="2"/>
        <w:rPr>
          <w:rFonts w:ascii="Times New Roman" w:hAnsi="Times New Roman"/>
        </w:rPr>
      </w:pPr>
      <w:r>
        <w:rPr>
          <w:rFonts w:ascii="Times New Roman" w:hAnsi="Times New Roman"/>
        </w:rPr>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af7"/>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lastRenderedPageBreak/>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a"/>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a"/>
        <w:numPr>
          <w:ilvl w:val="0"/>
          <w:numId w:val="16"/>
        </w:numPr>
      </w:pPr>
      <w:r>
        <w:t xml:space="preserve">Yes: </w:t>
      </w:r>
    </w:p>
    <w:p w14:paraId="49641E8B" w14:textId="4C2B7C02" w:rsidR="007B30AE" w:rsidRDefault="007B30AE" w:rsidP="00991CA5">
      <w:pPr>
        <w:pStyle w:val="a"/>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r w:rsidR="00D967A8" w14:paraId="45B321ED" w14:textId="77777777" w:rsidTr="002B52FF">
        <w:tc>
          <w:tcPr>
            <w:tcW w:w="1525" w:type="dxa"/>
          </w:tcPr>
          <w:p w14:paraId="1335758A" w14:textId="3C841C24" w:rsidR="00D967A8" w:rsidRDefault="00D967A8" w:rsidP="00C36D36">
            <w:r>
              <w:t>Apple</w:t>
            </w:r>
          </w:p>
        </w:tc>
        <w:tc>
          <w:tcPr>
            <w:tcW w:w="7837" w:type="dxa"/>
          </w:tcPr>
          <w:p w14:paraId="04EAFB30" w14:textId="48243E15" w:rsidR="00D967A8" w:rsidRDefault="00D967A8" w:rsidP="00D967A8">
            <w:r>
              <w:t xml:space="preserve">Yes, for outside of Japan.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a"/>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a"/>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a"/>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t>Intel</w:t>
            </w:r>
          </w:p>
        </w:tc>
        <w:tc>
          <w:tcPr>
            <w:tcW w:w="7837" w:type="dxa"/>
          </w:tcPr>
          <w:p w14:paraId="58A8FF61" w14:textId="3B9D46E4" w:rsidR="00C14890" w:rsidRDefault="00C14890" w:rsidP="00C14890">
            <w:r>
              <w:t>Yes.</w:t>
            </w:r>
          </w:p>
        </w:tc>
      </w:tr>
      <w:tr w:rsidR="00D967A8" w14:paraId="6DD6E366" w14:textId="77777777" w:rsidTr="002B52FF">
        <w:tc>
          <w:tcPr>
            <w:tcW w:w="1525" w:type="dxa"/>
          </w:tcPr>
          <w:p w14:paraId="1092F367" w14:textId="51D1367B" w:rsidR="00D967A8" w:rsidRDefault="00D967A8" w:rsidP="00C14890">
            <w:r>
              <w:t>Apple</w:t>
            </w:r>
          </w:p>
        </w:tc>
        <w:tc>
          <w:tcPr>
            <w:tcW w:w="7837" w:type="dxa"/>
          </w:tcPr>
          <w:p w14:paraId="6223F641" w14:textId="77777777" w:rsidR="00D967A8" w:rsidRDefault="00D967A8" w:rsidP="00D967A8">
            <w:r>
              <w:t xml:space="preserve">No. </w:t>
            </w:r>
          </w:p>
          <w:p w14:paraId="7090609A" w14:textId="18AB1932" w:rsidR="00D967A8" w:rsidRDefault="00D967A8" w:rsidP="00D967A8">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D74AF9" w14:paraId="4C128FC9" w14:textId="77777777" w:rsidTr="002B52FF">
        <w:tc>
          <w:tcPr>
            <w:tcW w:w="1525" w:type="dxa"/>
          </w:tcPr>
          <w:p w14:paraId="567C9B12" w14:textId="33C897A6" w:rsidR="00D74AF9" w:rsidRPr="00D74AF9" w:rsidRDefault="00D74AF9" w:rsidP="00C14890">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555EA84" w14:textId="21CED437" w:rsidR="00D74AF9" w:rsidRPr="00D74AF9" w:rsidRDefault="00D74AF9" w:rsidP="00D967A8">
            <w:pPr>
              <w:rPr>
                <w:rFonts w:eastAsia="Malgun Gothic"/>
                <w:lang w:eastAsia="ko-KR"/>
              </w:rPr>
            </w:pPr>
            <w:r>
              <w:rPr>
                <w:rFonts w:eastAsia="Malgun Gothic" w:hint="eastAsia"/>
                <w:lang w:eastAsia="ko-KR"/>
              </w:rPr>
              <w:t>Y</w:t>
            </w:r>
            <w:r>
              <w:rPr>
                <w:rFonts w:eastAsia="Malgun Gothic"/>
                <w:lang w:eastAsia="ko-KR"/>
              </w:rPr>
              <w:t>es.</w:t>
            </w:r>
          </w:p>
        </w:tc>
      </w:tr>
    </w:tbl>
    <w:p w14:paraId="74D1CD74" w14:textId="75FE506B" w:rsidR="00DF3B04" w:rsidRPr="00D74AF9" w:rsidRDefault="00DF3B04" w:rsidP="003D1981">
      <w:pPr>
        <w:rPr>
          <w:rFonts w:eastAsia="Malgun Gothic"/>
          <w:lang w:eastAsia="ko-KR"/>
        </w:rPr>
      </w:pPr>
    </w:p>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lastRenderedPageBreak/>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a"/>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r w:rsidR="00D967A8" w14:paraId="79068D65" w14:textId="77777777" w:rsidTr="002B52FF">
        <w:tc>
          <w:tcPr>
            <w:tcW w:w="1525" w:type="dxa"/>
          </w:tcPr>
          <w:p w14:paraId="592BFEFB" w14:textId="33B48EDA" w:rsidR="00D967A8" w:rsidRDefault="00D967A8" w:rsidP="00C86082">
            <w:r>
              <w:t>Apple</w:t>
            </w:r>
          </w:p>
        </w:tc>
        <w:tc>
          <w:tcPr>
            <w:tcW w:w="7837" w:type="dxa"/>
          </w:tcPr>
          <w:p w14:paraId="24CC3E92" w14:textId="77777777" w:rsidR="00D967A8" w:rsidRDefault="00D967A8" w:rsidP="00C86082">
            <w:r>
              <w:t>If UE does not support type 1, it means UE does not support unlicensed UL operation.</w:t>
            </w:r>
          </w:p>
          <w:p w14:paraId="07E1B5C2" w14:textId="4858B6C0" w:rsidR="00D967A8" w:rsidRDefault="00D967A8" w:rsidP="00C86082">
            <w:r>
              <w:t xml:space="preserve">It can be DL only, on licensed band only.   </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a"/>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a"/>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t>Intel</w:t>
            </w:r>
          </w:p>
        </w:tc>
        <w:tc>
          <w:tcPr>
            <w:tcW w:w="7837" w:type="dxa"/>
          </w:tcPr>
          <w:p w14:paraId="6EFC93B1" w14:textId="5C6759BE" w:rsidR="000F3041" w:rsidRDefault="000F3041" w:rsidP="000F3041">
            <w:r>
              <w:t xml:space="preserve">No – The gNB should schedule an UL transmission with type 2 only when it knows that the UE </w:t>
            </w:r>
            <w:proofErr w:type="gramStart"/>
            <w:r>
              <w:t>is capable of performing</w:t>
            </w:r>
            <w:proofErr w:type="gramEnd"/>
            <w:r>
              <w:t xml:space="preserve"> that type of LBT.  </w:t>
            </w:r>
          </w:p>
        </w:tc>
      </w:tr>
      <w:tr w:rsidR="00D967A8" w14:paraId="5460521D" w14:textId="77777777" w:rsidTr="002B52FF">
        <w:tc>
          <w:tcPr>
            <w:tcW w:w="1525" w:type="dxa"/>
          </w:tcPr>
          <w:p w14:paraId="7B6AB4DE" w14:textId="0320DBFE" w:rsidR="00D967A8" w:rsidRDefault="00D967A8" w:rsidP="000F3041">
            <w:r>
              <w:t xml:space="preserve">Apple </w:t>
            </w:r>
          </w:p>
        </w:tc>
        <w:tc>
          <w:tcPr>
            <w:tcW w:w="7837" w:type="dxa"/>
          </w:tcPr>
          <w:p w14:paraId="47A9B3B7" w14:textId="1EDC9A63" w:rsidR="00D967A8" w:rsidRDefault="00D967A8" w:rsidP="000F3041">
            <w:r>
              <w:t>No</w:t>
            </w:r>
          </w:p>
        </w:tc>
      </w:tr>
      <w:tr w:rsidR="00D74AF9" w14:paraId="56402C69" w14:textId="77777777" w:rsidTr="002B52FF">
        <w:tc>
          <w:tcPr>
            <w:tcW w:w="1525" w:type="dxa"/>
          </w:tcPr>
          <w:p w14:paraId="3E20C3CA" w14:textId="22A274A5" w:rsidR="00D74AF9" w:rsidRPr="00D74AF9" w:rsidRDefault="00D74AF9" w:rsidP="000F3041">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03FE51" w14:textId="36D77C38" w:rsidR="00D74AF9" w:rsidRPr="00D74AF9" w:rsidRDefault="00D74AF9" w:rsidP="000F3041">
            <w:pPr>
              <w:rPr>
                <w:rFonts w:eastAsia="Malgun Gothic"/>
                <w:lang w:eastAsia="ko-KR"/>
              </w:rPr>
            </w:pPr>
            <w:r>
              <w:rPr>
                <w:rFonts w:eastAsia="Malgun Gothic" w:hint="eastAsia"/>
                <w:lang w:eastAsia="ko-KR"/>
              </w:rPr>
              <w:t>N</w:t>
            </w:r>
            <w:r>
              <w:rPr>
                <w:rFonts w:eastAsia="Malgun Gothic"/>
                <w:lang w:eastAsia="ko-KR"/>
              </w:rPr>
              <w:t>o</w:t>
            </w:r>
          </w:p>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a"/>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a"/>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a"/>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a"/>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a"/>
              <w:numPr>
                <w:ilvl w:val="2"/>
                <w:numId w:val="19"/>
              </w:numPr>
              <w:rPr>
                <w:rFonts w:eastAsia="Calibri"/>
              </w:rPr>
            </w:pPr>
            <w:r>
              <w:lastRenderedPageBreak/>
              <w:t>Option 1: Y=8 us (motivated by need to operate in all regions)</w:t>
            </w:r>
          </w:p>
          <w:p w14:paraId="4BA5020A" w14:textId="77777777" w:rsidR="00AB4A57" w:rsidRDefault="00AB4A57" w:rsidP="00991CA5">
            <w:pPr>
              <w:pStyle w:val="a"/>
              <w:numPr>
                <w:ilvl w:val="2"/>
                <w:numId w:val="19"/>
              </w:numPr>
              <w:rPr>
                <w:rFonts w:eastAsia="Calibri"/>
              </w:rPr>
            </w:pPr>
            <w:r>
              <w:t>Option 2: Y=a multiple number of OFDM symbols</w:t>
            </w:r>
          </w:p>
          <w:p w14:paraId="144C278F" w14:textId="77777777" w:rsidR="00AB4A57" w:rsidRDefault="00AB4A57" w:rsidP="00991CA5">
            <w:pPr>
              <w:pStyle w:val="a"/>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a"/>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a"/>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a"/>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af7"/>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lastRenderedPageBreak/>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2"/>
        <w:rPr>
          <w:rFonts w:ascii="Times New Roman" w:hAnsi="Times New Roman"/>
        </w:rPr>
      </w:pPr>
      <w:r>
        <w:rPr>
          <w:rFonts w:ascii="Times New Roman" w:hAnsi="Times New Roman"/>
        </w:rPr>
        <w:t>Editorial</w:t>
      </w:r>
    </w:p>
    <w:tbl>
      <w:tblPr>
        <w:tblStyle w:val="af7"/>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af7"/>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lastRenderedPageBreak/>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2"/>
      </w:pPr>
      <w:r>
        <w:t>Others</w:t>
      </w:r>
    </w:p>
    <w:p w14:paraId="77E58172" w14:textId="16A42314" w:rsidR="003E4E39" w:rsidRPr="003E4E39" w:rsidRDefault="003E4E39" w:rsidP="003D1981">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1"/>
        <w:tabs>
          <w:tab w:val="left" w:pos="9090"/>
        </w:tabs>
        <w:rPr>
          <w:rFonts w:ascii="Times New Roman" w:hAnsi="Times New Roman"/>
          <w:highlight w:val="cyan"/>
        </w:rPr>
      </w:pPr>
      <w:r w:rsidRPr="00565F40">
        <w:rPr>
          <w:rFonts w:ascii="Times New Roman" w:hAnsi="Times New Roman"/>
          <w:highlight w:val="cyan"/>
        </w:rPr>
        <w:t>References</w:t>
      </w:r>
    </w:p>
    <w:p w14:paraId="348A97F3" w14:textId="3E267E19" w:rsidR="00B11776" w:rsidRDefault="00B11776" w:rsidP="00991CA5">
      <w:pPr>
        <w:pStyle w:val="a"/>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a"/>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a"/>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a"/>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a"/>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a"/>
        <w:numPr>
          <w:ilvl w:val="0"/>
          <w:numId w:val="28"/>
        </w:numPr>
      </w:pPr>
      <w:r w:rsidRPr="006226EF">
        <w:t>R1-2201270, Discussion on remaining issue for channel access mechanism, OPPO</w:t>
      </w:r>
    </w:p>
    <w:p w14:paraId="5AA7948E" w14:textId="77777777" w:rsidR="006226EF" w:rsidRPr="006226EF" w:rsidRDefault="006226EF" w:rsidP="00991CA5">
      <w:pPr>
        <w:pStyle w:val="a"/>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a"/>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a"/>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a"/>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a"/>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a"/>
        <w:numPr>
          <w:ilvl w:val="0"/>
          <w:numId w:val="28"/>
        </w:numPr>
      </w:pPr>
      <w:r w:rsidRPr="006226EF">
        <w:lastRenderedPageBreak/>
        <w:t>R1-2201594, Remaining issues on channel access for NR in 60GHz unlicensed band, TCL Communication</w:t>
      </w:r>
    </w:p>
    <w:p w14:paraId="300ACEEC" w14:textId="77777777" w:rsidR="006226EF" w:rsidRPr="006226EF" w:rsidRDefault="006226EF" w:rsidP="00991CA5">
      <w:pPr>
        <w:pStyle w:val="a"/>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a"/>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a"/>
        <w:numPr>
          <w:ilvl w:val="0"/>
          <w:numId w:val="28"/>
        </w:numPr>
      </w:pPr>
      <w:r w:rsidRPr="006226EF">
        <w:t>R1-2201740, Channel Access Mechanisms, Ericsson</w:t>
      </w:r>
    </w:p>
    <w:p w14:paraId="3ABE0B6B" w14:textId="77777777" w:rsidR="006226EF" w:rsidRPr="006226EF" w:rsidRDefault="006226EF" w:rsidP="00991CA5">
      <w:pPr>
        <w:pStyle w:val="a"/>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a"/>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a"/>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a"/>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a"/>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a"/>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a"/>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a"/>
        <w:numPr>
          <w:ilvl w:val="0"/>
          <w:numId w:val="28"/>
        </w:numPr>
      </w:pPr>
      <w:r w:rsidRPr="006226EF">
        <w:t>R1-2202244, Remaining issue on channel access scheme for above 52.6GHz, ASUSTEK COMPUTER (SHANGHAI)</w:t>
      </w:r>
    </w:p>
    <w:p w14:paraId="64072D2D" w14:textId="77777777" w:rsidR="006226EF" w:rsidRPr="006226EF" w:rsidRDefault="006226EF" w:rsidP="00991CA5">
      <w:pPr>
        <w:pStyle w:val="a"/>
        <w:numPr>
          <w:ilvl w:val="0"/>
          <w:numId w:val="28"/>
        </w:numPr>
      </w:pPr>
      <w:r w:rsidRPr="006226EF">
        <w:t>R1-2202275, Discussion on sharing of directional channel occupancy, Panasonic</w:t>
      </w:r>
    </w:p>
    <w:p w14:paraId="025D0D24" w14:textId="77777777" w:rsidR="006226EF" w:rsidRPr="006226EF" w:rsidRDefault="006226EF" w:rsidP="00991CA5">
      <w:pPr>
        <w:pStyle w:val="a"/>
        <w:numPr>
          <w:ilvl w:val="0"/>
          <w:numId w:val="28"/>
        </w:numPr>
      </w:pPr>
      <w:r w:rsidRPr="006226EF">
        <w:t>R1-2202340, Channel access mechanism to support NR above 52.6 GHz, LG Electronics</w:t>
      </w:r>
    </w:p>
    <w:p w14:paraId="46CDBFDF" w14:textId="77777777" w:rsidR="006226EF" w:rsidRPr="006226EF" w:rsidRDefault="006226EF" w:rsidP="00991CA5">
      <w:pPr>
        <w:pStyle w:val="a"/>
        <w:numPr>
          <w:ilvl w:val="0"/>
          <w:numId w:val="28"/>
        </w:numPr>
      </w:pPr>
      <w:r w:rsidRPr="006226EF">
        <w:t>R1-2202410, Remaining issues on channel access for NR from 52.6 GHz to 71GHz, Lenovo</w:t>
      </w:r>
    </w:p>
    <w:p w14:paraId="61BB078E" w14:textId="5E46A4C8" w:rsidR="006226EF" w:rsidRDefault="006226EF" w:rsidP="00991CA5">
      <w:pPr>
        <w:pStyle w:val="a"/>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4A8E" w14:textId="77777777" w:rsidR="003E60D3" w:rsidRDefault="003E60D3" w:rsidP="003D1981">
      <w:r>
        <w:separator/>
      </w:r>
    </w:p>
  </w:endnote>
  <w:endnote w:type="continuationSeparator" w:id="0">
    <w:p w14:paraId="5A150234" w14:textId="77777777" w:rsidR="003E60D3" w:rsidRDefault="003E60D3" w:rsidP="003D1981">
      <w:r>
        <w:continuationSeparator/>
      </w:r>
    </w:p>
  </w:endnote>
  <w:endnote w:type="continuationNotice" w:id="1">
    <w:p w14:paraId="40DE70BB" w14:textId="77777777" w:rsidR="003E60D3" w:rsidRDefault="003E60D3"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78E7" w14:textId="77777777" w:rsidR="006D21BB" w:rsidRDefault="006D21BB" w:rsidP="003D1981">
    <w:pPr>
      <w:pStyle w:val="af"/>
      <w:rPr>
        <w:rStyle w:val="af9"/>
      </w:rPr>
    </w:pPr>
    <w:r>
      <w:rPr>
        <w:rStyle w:val="af9"/>
      </w:rPr>
      <w:fldChar w:fldCharType="begin"/>
    </w:r>
    <w:r>
      <w:rPr>
        <w:rStyle w:val="af9"/>
      </w:rPr>
      <w:instrText xml:space="preserve">PAGE  </w:instrText>
    </w:r>
    <w:r>
      <w:rPr>
        <w:rStyle w:val="af9"/>
      </w:rPr>
      <w:fldChar w:fldCharType="end"/>
    </w:r>
  </w:p>
  <w:p w14:paraId="128E78E8" w14:textId="77777777" w:rsidR="006D21BB" w:rsidRDefault="006D21BB" w:rsidP="003D1981">
    <w:pPr>
      <w:pStyle w:val="af"/>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78EB" w14:textId="77777777" w:rsidR="006D21BB" w:rsidRDefault="006D21BB" w:rsidP="003D1981">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12</w:t>
    </w:r>
    <w:r>
      <w:rPr>
        <w:rStyle w:val="af9"/>
      </w:rPr>
      <w:fldChar w:fldCharType="end"/>
    </w:r>
  </w:p>
  <w:p w14:paraId="128E78EC" w14:textId="77777777" w:rsidR="006D21BB" w:rsidRDefault="006D21BB" w:rsidP="003D1981">
    <w:pPr>
      <w:pStyle w:val="af"/>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D36FD" w14:textId="77777777" w:rsidR="003E60D3" w:rsidRDefault="003E60D3" w:rsidP="003D1981">
      <w:r>
        <w:separator/>
      </w:r>
    </w:p>
  </w:footnote>
  <w:footnote w:type="continuationSeparator" w:id="0">
    <w:p w14:paraId="5769F9C8" w14:textId="77777777" w:rsidR="003E60D3" w:rsidRDefault="003E60D3" w:rsidP="003D1981">
      <w:r>
        <w:continuationSeparator/>
      </w:r>
    </w:p>
  </w:footnote>
  <w:footnote w:type="continuationNotice" w:id="1">
    <w:p w14:paraId="7A14AE1E" w14:textId="77777777" w:rsidR="003E60D3" w:rsidRDefault="003E60D3"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D1981"/>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 网 格 1 - 着色 21 字元,¥  ¡ ¡ ¡ ¡ ì ¬  º ¥  ¹ ¥  È  ¶ Î  Â  ä 字元,Á  Ð ³ ö  ¶ Î  Â  ä 字元,列表段落1 字元,— ñ    o’i— Ž 字元,¥  ê ¥  ¹ ¥  È  ¶ Î  Â  ä 字元,1st level - Bullet List Paragraph 字元"/>
    <w:link w:val="a"/>
    <w:uiPriority w:val="34"/>
    <w:qFormat/>
    <w:rsid w:val="00FC26BC"/>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sid w:val="006959DE"/>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customXml/itemProps2.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23681</Words>
  <Characters>122329</Characters>
  <Application>Microsoft Office Word</Application>
  <DocSecurity>0</DocSecurity>
  <Lines>1019</Lines>
  <Paragraphs>291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Eddie Fang (方俊皓)</cp:lastModifiedBy>
  <cp:revision>2</cp:revision>
  <cp:lastPrinted>2019-01-10T09:30:00Z</cp:lastPrinted>
  <dcterms:created xsi:type="dcterms:W3CDTF">2022-02-22T10:03:00Z</dcterms:created>
  <dcterms:modified xsi:type="dcterms:W3CDTF">2022-02-22T10:03:00Z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